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7698">
      <w:pPr>
        <w:keepNext w:val="0"/>
        <w:keepLines w:val="0"/>
        <w:pageBreakBefore w:val="0"/>
        <w:widowControl w:val="0"/>
        <w:kinsoku/>
        <w:wordWrap/>
        <w:overflowPunct/>
        <w:topLinePunct w:val="0"/>
        <w:autoSpaceDE/>
        <w:autoSpaceDN/>
        <w:bidi w:val="0"/>
        <w:spacing w:line="240" w:lineRule="auto"/>
        <w:ind w:left="-540" w:leftChars="-257" w:firstLine="964" w:firstLineChars="4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附件 </w:t>
      </w:r>
    </w:p>
    <w:p w14:paraId="480F29CB">
      <w:pPr>
        <w:keepNext w:val="0"/>
        <w:keepLines w:val="0"/>
        <w:pageBreakBefore w:val="0"/>
        <w:widowControl w:val="0"/>
        <w:kinsoku/>
        <w:wordWrap/>
        <w:overflowPunct/>
        <w:topLinePunct w:val="0"/>
        <w:autoSpaceDE/>
        <w:autoSpaceDN/>
        <w:bidi w:val="0"/>
        <w:spacing w:line="240" w:lineRule="auto"/>
        <w:ind w:left="-540" w:leftChars="-257" w:firstLine="964" w:firstLineChars="40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信息化项目简介-儿童健康大楼项目（信息化部分）（第二次</w:t>
      </w:r>
      <w:bookmarkStart w:id="0" w:name="_GoBack"/>
      <w:bookmarkEnd w:id="0"/>
      <w:r>
        <w:rPr>
          <w:rFonts w:hint="eastAsia" w:ascii="宋体" w:hAnsi="宋体" w:cs="宋体"/>
          <w:b/>
          <w:bCs/>
          <w:color w:val="auto"/>
          <w:sz w:val="24"/>
          <w:szCs w:val="24"/>
          <w:highlight w:val="none"/>
          <w:lang w:val="en-US" w:eastAsia="zh-CN"/>
        </w:rPr>
        <w:t>）</w:t>
      </w:r>
    </w:p>
    <w:p w14:paraId="025B8E4F">
      <w:pPr>
        <w:pStyle w:val="11"/>
        <w:keepNext w:val="0"/>
        <w:keepLines w:val="0"/>
        <w:pageBreakBefore w:val="0"/>
        <w:widowControl/>
        <w:kinsoku/>
        <w:wordWrap/>
        <w:overflowPunct/>
        <w:topLinePunct w:val="0"/>
        <w:autoSpaceDE/>
        <w:autoSpaceDN/>
        <w:bidi w:val="0"/>
        <w:adjustRightInd/>
        <w:snapToGrid/>
        <w:spacing w:line="240" w:lineRule="auto"/>
        <w:ind w:left="0" w:leftChars="0" w:firstLine="480"/>
        <w:textAlignment w:val="auto"/>
        <w:outlineLvl w:val="9"/>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本次项目作为儿童健康大楼建设的重要信息化配套设施，根据《惠州市医疗卫生服务体系“十四五”规划》的内容，根据《全国医院信息化建设标准规范》、《关于进一步推进以电子病历为核心的医疗机构信息化建设工作的通知》信息化建设要求，开展儿童健康大楼信息化建设。实现以下建设目标：</w:t>
      </w:r>
    </w:p>
    <w:p w14:paraId="20E1BFB1">
      <w:pPr>
        <w:pStyle w:val="11"/>
        <w:keepNext w:val="0"/>
        <w:keepLines w:val="0"/>
        <w:pageBreakBefore w:val="0"/>
        <w:widowControl/>
        <w:kinsoku/>
        <w:wordWrap/>
        <w:overflowPunct/>
        <w:topLinePunct w:val="0"/>
        <w:autoSpaceDE/>
        <w:autoSpaceDN/>
        <w:bidi w:val="0"/>
        <w:adjustRightInd/>
        <w:snapToGrid/>
        <w:spacing w:line="240" w:lineRule="auto"/>
        <w:ind w:left="0" w:leftChars="0" w:firstLine="480"/>
        <w:textAlignment w:val="auto"/>
        <w:outlineLvl w:val="9"/>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一是通过开展大楼配套信息系统建设，项目完成机房设备、存储设备、网络设备及无线网络覆盖等建设，完成儿童健康大楼正常投入使用的配套系统建设，提高医院的医疗服务能力、运营管理水平，提升患者体验等，实现数字医院建设的总体绩效目标。</w:t>
      </w:r>
    </w:p>
    <w:p w14:paraId="6B52D4B4">
      <w:pPr>
        <w:pStyle w:val="11"/>
        <w:keepNext w:val="0"/>
        <w:keepLines w:val="0"/>
        <w:pageBreakBefore w:val="0"/>
        <w:widowControl/>
        <w:kinsoku/>
        <w:wordWrap/>
        <w:overflowPunct/>
        <w:topLinePunct w:val="0"/>
        <w:autoSpaceDE/>
        <w:autoSpaceDN/>
        <w:bidi w:val="0"/>
        <w:adjustRightInd/>
        <w:snapToGrid/>
        <w:spacing w:line="240" w:lineRule="auto"/>
        <w:ind w:left="0" w:leftChars="0" w:firstLine="480"/>
        <w:textAlignment w:val="auto"/>
        <w:outlineLvl w:val="9"/>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二是通过开展哮喘病历云软件信息系统建设，进一步提升医院信息化建设水平，通过建设先进的信息技术，促进医院儿童健康医疗服务业务发展，有效保障区域儿童健康服务的可及性、有效性和规范性，降低儿童死亡率，提高儿童健康水平和儿童医疗保障，以解决惠州市儿科医疗服务现状存在的问题，满足惠州市儿童的医疗和康复保健需求。</w:t>
      </w:r>
    </w:p>
    <w:p w14:paraId="22A1245E">
      <w:pPr>
        <w:keepNext w:val="0"/>
        <w:keepLines w:val="0"/>
        <w:pageBreakBefore w:val="0"/>
        <w:widowControl w:val="0"/>
        <w:numPr>
          <w:ilvl w:val="-1"/>
          <w:numId w:val="0"/>
        </w:numPr>
        <w:kinsoku/>
        <w:wordWrap/>
        <w:overflowPunct/>
        <w:topLinePunct w:val="0"/>
        <w:autoSpaceDE/>
        <w:autoSpaceDN/>
        <w:bidi w:val="0"/>
        <w:spacing w:line="240" w:lineRule="auto"/>
        <w:ind w:left="0"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硬件部分：</w:t>
      </w:r>
    </w:p>
    <w:tbl>
      <w:tblPr>
        <w:tblStyle w:val="3"/>
        <w:tblW w:w="4997"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0"/>
        <w:gridCol w:w="1840"/>
        <w:gridCol w:w="4920"/>
        <w:gridCol w:w="1307"/>
      </w:tblGrid>
      <w:tr w14:paraId="389D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61" w:type="pct"/>
            <w:vAlign w:val="center"/>
          </w:tcPr>
          <w:p w14:paraId="54B5E531">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序号</w:t>
            </w:r>
          </w:p>
        </w:tc>
        <w:tc>
          <w:tcPr>
            <w:tcW w:w="1012" w:type="pct"/>
            <w:vAlign w:val="center"/>
          </w:tcPr>
          <w:p w14:paraId="1E2CFB6E">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设备及软件名称</w:t>
            </w:r>
          </w:p>
        </w:tc>
        <w:tc>
          <w:tcPr>
            <w:tcW w:w="2706" w:type="pct"/>
            <w:vAlign w:val="center"/>
          </w:tcPr>
          <w:p w14:paraId="7C55E666">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主要性能指标、配置参数，软件许可数量</w:t>
            </w:r>
          </w:p>
        </w:tc>
        <w:tc>
          <w:tcPr>
            <w:tcW w:w="719" w:type="pct"/>
            <w:vAlign w:val="center"/>
          </w:tcPr>
          <w:p w14:paraId="7CAEE698">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数量</w:t>
            </w:r>
          </w:p>
        </w:tc>
      </w:tr>
      <w:tr w14:paraId="2602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F113AC5">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一</w:t>
            </w:r>
          </w:p>
        </w:tc>
        <w:tc>
          <w:tcPr>
            <w:tcW w:w="1012" w:type="pct"/>
            <w:vAlign w:val="center"/>
          </w:tcPr>
          <w:p w14:paraId="466C096A">
            <w:pPr>
              <w:spacing w:line="240" w:lineRule="auto"/>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网络设备系统</w:t>
            </w:r>
          </w:p>
        </w:tc>
        <w:tc>
          <w:tcPr>
            <w:tcW w:w="2706" w:type="pct"/>
            <w:vAlign w:val="center"/>
          </w:tcPr>
          <w:p w14:paraId="57BAFD01">
            <w:pPr>
              <w:spacing w:line="240" w:lineRule="auto"/>
              <w:ind w:left="0" w:leftChars="0" w:firstLine="0" w:firstLineChars="0"/>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9" w:type="pct"/>
            <w:vAlign w:val="center"/>
          </w:tcPr>
          <w:p w14:paraId="5455F310">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14:paraId="52F3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2EA3B2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012" w:type="pct"/>
            <w:vAlign w:val="center"/>
          </w:tcPr>
          <w:p w14:paraId="50533FA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24口接入交换机</w:t>
            </w:r>
          </w:p>
        </w:tc>
        <w:tc>
          <w:tcPr>
            <w:tcW w:w="4920" w:type="dxa"/>
            <w:vAlign w:val="center"/>
          </w:tcPr>
          <w:p w14:paraId="551BD2B8">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交换容量≥336Gbps，包转发率≥108Mpps；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提供≥24个10/100/1000BASE-T电口，提供≥4个1/10GE SFP+端口；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支持基于端口的VLAN，支持基于协议的VLAN；</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支持IPv4/IPV6双栈管理和转发，支持静态路由协议和RIP、OSPF等路由协议，支持丰富的管理和安全特性；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设备支持独立蓝色ID指示灯，维护人员可以在后台点亮后去机房直接找到相对于设备，便于快速定位设备位置；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06E0A6B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r>
      <w:tr w14:paraId="623C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77E44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012" w:type="pct"/>
            <w:vAlign w:val="center"/>
          </w:tcPr>
          <w:p w14:paraId="695B9BA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48口接入交换机</w:t>
            </w:r>
          </w:p>
        </w:tc>
        <w:tc>
          <w:tcPr>
            <w:tcW w:w="4920" w:type="dxa"/>
            <w:vAlign w:val="center"/>
          </w:tcPr>
          <w:p w14:paraId="2E43002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交换容量≥672Gbps，包转发率≥162Mpps；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提供≥48个10/100/1000BASE-T电口，提供≥4个1/10GE SFP+端口；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支持基于端口的VLAN，支持基于协议的VLAN；</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支持IPv4/IPV6双栈管理和转发，支持静态路由协议和RIP、OSPF等路由协议，支持丰富的管理和安全特性；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设备支持独立蓝色ID指示灯，维护人员可以在后台点亮后去机房直接找到相对于设备，便于快速定位设备位置；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1BEA6AC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36</w:t>
            </w:r>
          </w:p>
        </w:tc>
      </w:tr>
      <w:tr w14:paraId="66D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CE65D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012" w:type="pct"/>
            <w:vAlign w:val="center"/>
          </w:tcPr>
          <w:p w14:paraId="4546206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汇聚交换机（含热备线缆）</w:t>
            </w:r>
          </w:p>
        </w:tc>
        <w:tc>
          <w:tcPr>
            <w:tcW w:w="4920" w:type="dxa"/>
            <w:vAlign w:val="center"/>
          </w:tcPr>
          <w:p w14:paraId="3498F99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交换容量≥3.2Tbps，包转发率≥1140Mpps，支持≥2个电源插槽,≥2个风扇插槽；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提供≥48个1/10G SFP+端口，≥4个QSFP+端口；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支持堆叠；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支持VXLAN；</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12C5D3E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014B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63F3B9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012" w:type="pct"/>
            <w:vAlign w:val="center"/>
          </w:tcPr>
          <w:p w14:paraId="71B3107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万兆多模光模块</w:t>
            </w:r>
          </w:p>
        </w:tc>
        <w:tc>
          <w:tcPr>
            <w:tcW w:w="4920" w:type="dxa"/>
            <w:vAlign w:val="center"/>
          </w:tcPr>
          <w:p w14:paraId="5F1CB8D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速率：10G，波长850nm，传输距离300m，接口类型:LC；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4EED5B2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270</w:t>
            </w:r>
          </w:p>
        </w:tc>
      </w:tr>
      <w:tr w14:paraId="7DFB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17907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012" w:type="pct"/>
            <w:vAlign w:val="center"/>
          </w:tcPr>
          <w:p w14:paraId="0B05836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核心交换机（热备线缆）</w:t>
            </w:r>
          </w:p>
        </w:tc>
        <w:tc>
          <w:tcPr>
            <w:tcW w:w="4920" w:type="dxa"/>
            <w:vAlign w:val="center"/>
          </w:tcPr>
          <w:p w14:paraId="3C591BE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交换容量≥48Tbps 包转发率≥12000Mpps、主控槽位数≥2、槽位数量≥4；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支持M-LAG跨设备链路聚合技术；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支持VXLAN；</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支持双活主控，故障倒换时间&lt;5ms；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配置双主控，双电源，48个10G以太网光接口，24个千兆以太网电接口；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5EEB33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72B4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588FF6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012" w:type="pct"/>
            <w:vAlign w:val="center"/>
          </w:tcPr>
          <w:p w14:paraId="48B69DC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16口语音网关</w:t>
            </w:r>
          </w:p>
        </w:tc>
        <w:tc>
          <w:tcPr>
            <w:tcW w:w="4920" w:type="dxa"/>
            <w:vAlign w:val="center"/>
          </w:tcPr>
          <w:p w14:paraId="27A23E09">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语音口≥16路语音FXS；WAN侧PON接口≥1路EPON/GPON自适应口；同时支持SIP、H.248及IMS-SIP语音协议；支持G.711a/u、G.723、G.726、G.729语音编解码自动协商；设备支持内部短号呼叫功能，并可接入医院已有在用短号网络。</w:t>
            </w:r>
          </w:p>
        </w:tc>
        <w:tc>
          <w:tcPr>
            <w:tcW w:w="719" w:type="pct"/>
            <w:vAlign w:val="center"/>
          </w:tcPr>
          <w:p w14:paraId="3CFFF1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r>
      <w:tr w14:paraId="1B98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0F50C2D">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二</w:t>
            </w:r>
          </w:p>
        </w:tc>
        <w:tc>
          <w:tcPr>
            <w:tcW w:w="1012" w:type="pct"/>
            <w:vAlign w:val="center"/>
          </w:tcPr>
          <w:p w14:paraId="4F0990BD">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无线网络覆盖系统</w:t>
            </w:r>
          </w:p>
        </w:tc>
        <w:tc>
          <w:tcPr>
            <w:tcW w:w="2706" w:type="pct"/>
            <w:vAlign w:val="center"/>
          </w:tcPr>
          <w:p w14:paraId="63B27FFA">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9" w:type="pct"/>
            <w:vAlign w:val="center"/>
          </w:tcPr>
          <w:p w14:paraId="76D651EB">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14:paraId="2FC8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BB4A3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012" w:type="pct"/>
            <w:vAlign w:val="center"/>
          </w:tcPr>
          <w:p w14:paraId="2CE664D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吸顶AP</w:t>
            </w:r>
          </w:p>
        </w:tc>
        <w:tc>
          <w:tcPr>
            <w:tcW w:w="4920" w:type="dxa"/>
            <w:vAlign w:val="center"/>
          </w:tcPr>
          <w:p w14:paraId="1507263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支持802.11ax 协议，兼容802.11a/b/g/n/ac协议；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整机采用三射频设计，整机最大传输速率≥3Gbps；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千兆以太网口≥1个；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支持虚拟AP技术，单射频SSID数量最高支持≥16，整机≥32；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支持集中转发和本地转发两种数据转发模式，同一个AP上基于SSID选择本地转发或者集中转发；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主动对无线网络服务检测，包括网络接入、DHCP、网关、DNS、网络地址等阶段的时延和质量检测；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074A4D4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w:t>
            </w:r>
          </w:p>
        </w:tc>
      </w:tr>
      <w:tr w14:paraId="458C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5BC07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012" w:type="pct"/>
            <w:vAlign w:val="center"/>
          </w:tcPr>
          <w:p w14:paraId="0B87731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高密吸顶AP</w:t>
            </w:r>
          </w:p>
        </w:tc>
        <w:tc>
          <w:tcPr>
            <w:tcW w:w="4920" w:type="dxa"/>
            <w:vAlign w:val="center"/>
          </w:tcPr>
          <w:p w14:paraId="3C8C1CB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支持802.11ax 协议，兼容802.11a/b/g/n/ac协议；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整机采用四射频设计，整机最大传输速率≥6.2Gbps；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千兆以太网口≥1个，2.5G上行电口≥1个；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支持自行对无线网络提供的服务进行检测，包括网络接入、DHCP、网关、DNS、网络地址等阶段的时延和质量检测；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支持无线网络环境指标检测功能，包括信道总利用率、Wi-Fi信道利用率、非Wi-Fi信道利用率、同频AP数量等，以便对网络质量进行排查；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03F8F2F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r>
      <w:tr w14:paraId="0768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8000C5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012" w:type="pct"/>
            <w:vAlign w:val="center"/>
          </w:tcPr>
          <w:p w14:paraId="754E76B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24口POE接入交换机</w:t>
            </w:r>
          </w:p>
        </w:tc>
        <w:tc>
          <w:tcPr>
            <w:tcW w:w="4920" w:type="dxa"/>
            <w:vAlign w:val="center"/>
          </w:tcPr>
          <w:p w14:paraId="0DF63B1B">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具备千兆POE电口≥24个， 1G/2.5G光口≥4个；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支持IEEE 802.3af/at供电标准，整机最大输出功率≥370W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交换性能≥336Gbps，包转发率≥108Mpps；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支持端口聚合，支持手工和静态LACP；</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支持M-LAG技术，跨设备链路聚合，要求配对的设备有独立的控制平面；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1B2C09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r>
      <w:tr w14:paraId="6FC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824FD3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012" w:type="pct"/>
            <w:vAlign w:val="center"/>
          </w:tcPr>
          <w:p w14:paraId="22D250C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AC控制器（含授权）</w:t>
            </w:r>
          </w:p>
        </w:tc>
        <w:tc>
          <w:tcPr>
            <w:tcW w:w="4920" w:type="dxa"/>
            <w:vAlign w:val="center"/>
          </w:tcPr>
          <w:p w14:paraId="4EF297B8">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具备千兆以太网口数≥5个；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设备最大可管理AP数≥500个；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支持对802.11a/b/g/n/ac/ax AP进行统一控制；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支持WIPS、WIDS安全防护功能；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支持MAC认证、WEB认证、802.1X认证等多种认证方式，也可支持多因素绑定认证，保证只有合法的用户才能进入网络；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支持自动发现交换机和无线AP，并自动生成网络拓扑；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支持网络自动化部署，实现网络设备自动化配置下发，实现网络快速业务上线；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支持对接医院现有系统短信认证服务；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可与医院现有AC控制器双机热备；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配置100个AP接入License；</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76DC0D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6360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9EE4F4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012" w:type="pct"/>
            <w:vAlign w:val="center"/>
          </w:tcPr>
          <w:p w14:paraId="05957BF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六类网线</w:t>
            </w:r>
          </w:p>
        </w:tc>
        <w:tc>
          <w:tcPr>
            <w:tcW w:w="4920" w:type="dxa"/>
            <w:vAlign w:val="center"/>
          </w:tcPr>
          <w:p w14:paraId="1D762702">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符合标准：YD/T1019，ANSI∕TIA-568.2-D，ISO/IEC 11801，线缆阻抗：100±15Ω，支持采用CM等级PVC料，通过标准最高传输频率250MHz测试，直流电阻不平衡：≤2.5%</w:t>
            </w:r>
          </w:p>
        </w:tc>
        <w:tc>
          <w:tcPr>
            <w:tcW w:w="719" w:type="pct"/>
            <w:vAlign w:val="center"/>
          </w:tcPr>
          <w:p w14:paraId="7FE615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6930</w:t>
            </w:r>
          </w:p>
        </w:tc>
      </w:tr>
      <w:tr w14:paraId="007B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A47BC7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012" w:type="pct"/>
            <w:vAlign w:val="center"/>
          </w:tcPr>
          <w:p w14:paraId="211ECD1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JDG线管</w:t>
            </w:r>
          </w:p>
        </w:tc>
        <w:tc>
          <w:tcPr>
            <w:tcW w:w="4920" w:type="dxa"/>
            <w:vAlign w:val="center"/>
          </w:tcPr>
          <w:p w14:paraId="709CBD3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套接紧定式镀锌钢导线管，JDG20/JDG25,厚度1.5MM，含杯梳、吊杆、螺丝、底盒等配件</w:t>
            </w:r>
          </w:p>
        </w:tc>
        <w:tc>
          <w:tcPr>
            <w:tcW w:w="719" w:type="pct"/>
            <w:vAlign w:val="center"/>
          </w:tcPr>
          <w:p w14:paraId="360D66B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792</w:t>
            </w:r>
          </w:p>
        </w:tc>
      </w:tr>
      <w:tr w14:paraId="6FED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3E909E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012" w:type="pct"/>
            <w:vAlign w:val="center"/>
          </w:tcPr>
          <w:p w14:paraId="5AF5051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辅材</w:t>
            </w:r>
          </w:p>
        </w:tc>
        <w:tc>
          <w:tcPr>
            <w:tcW w:w="4920" w:type="dxa"/>
            <w:vAlign w:val="center"/>
          </w:tcPr>
          <w:p w14:paraId="1CF6A2A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含标签、扎带、电工胶布、水晶头等</w:t>
            </w:r>
          </w:p>
        </w:tc>
        <w:tc>
          <w:tcPr>
            <w:tcW w:w="719" w:type="pct"/>
            <w:vAlign w:val="center"/>
          </w:tcPr>
          <w:p w14:paraId="17E4D43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391B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D31C73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三</w:t>
            </w:r>
          </w:p>
        </w:tc>
        <w:tc>
          <w:tcPr>
            <w:tcW w:w="1012" w:type="pct"/>
            <w:vAlign w:val="center"/>
          </w:tcPr>
          <w:p w14:paraId="50041368">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存储设备系统</w:t>
            </w:r>
          </w:p>
        </w:tc>
        <w:tc>
          <w:tcPr>
            <w:tcW w:w="2706" w:type="pct"/>
            <w:vAlign w:val="center"/>
          </w:tcPr>
          <w:p w14:paraId="486F25B1">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c>
          <w:tcPr>
            <w:tcW w:w="719" w:type="pct"/>
            <w:vAlign w:val="center"/>
          </w:tcPr>
          <w:p w14:paraId="3EABF094">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r>
      <w:tr w14:paraId="0C68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D1CC18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012" w:type="pct"/>
            <w:vAlign w:val="center"/>
          </w:tcPr>
          <w:p w14:paraId="2B367FC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双活SAN存储</w:t>
            </w:r>
          </w:p>
        </w:tc>
        <w:tc>
          <w:tcPr>
            <w:tcW w:w="4920" w:type="dxa"/>
            <w:vAlign w:val="center"/>
          </w:tcPr>
          <w:p w14:paraId="5F2BF09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全闪存储：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1、控制器数量：双控；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2、缓存：≥128GB缓存；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3、硬盘：配置≥32*3.84TB SSD SAS硬盘单元；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4、接口：配置≥8*1Gb+4*10Gb+8*16Gb FC（含光模块）；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5、电源：冗余电源；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6、软件：配置高级SAN软件特性包license，提供包括但不限于快照、克隆、多路径、免网关A-A双活、缓存分区、远程复制、异构虚拟化、精简配置、Qos等特性；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7、国产化ARM芯片、国产化操作系统（以中国信息安全测评中心和国家保密科技测评中心发布的安全可靠测评结果公告为准）；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8、采用与医院现有存储同一系列产品，作为扩容使用；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9、提供3年维保服务及软件订阅服务（含项目的维保期）。</w:t>
            </w:r>
          </w:p>
        </w:tc>
        <w:tc>
          <w:tcPr>
            <w:tcW w:w="719" w:type="pct"/>
            <w:vAlign w:val="center"/>
          </w:tcPr>
          <w:p w14:paraId="19D3B8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57D8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C0EBE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012" w:type="pct"/>
            <w:vAlign w:val="center"/>
          </w:tcPr>
          <w:p w14:paraId="4DA593E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光纤交换机单模模块</w:t>
            </w:r>
          </w:p>
        </w:tc>
        <w:tc>
          <w:tcPr>
            <w:tcW w:w="4920" w:type="dxa"/>
            <w:vAlign w:val="center"/>
          </w:tcPr>
          <w:p w14:paraId="6772D25E">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光纤交换机-FC单模光模块-16Gbps-10KM；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05DFE0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r>
      <w:tr w14:paraId="070A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A32DEB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012" w:type="pct"/>
            <w:vAlign w:val="center"/>
          </w:tcPr>
          <w:p w14:paraId="629F435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超融合一体机（含软件）</w:t>
            </w:r>
          </w:p>
        </w:tc>
        <w:tc>
          <w:tcPr>
            <w:tcW w:w="4920" w:type="dxa"/>
            <w:vAlign w:val="center"/>
          </w:tcPr>
          <w:p w14:paraId="6576FB2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超融合平台需支持在线升级不影响业务；为保证升级时间与步骤可控，升级过程中支持对升级节点进行升级顺序编排、升级暂停；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当存在迁移、重建、定时快照等非业务流量时，系统将根据业务的IO情况智能调整非业务流量，避免数据重建过程中IO性能占用导致对业务的性能造成影响；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国产化芯片/国产化操作系统（以中国信息安全测评中心和国家保密科技测评中心发布的安全可靠测评结果公告为准）；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硬件参数：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CPU：2颗国产芯片，≥2.5GHz；内存：16*32GB DDR5 ；系统盘：≥2*480GB SATA；缓存盘：≥4个* 固态硬盘-1.92T-SATA-SSD（读密集型）；数据盘：≥8个* 机械硬盘8T；电源：冗余电源；接口：≥4千兆电口+4万兆光口。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软件配置：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2套* 云计算管理软件高级版;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2套* 计算虚拟化组件;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2套* 网络虚拟化组件;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2套* 存储虚拟化组件;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1套* 国产内核OS授权;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5年* 基础运维服务（含项目的维保期）。</w:t>
            </w:r>
          </w:p>
        </w:tc>
        <w:tc>
          <w:tcPr>
            <w:tcW w:w="719" w:type="pct"/>
            <w:vAlign w:val="center"/>
          </w:tcPr>
          <w:p w14:paraId="4211B3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r>
      <w:tr w14:paraId="258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85486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012" w:type="pct"/>
            <w:vAlign w:val="center"/>
          </w:tcPr>
          <w:p w14:paraId="5B2A5D2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超融合集群交换机（含光模块）</w:t>
            </w:r>
          </w:p>
        </w:tc>
        <w:tc>
          <w:tcPr>
            <w:tcW w:w="4920" w:type="dxa"/>
            <w:vAlign w:val="center"/>
          </w:tcPr>
          <w:p w14:paraId="042831D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采用自主可控芯片设计；16个10/100/1000Base-T以太网口，8个万兆SFP+光口，8个10G/25G SFP28光口，2个40G QSFP光口；可插拔双交流电源冗余，默认配置两个AC电源；交换容量≥2.56Tbps/25.6Tbps，包转发率≥1476Mpps；支持前沿的数据中心功能：基于优先级的流量控制（PFC），显式拥塞通知（ECN）；支持访问控制列表(ACL)，支持通过源目的IP、源目的MAC、源目的四层端口号、协议类型、VLAN ID等进行流分类；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含：标准维保3年（含项目的维保期）。</w:t>
            </w:r>
          </w:p>
        </w:tc>
        <w:tc>
          <w:tcPr>
            <w:tcW w:w="719" w:type="pct"/>
            <w:vAlign w:val="center"/>
          </w:tcPr>
          <w:p w14:paraId="57A4537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00F2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9AA5D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四</w:t>
            </w:r>
          </w:p>
        </w:tc>
        <w:tc>
          <w:tcPr>
            <w:tcW w:w="1012" w:type="pct"/>
            <w:vAlign w:val="center"/>
          </w:tcPr>
          <w:p w14:paraId="4585738E">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机房设备系统</w:t>
            </w:r>
          </w:p>
        </w:tc>
        <w:tc>
          <w:tcPr>
            <w:tcW w:w="2706" w:type="pct"/>
            <w:vAlign w:val="center"/>
          </w:tcPr>
          <w:p w14:paraId="17F18136">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9" w:type="pct"/>
            <w:vAlign w:val="center"/>
          </w:tcPr>
          <w:p w14:paraId="65A0F789">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14:paraId="68D0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E871FE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012" w:type="pct"/>
            <w:vAlign w:val="center"/>
          </w:tcPr>
          <w:p w14:paraId="539415A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防静电地板</w:t>
            </w:r>
          </w:p>
        </w:tc>
        <w:tc>
          <w:tcPr>
            <w:tcW w:w="4920" w:type="dxa"/>
            <w:vAlign w:val="center"/>
          </w:tcPr>
          <w:p w14:paraId="781C49D7">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轻型全钢防静电地板，600×600×35mm，均布载荷≥1275.5kg/m²，集中载荷≥301kg，含250mm支架及安装附件</w:t>
            </w:r>
          </w:p>
        </w:tc>
        <w:tc>
          <w:tcPr>
            <w:tcW w:w="719" w:type="pct"/>
            <w:vAlign w:val="center"/>
          </w:tcPr>
          <w:p w14:paraId="1BD798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48</w:t>
            </w:r>
          </w:p>
        </w:tc>
      </w:tr>
      <w:tr w14:paraId="7039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8F827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012" w:type="pct"/>
            <w:vAlign w:val="center"/>
          </w:tcPr>
          <w:p w14:paraId="0914C53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微孔吸音铝合金天花</w:t>
            </w:r>
          </w:p>
        </w:tc>
        <w:tc>
          <w:tcPr>
            <w:tcW w:w="4920" w:type="dxa"/>
            <w:vAlign w:val="center"/>
          </w:tcPr>
          <w:p w14:paraId="1FEFC7A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微孔吸音铝合金天花，600×600mm，孔径1.8mm，厚度≥1.0mm，符合A级防火标准，含勾搭式或龙骨系统安装附件</w:t>
            </w:r>
          </w:p>
        </w:tc>
        <w:tc>
          <w:tcPr>
            <w:tcW w:w="719" w:type="pct"/>
            <w:vAlign w:val="center"/>
          </w:tcPr>
          <w:p w14:paraId="7FA221E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52</w:t>
            </w:r>
          </w:p>
        </w:tc>
      </w:tr>
      <w:tr w14:paraId="471D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1869CE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012" w:type="pct"/>
            <w:vAlign w:val="center"/>
          </w:tcPr>
          <w:p w14:paraId="2066ABF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墙面处理</w:t>
            </w:r>
          </w:p>
        </w:tc>
        <w:tc>
          <w:tcPr>
            <w:tcW w:w="4920" w:type="dxa"/>
            <w:vAlign w:val="center"/>
          </w:tcPr>
          <w:p w14:paraId="7D0A1C9F">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约160平方米墙面平整与清理，防潮、防尘处理，刷环保漆等处理</w:t>
            </w:r>
          </w:p>
        </w:tc>
        <w:tc>
          <w:tcPr>
            <w:tcW w:w="719" w:type="pct"/>
            <w:vAlign w:val="center"/>
          </w:tcPr>
          <w:p w14:paraId="6C95D2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7F36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548ED0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012" w:type="pct"/>
            <w:vAlign w:val="center"/>
          </w:tcPr>
          <w:p w14:paraId="720CFCF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天面、地面处理</w:t>
            </w:r>
          </w:p>
        </w:tc>
        <w:tc>
          <w:tcPr>
            <w:tcW w:w="4920" w:type="dxa"/>
            <w:vAlign w:val="center"/>
          </w:tcPr>
          <w:p w14:paraId="7BC9D138">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约90平米，天面防尘、地面防尘、地面防水处理</w:t>
            </w:r>
          </w:p>
        </w:tc>
        <w:tc>
          <w:tcPr>
            <w:tcW w:w="719" w:type="pct"/>
            <w:vAlign w:val="center"/>
          </w:tcPr>
          <w:p w14:paraId="0E54E7D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4A00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73E10B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012" w:type="pct"/>
            <w:vAlign w:val="center"/>
          </w:tcPr>
          <w:p w14:paraId="4FD06CC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强弱电线槽</w:t>
            </w:r>
          </w:p>
        </w:tc>
        <w:tc>
          <w:tcPr>
            <w:tcW w:w="4920" w:type="dxa"/>
            <w:vAlign w:val="center"/>
          </w:tcPr>
          <w:p w14:paraId="477E48F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热浸镀锌金属线槽，200*100*2.0mm，含安装附件</w:t>
            </w:r>
          </w:p>
        </w:tc>
        <w:tc>
          <w:tcPr>
            <w:tcW w:w="719" w:type="pct"/>
            <w:vAlign w:val="center"/>
          </w:tcPr>
          <w:p w14:paraId="3FDA201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40</w:t>
            </w:r>
          </w:p>
        </w:tc>
      </w:tr>
      <w:tr w14:paraId="7154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4DC80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012" w:type="pct"/>
            <w:vAlign w:val="center"/>
          </w:tcPr>
          <w:p w14:paraId="1BEC14C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玻璃隔断</w:t>
            </w:r>
          </w:p>
        </w:tc>
        <w:tc>
          <w:tcPr>
            <w:tcW w:w="4920" w:type="dxa"/>
            <w:vAlign w:val="center"/>
          </w:tcPr>
          <w:p w14:paraId="4178E124">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约8平方米防火玻璃隔断，≥80mm不锈钢方通框架，12mm防火玻璃，耐火120分钟，含800×2400mm防火玻璃门</w:t>
            </w:r>
          </w:p>
        </w:tc>
        <w:tc>
          <w:tcPr>
            <w:tcW w:w="719" w:type="pct"/>
            <w:vAlign w:val="center"/>
          </w:tcPr>
          <w:p w14:paraId="739A77E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5489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DFE0D2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012" w:type="pct"/>
            <w:vAlign w:val="center"/>
          </w:tcPr>
          <w:p w14:paraId="768E496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边界防火墙</w:t>
            </w:r>
          </w:p>
        </w:tc>
        <w:tc>
          <w:tcPr>
            <w:tcW w:w="4920" w:type="dxa"/>
            <w:vAlign w:val="center"/>
          </w:tcPr>
          <w:p w14:paraId="79D82D7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产品支持Cookie攻击防护功能，并通过日志记录Cookie被篡改；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当主机故障时，双机切换时不丢包，并可实现双机部署下升级不断网；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支持策略生命周期管理功能，支持对安全策略修改的时间、原因、变更类型进行统一管理，便于策略的运维与管理；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性能参数：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网络层吞吐量：40G，应用层吞吐量：25G，防病毒吞吐量：4G，IPS吞吐量：3.5G，全威胁吞吐量：2G，并发连接数：420万，HTTP新建连接数：19万，SSL VPN推荐用户数（单独购买）：35，SSL VPN最大用户数（单独购买）：150，SSL VPN最大理论加密流量（单独购买）：320M，IPSec VPN 最大接入数：6000，IPSec  VPN吞吐量：1.5G。</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硬件参数：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规格：2U，内存大小：16G，硬盘容量：128G SSD+480G SSD，电源：冗余电源，接口：16千兆电口+6万兆光口SFP+。</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软件配置：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1套* 防火墙软件基础级;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1套* 防火墙软件增强级模块;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3套* 云智订阅软件;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2个* 光纤线-多模-LC-LC-5M;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2个* 万兆多模-850-300m-双纤;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3年* 软件升级（含项目的维保期）;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3年* 产品质保（含项目的维保期）。</w:t>
            </w:r>
          </w:p>
        </w:tc>
        <w:tc>
          <w:tcPr>
            <w:tcW w:w="719" w:type="pct"/>
            <w:vAlign w:val="center"/>
          </w:tcPr>
          <w:p w14:paraId="49E7501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022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00892A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1012" w:type="pct"/>
            <w:vAlign w:val="center"/>
          </w:tcPr>
          <w:p w14:paraId="35F4144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服务器机柜</w:t>
            </w:r>
          </w:p>
        </w:tc>
        <w:tc>
          <w:tcPr>
            <w:tcW w:w="4920" w:type="dxa"/>
            <w:vAlign w:val="center"/>
          </w:tcPr>
          <w:p w14:paraId="7803C08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M型机架-800mm(W)*1200mm(D)*2000mm(H)-42U，前单后双高密网孔门，带通匙机械锁。机柜为标准19英寸制式，含柜体侧板、顶板、底板，机柜带单侧侧板并柜。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单柜配置：3对L型轻载滑道、3块固定托盘、2个1U水平理线架、20块1U盲板、2条机柜PDU电源（32A输入-20*10A+4*16A国标插座输出）。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前后门采用网孔门且 开孔率不小于 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机柜静态承载能力≥2100Kg。</w:t>
            </w:r>
          </w:p>
        </w:tc>
        <w:tc>
          <w:tcPr>
            <w:tcW w:w="719" w:type="pct"/>
            <w:vAlign w:val="center"/>
          </w:tcPr>
          <w:p w14:paraId="33484A9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r>
      <w:tr w14:paraId="15B4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55ADC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1012" w:type="pct"/>
            <w:vAlign w:val="center"/>
          </w:tcPr>
          <w:p w14:paraId="66AC2E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密闭通道组件</w:t>
            </w:r>
          </w:p>
        </w:tc>
        <w:tc>
          <w:tcPr>
            <w:tcW w:w="4920" w:type="dxa"/>
            <w:vAlign w:val="center"/>
          </w:tcPr>
          <w:p w14:paraId="58D61B3C">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1200mm宽密闭通道系统组件，通道长度6800mm，匹配微模块机柜数量设计。含控制天窗、全玻璃无框活动天窗、自动门等整体封闭组件，配置机柜顶槽式配线架，顶部活动天窗支持消防联动开启功能，两个机柜之间侧板不配置，增加冷空气流动。</w:t>
            </w:r>
          </w:p>
        </w:tc>
        <w:tc>
          <w:tcPr>
            <w:tcW w:w="719" w:type="pct"/>
            <w:vAlign w:val="center"/>
          </w:tcPr>
          <w:p w14:paraId="783E1E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3B43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5F767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1012" w:type="pct"/>
            <w:vAlign w:val="center"/>
          </w:tcPr>
          <w:p w14:paraId="71C8FB1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行级精密空调</w:t>
            </w:r>
          </w:p>
        </w:tc>
        <w:tc>
          <w:tcPr>
            <w:tcW w:w="4920" w:type="dxa"/>
            <w:vAlign w:val="center"/>
          </w:tcPr>
          <w:p w14:paraId="3854D97C">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sz w:val="21"/>
                <w:szCs w:val="21"/>
                <w:lang w:val="en-US" w:eastAsia="zh-CN" w:bidi="ar"/>
              </w:rPr>
              <w:t>行级送风空调，制冷量≥</w:t>
            </w:r>
            <w:r>
              <w:rPr>
                <w:rFonts w:hint="eastAsia" w:asciiTheme="minorEastAsia" w:hAnsiTheme="minorEastAsia" w:eastAsiaTheme="minorEastAsia" w:cstheme="minorEastAsia"/>
                <w:i w:val="0"/>
                <w:iCs w:val="0"/>
                <w:color w:val="000000"/>
                <w:kern w:val="0"/>
                <w:sz w:val="21"/>
                <w:szCs w:val="21"/>
                <w:u w:val="none"/>
                <w:lang w:val="en-US" w:eastAsia="zh-CN" w:bidi="ar"/>
              </w:rPr>
              <w:t>25</w:t>
            </w:r>
            <w:r>
              <w:rPr>
                <w:rStyle w:val="12"/>
                <w:rFonts w:hint="eastAsia" w:asciiTheme="minorEastAsia" w:hAnsiTheme="minorEastAsia" w:eastAsiaTheme="minorEastAsia" w:cstheme="minorEastAsia"/>
                <w:sz w:val="21"/>
                <w:szCs w:val="21"/>
                <w:lang w:val="en-US" w:eastAsia="zh-CN" w:bidi="ar"/>
              </w:rPr>
              <w:t>kw，显冷量≥25kW；恒温恒湿机组，水平送风模式，风量≥5000m3/h，全变频架构+EC风机，带≥7寸全彩触摸屏。</w:t>
            </w:r>
            <w:r>
              <w:rPr>
                <w:rStyle w:val="12"/>
                <w:rFonts w:hint="eastAsia" w:asciiTheme="minorEastAsia" w:hAnsiTheme="minorEastAsia" w:eastAsiaTheme="minorEastAsia" w:cstheme="minorEastAsia"/>
                <w:sz w:val="21"/>
                <w:szCs w:val="21"/>
                <w:lang w:val="en-US" w:eastAsia="zh-CN" w:bidi="ar"/>
              </w:rPr>
              <w:br w:type="textWrapping"/>
            </w:r>
            <w:r>
              <w:rPr>
                <w:rStyle w:val="12"/>
                <w:rFonts w:hint="eastAsia" w:asciiTheme="minorEastAsia" w:hAnsiTheme="minorEastAsia" w:eastAsiaTheme="minorEastAsia" w:cstheme="minorEastAsia"/>
                <w:sz w:val="21"/>
                <w:szCs w:val="21"/>
                <w:lang w:val="en-US" w:eastAsia="zh-CN" w:bidi="ar"/>
              </w:rPr>
              <w:t>空调内机支持双路供电自切换功能，主路供电中断可自动切换到辅路供电。</w:t>
            </w:r>
            <w:r>
              <w:rPr>
                <w:rStyle w:val="12"/>
                <w:rFonts w:hint="eastAsia" w:asciiTheme="minorEastAsia" w:hAnsiTheme="minorEastAsia" w:eastAsiaTheme="minorEastAsia" w:cstheme="minorEastAsia"/>
                <w:sz w:val="21"/>
                <w:szCs w:val="21"/>
                <w:lang w:val="en-US" w:eastAsia="zh-CN" w:bidi="ar"/>
              </w:rPr>
              <w:br w:type="textWrapping"/>
            </w:r>
            <w:r>
              <w:rPr>
                <w:rStyle w:val="12"/>
                <w:rFonts w:hint="eastAsia" w:asciiTheme="minorEastAsia" w:hAnsiTheme="minorEastAsia" w:eastAsiaTheme="minorEastAsia" w:cstheme="minorEastAsia"/>
                <w:sz w:val="21"/>
                <w:szCs w:val="21"/>
                <w:lang w:val="en-US" w:eastAsia="zh-CN" w:bidi="ar"/>
              </w:rPr>
              <w:t>可以实现在≤15%显热制冷量且室内高湿度情况下稳定除湿功能（除湿量≥6kg/h），降低高湿环境下数据中心低载运行的设备结露风险。</w:t>
            </w:r>
            <w:r>
              <w:rPr>
                <w:rStyle w:val="12"/>
                <w:rFonts w:hint="eastAsia" w:asciiTheme="minorEastAsia" w:hAnsiTheme="minorEastAsia" w:eastAsiaTheme="minorEastAsia" w:cstheme="minorEastAsia"/>
                <w:sz w:val="21"/>
                <w:szCs w:val="21"/>
                <w:lang w:val="en-US" w:eastAsia="zh-CN" w:bidi="ar"/>
              </w:rPr>
              <w:br w:type="textWrapping"/>
            </w:r>
            <w:r>
              <w:rPr>
                <w:rStyle w:val="12"/>
                <w:rFonts w:hint="eastAsia" w:asciiTheme="minorEastAsia" w:hAnsiTheme="minorEastAsia" w:eastAsiaTheme="minorEastAsia" w:cstheme="minorEastAsia"/>
                <w:sz w:val="21"/>
                <w:szCs w:val="21"/>
                <w:lang w:val="en-US" w:eastAsia="zh-CN" w:bidi="ar"/>
              </w:rPr>
              <w:t>风机供电单元采用1+1高效直流电源模块，可直接进行在线插拔式维护，单电源模块维护不需停机。</w:t>
            </w:r>
            <w:r>
              <w:rPr>
                <w:rStyle w:val="12"/>
                <w:rFonts w:hint="eastAsia" w:asciiTheme="minorEastAsia" w:hAnsiTheme="minorEastAsia" w:eastAsiaTheme="minorEastAsia" w:cstheme="minorEastAsia"/>
                <w:sz w:val="21"/>
                <w:szCs w:val="21"/>
                <w:lang w:val="en-US" w:eastAsia="zh-CN" w:bidi="ar"/>
              </w:rPr>
              <w:br w:type="textWrapping"/>
            </w:r>
            <w:r>
              <w:rPr>
                <w:rStyle w:val="12"/>
                <w:rFonts w:hint="eastAsia" w:asciiTheme="minorEastAsia" w:hAnsiTheme="minorEastAsia" w:eastAsiaTheme="minorEastAsia" w:cstheme="minorEastAsia"/>
                <w:sz w:val="21"/>
                <w:szCs w:val="21"/>
                <w:lang w:val="en-US" w:eastAsia="zh-CN" w:bidi="ar"/>
              </w:rPr>
              <w:t>需具备完善的电源监控功能，有电源反相、缺相、过压、欠压、高频、低频等报警及故障诊断，告警记录功能，自动保护，自动恢复，自动重启动等功能。</w:t>
            </w:r>
          </w:p>
        </w:tc>
        <w:tc>
          <w:tcPr>
            <w:tcW w:w="719" w:type="pct"/>
            <w:vAlign w:val="center"/>
          </w:tcPr>
          <w:p w14:paraId="516C30C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6257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672C5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w:t>
            </w:r>
          </w:p>
        </w:tc>
        <w:tc>
          <w:tcPr>
            <w:tcW w:w="1012" w:type="pct"/>
            <w:vAlign w:val="center"/>
          </w:tcPr>
          <w:p w14:paraId="70286CB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空调安装附件</w:t>
            </w:r>
          </w:p>
        </w:tc>
        <w:tc>
          <w:tcPr>
            <w:tcW w:w="4920" w:type="dxa"/>
            <w:vAlign w:val="center"/>
          </w:tcPr>
          <w:p w14:paraId="5932EE0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铜管、制冷剂、室外机电源线、加湿水管等</w:t>
            </w:r>
          </w:p>
        </w:tc>
        <w:tc>
          <w:tcPr>
            <w:tcW w:w="719" w:type="pct"/>
            <w:vAlign w:val="center"/>
          </w:tcPr>
          <w:p w14:paraId="2C1DFA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49EE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465836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1012" w:type="pct"/>
            <w:vAlign w:val="center"/>
          </w:tcPr>
          <w:p w14:paraId="3ECAB10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一体化UPS柜（含UPS主机、配电柜）</w:t>
            </w:r>
          </w:p>
        </w:tc>
        <w:tc>
          <w:tcPr>
            <w:tcW w:w="4920" w:type="dxa"/>
            <w:vAlign w:val="center"/>
          </w:tcPr>
          <w:p w14:paraId="41DC29BA">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一体化集成UPS、UPS配电、IT配电、空调配电等；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尺寸：600mm(W)*1200mm(D)*2000mm(H)；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120KVA机框，本期配置3个30KVA功率模块，2+1冗余配置；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输入容量：单路3P/250A输入；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空调配电：4*3P/C63A输出；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IT配电：24*1P/C32A输出；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UPS配电：3*3P/200A UPS输入、输出、维修开关；</w:t>
            </w:r>
          </w:p>
        </w:tc>
        <w:tc>
          <w:tcPr>
            <w:tcW w:w="719" w:type="pct"/>
            <w:vAlign w:val="center"/>
          </w:tcPr>
          <w:p w14:paraId="2289BF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5B40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734B52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w:t>
            </w:r>
          </w:p>
        </w:tc>
        <w:tc>
          <w:tcPr>
            <w:tcW w:w="1012" w:type="pct"/>
            <w:vAlign w:val="center"/>
          </w:tcPr>
          <w:p w14:paraId="4EDEC55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蓄电池</w:t>
            </w:r>
          </w:p>
        </w:tc>
        <w:tc>
          <w:tcPr>
            <w:tcW w:w="4920" w:type="dxa"/>
            <w:vAlign w:val="center"/>
          </w:tcPr>
          <w:p w14:paraId="11BE2F2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阀控式密封铅酸蓄电池，200AH/12V，尺寸：522*240*220*226，净重55Kg</w:t>
            </w:r>
          </w:p>
        </w:tc>
        <w:tc>
          <w:tcPr>
            <w:tcW w:w="719" w:type="pct"/>
            <w:vAlign w:val="center"/>
          </w:tcPr>
          <w:p w14:paraId="4BC7849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40</w:t>
            </w:r>
          </w:p>
        </w:tc>
      </w:tr>
      <w:tr w14:paraId="7BD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2C3A56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1012" w:type="pct"/>
            <w:vAlign w:val="center"/>
          </w:tcPr>
          <w:p w14:paraId="07765C9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电池架</w:t>
            </w:r>
          </w:p>
        </w:tc>
        <w:tc>
          <w:tcPr>
            <w:tcW w:w="4920" w:type="dxa"/>
            <w:vAlign w:val="center"/>
          </w:tcPr>
          <w:p w14:paraId="12D69D1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可放置40节200AH/12V酸蓄电池，尺寸：2700*650*1500，含电池连接线及开关箱</w:t>
            </w:r>
          </w:p>
        </w:tc>
        <w:tc>
          <w:tcPr>
            <w:tcW w:w="719" w:type="pct"/>
            <w:vAlign w:val="center"/>
          </w:tcPr>
          <w:p w14:paraId="6916792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11C9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15BCB2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1012" w:type="pct"/>
            <w:vAlign w:val="center"/>
          </w:tcPr>
          <w:p w14:paraId="0273C76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动环系统专用交换机</w:t>
            </w:r>
          </w:p>
        </w:tc>
        <w:tc>
          <w:tcPr>
            <w:tcW w:w="4920" w:type="dxa"/>
            <w:vAlign w:val="center"/>
          </w:tcPr>
          <w:p w14:paraId="5530FF65">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具备千兆POE电口≥24个， 1G/2.5G光口≥4个；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支持IEEE 802.3af/at供电标准，整机最大输出功率≥370W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交换性能≥336Gbps，包转发率≥108Mpps；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支持端口聚合，支持手工和静态LACP；</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提供3年原厂质保服务（含项目的维保期）。</w:t>
            </w:r>
          </w:p>
        </w:tc>
        <w:tc>
          <w:tcPr>
            <w:tcW w:w="719" w:type="pct"/>
            <w:vAlign w:val="center"/>
          </w:tcPr>
          <w:p w14:paraId="571809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17D4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E8CB1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1012" w:type="pct"/>
            <w:vAlign w:val="center"/>
          </w:tcPr>
          <w:p w14:paraId="27A93F4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动环监控组件</w:t>
            </w:r>
          </w:p>
        </w:tc>
        <w:tc>
          <w:tcPr>
            <w:tcW w:w="4920" w:type="dxa"/>
            <w:vAlign w:val="center"/>
          </w:tcPr>
          <w:p w14:paraId="1AA45996">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微模块本地监控系统，配置有精密空调、UPS等数据采集监控功能模块，及相关监控系统联动执行器、信号线缆等组件。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至少配置1套微模块数据采集控制器、1台10寸PAD、4个烟感传感器、2套漏水监测模块、2个通道指纹密码刷卡门禁系统、1套声光报警器、4个温湿度传感器。</w:t>
            </w:r>
          </w:p>
        </w:tc>
        <w:tc>
          <w:tcPr>
            <w:tcW w:w="719" w:type="pct"/>
            <w:vAlign w:val="center"/>
          </w:tcPr>
          <w:p w14:paraId="66D944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339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C1F75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w:t>
            </w:r>
          </w:p>
        </w:tc>
        <w:tc>
          <w:tcPr>
            <w:tcW w:w="1012" w:type="pct"/>
            <w:vAlign w:val="center"/>
          </w:tcPr>
          <w:p w14:paraId="01813F6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国密门禁设备（读卡器+控制器）</w:t>
            </w:r>
          </w:p>
        </w:tc>
        <w:tc>
          <w:tcPr>
            <w:tcW w:w="4920" w:type="dxa"/>
            <w:vAlign w:val="center"/>
          </w:tcPr>
          <w:p w14:paraId="38221B4D">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认证方式：刷卡、刷卡+指纹+密码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读卡频率：13.56MHz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可识别卡：国密CPU卡(含加密功能)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按键方式：实体按键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管控门数：1门；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存储容量：10万人（含20万张卡、10万个密码、1万枚指纹），60万条事件记录；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可接读卡器：RS485读卡器*2、Wiegand读卡器*2；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通讯加密：采用SM2、SM3进行信息通信加密；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通信接口：网口*1、RS485*7、韦根*2；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门相关接口：门锁*1，门磁*1，开门按钮*1；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报警接口：报警输入*2，报警输出*2；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其他接口：带消防联动继电器接口、接蓄电池功能接口；</w:t>
            </w:r>
          </w:p>
        </w:tc>
        <w:tc>
          <w:tcPr>
            <w:tcW w:w="719" w:type="pct"/>
            <w:vAlign w:val="center"/>
          </w:tcPr>
          <w:p w14:paraId="3CF4FE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28E6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7D90F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18</w:t>
            </w:r>
          </w:p>
        </w:tc>
        <w:tc>
          <w:tcPr>
            <w:tcW w:w="1012" w:type="pct"/>
            <w:vAlign w:val="center"/>
          </w:tcPr>
          <w:p w14:paraId="2527496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国密视频监控摄像机</w:t>
            </w:r>
          </w:p>
        </w:tc>
        <w:tc>
          <w:tcPr>
            <w:tcW w:w="4920" w:type="dxa"/>
            <w:vAlign w:val="center"/>
          </w:tcPr>
          <w:p w14:paraId="46EA131C">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400万星光级1/2.7"CMOS智能半球网络摄像机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内置通过国家密码局检测认证的安全芯片，支持SM1/SM2/SM3/SM4等国家商用密码算法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最小照度: 0.005Lux @(F1.2,AGC ON) ,0 Lux with IR</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电源供应: DC12V±25% / PoE(802.3af)</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红外照射距离: 最远可达30米</w:t>
            </w:r>
          </w:p>
        </w:tc>
        <w:tc>
          <w:tcPr>
            <w:tcW w:w="719" w:type="pct"/>
            <w:vAlign w:val="center"/>
          </w:tcPr>
          <w:p w14:paraId="28D49E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r>
      <w:tr w14:paraId="5DB4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27C010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w:t>
            </w:r>
          </w:p>
        </w:tc>
        <w:tc>
          <w:tcPr>
            <w:tcW w:w="1012" w:type="pct"/>
            <w:vAlign w:val="center"/>
          </w:tcPr>
          <w:p w14:paraId="188EB6D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一体化配电柜主电源线</w:t>
            </w:r>
          </w:p>
        </w:tc>
        <w:tc>
          <w:tcPr>
            <w:tcW w:w="4920" w:type="dxa"/>
            <w:vAlign w:val="center"/>
          </w:tcPr>
          <w:p w14:paraId="76C3A171">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sz w:val="21"/>
                <w:szCs w:val="21"/>
                <w:lang w:val="en-US" w:eastAsia="zh-CN" w:bidi="ar"/>
              </w:rPr>
              <w:t>YJV-0.6/1kv-4×95+1×50mm</w:t>
            </w:r>
            <w:r>
              <w:rPr>
                <w:rStyle w:val="13"/>
                <w:rFonts w:hint="eastAsia" w:asciiTheme="minorEastAsia" w:hAnsiTheme="minorEastAsia" w:eastAsiaTheme="minorEastAsia" w:cstheme="minorEastAsia"/>
                <w:sz w:val="21"/>
                <w:szCs w:val="21"/>
                <w:lang w:val="en-US" w:eastAsia="zh-CN" w:bidi="ar"/>
              </w:rPr>
              <w:t>²</w:t>
            </w:r>
          </w:p>
        </w:tc>
        <w:tc>
          <w:tcPr>
            <w:tcW w:w="719" w:type="pct"/>
            <w:vAlign w:val="center"/>
          </w:tcPr>
          <w:p w14:paraId="7576689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r>
      <w:tr w14:paraId="2AE7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3DDF3F2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12" w:type="pct"/>
            <w:vAlign w:val="center"/>
          </w:tcPr>
          <w:p w14:paraId="476D014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机柜PDU电源线</w:t>
            </w:r>
          </w:p>
        </w:tc>
        <w:tc>
          <w:tcPr>
            <w:tcW w:w="4920" w:type="dxa"/>
            <w:vAlign w:val="center"/>
          </w:tcPr>
          <w:p w14:paraId="38178ED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sz w:val="21"/>
                <w:szCs w:val="21"/>
                <w:lang w:val="en-US" w:eastAsia="zh-CN" w:bidi="ar"/>
              </w:rPr>
              <w:t>ZA-RVV-3x6mm</w:t>
            </w:r>
            <w:r>
              <w:rPr>
                <w:rStyle w:val="13"/>
                <w:rFonts w:hint="eastAsia" w:asciiTheme="minorEastAsia" w:hAnsiTheme="minorEastAsia" w:eastAsiaTheme="minorEastAsia" w:cstheme="minorEastAsia"/>
                <w:sz w:val="21"/>
                <w:szCs w:val="21"/>
                <w:lang w:val="en-US" w:eastAsia="zh-CN" w:bidi="ar"/>
              </w:rPr>
              <w:t>²</w:t>
            </w:r>
          </w:p>
        </w:tc>
        <w:tc>
          <w:tcPr>
            <w:tcW w:w="719" w:type="pct"/>
            <w:vAlign w:val="center"/>
          </w:tcPr>
          <w:p w14:paraId="799D3BB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7137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43BF5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12" w:type="pct"/>
            <w:vAlign w:val="center"/>
          </w:tcPr>
          <w:p w14:paraId="3A6B70B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空调电源线</w:t>
            </w:r>
          </w:p>
        </w:tc>
        <w:tc>
          <w:tcPr>
            <w:tcW w:w="4920" w:type="dxa"/>
            <w:vAlign w:val="center"/>
          </w:tcPr>
          <w:p w14:paraId="15EF913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12"/>
                <w:rFonts w:hint="eastAsia" w:asciiTheme="minorEastAsia" w:hAnsiTheme="minorEastAsia" w:eastAsiaTheme="minorEastAsia" w:cstheme="minorEastAsia"/>
                <w:sz w:val="21"/>
                <w:szCs w:val="21"/>
                <w:lang w:val="en-US" w:eastAsia="zh-CN" w:bidi="ar"/>
              </w:rPr>
              <w:t>ZA-RVV-5x10mm</w:t>
            </w:r>
            <w:r>
              <w:rPr>
                <w:rStyle w:val="13"/>
                <w:rFonts w:hint="eastAsia" w:asciiTheme="minorEastAsia" w:hAnsiTheme="minorEastAsia" w:eastAsiaTheme="minorEastAsia" w:cstheme="minorEastAsia"/>
                <w:sz w:val="21"/>
                <w:szCs w:val="21"/>
                <w:lang w:val="en-US" w:eastAsia="zh-CN" w:bidi="ar"/>
              </w:rPr>
              <w:t>²</w:t>
            </w:r>
          </w:p>
        </w:tc>
        <w:tc>
          <w:tcPr>
            <w:tcW w:w="719" w:type="pct"/>
            <w:vAlign w:val="center"/>
          </w:tcPr>
          <w:p w14:paraId="2D0A4DF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6610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74BBA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12" w:type="pct"/>
            <w:vAlign w:val="center"/>
          </w:tcPr>
          <w:p w14:paraId="3662A7D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设备承重架</w:t>
            </w:r>
          </w:p>
        </w:tc>
        <w:tc>
          <w:tcPr>
            <w:tcW w:w="4920" w:type="dxa"/>
            <w:vAlign w:val="center"/>
          </w:tcPr>
          <w:p w14:paraId="7FC1B992">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定制，机柜*7、空调室内机*2/室外机*2、一体化UPS*1、电池架*1</w:t>
            </w:r>
          </w:p>
        </w:tc>
        <w:tc>
          <w:tcPr>
            <w:tcW w:w="719" w:type="pct"/>
            <w:vAlign w:val="center"/>
          </w:tcPr>
          <w:p w14:paraId="345ECF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A8C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50C6F0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12" w:type="pct"/>
            <w:vAlign w:val="center"/>
          </w:tcPr>
          <w:p w14:paraId="586456E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落地网络机柜</w:t>
            </w:r>
          </w:p>
        </w:tc>
        <w:tc>
          <w:tcPr>
            <w:tcW w:w="4920" w:type="dxa"/>
            <w:vAlign w:val="center"/>
          </w:tcPr>
          <w:p w14:paraId="4B2EA7C0">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42U，600*600*2000MM，含PDU、安装配件等</w:t>
            </w:r>
          </w:p>
        </w:tc>
        <w:tc>
          <w:tcPr>
            <w:tcW w:w="719" w:type="pct"/>
            <w:vAlign w:val="center"/>
          </w:tcPr>
          <w:p w14:paraId="3103F2B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r>
      <w:tr w14:paraId="0CBB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547F8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12" w:type="pct"/>
            <w:vAlign w:val="center"/>
          </w:tcPr>
          <w:p w14:paraId="3595C3F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壁挂网络机柜</w:t>
            </w:r>
          </w:p>
        </w:tc>
        <w:tc>
          <w:tcPr>
            <w:tcW w:w="4920" w:type="dxa"/>
            <w:vAlign w:val="center"/>
          </w:tcPr>
          <w:p w14:paraId="494F1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18U，600*600*1000MM，含PDU、安装配件等</w:t>
            </w:r>
          </w:p>
        </w:tc>
        <w:tc>
          <w:tcPr>
            <w:tcW w:w="719" w:type="pct"/>
            <w:vAlign w:val="center"/>
          </w:tcPr>
          <w:p w14:paraId="059EF6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6D3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928AD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12" w:type="pct"/>
            <w:vAlign w:val="center"/>
          </w:tcPr>
          <w:p w14:paraId="28A119E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机柜PDU</w:t>
            </w:r>
          </w:p>
        </w:tc>
        <w:tc>
          <w:tcPr>
            <w:tcW w:w="4920" w:type="dxa"/>
            <w:vAlign w:val="center"/>
          </w:tcPr>
          <w:p w14:paraId="504B25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16A输入-10*10A国标插座输出</w:t>
            </w:r>
          </w:p>
        </w:tc>
        <w:tc>
          <w:tcPr>
            <w:tcW w:w="719" w:type="pct"/>
            <w:vAlign w:val="center"/>
          </w:tcPr>
          <w:p w14:paraId="316A8D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r>
      <w:tr w14:paraId="6BB3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C7FC7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12" w:type="pct"/>
            <w:vAlign w:val="center"/>
          </w:tcPr>
          <w:p w14:paraId="49707D1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弱电井配电箱</w:t>
            </w:r>
          </w:p>
        </w:tc>
        <w:tc>
          <w:tcPr>
            <w:tcW w:w="4920" w:type="dxa"/>
            <w:vAlign w:val="center"/>
          </w:tcPr>
          <w:p w14:paraId="031023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定制，含空开、接线柱、箱体等</w:t>
            </w:r>
          </w:p>
        </w:tc>
        <w:tc>
          <w:tcPr>
            <w:tcW w:w="719" w:type="pct"/>
            <w:vAlign w:val="center"/>
          </w:tcPr>
          <w:p w14:paraId="72215FA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r>
      <w:tr w14:paraId="5152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3D7232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12" w:type="pct"/>
            <w:vAlign w:val="center"/>
          </w:tcPr>
          <w:p w14:paraId="20A22FC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主干配电线缆</w:t>
            </w:r>
          </w:p>
        </w:tc>
        <w:tc>
          <w:tcPr>
            <w:tcW w:w="4920" w:type="dxa"/>
            <w:vAlign w:val="center"/>
          </w:tcPr>
          <w:p w14:paraId="1197B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ZA-RVV-3x6mm²</w:t>
            </w:r>
          </w:p>
        </w:tc>
        <w:tc>
          <w:tcPr>
            <w:tcW w:w="719" w:type="pct"/>
            <w:vAlign w:val="center"/>
          </w:tcPr>
          <w:p w14:paraId="0D48E68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36C1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6924C8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12" w:type="pct"/>
            <w:vAlign w:val="center"/>
          </w:tcPr>
          <w:p w14:paraId="0B84BA4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配电线缆</w:t>
            </w:r>
          </w:p>
        </w:tc>
        <w:tc>
          <w:tcPr>
            <w:tcW w:w="4920" w:type="dxa"/>
            <w:vAlign w:val="center"/>
          </w:tcPr>
          <w:p w14:paraId="2FC0B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ZA-RVV-3x4mm²</w:t>
            </w:r>
          </w:p>
        </w:tc>
        <w:tc>
          <w:tcPr>
            <w:tcW w:w="719" w:type="pct"/>
            <w:vAlign w:val="center"/>
          </w:tcPr>
          <w:p w14:paraId="30CF874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r>
      <w:tr w14:paraId="7A7A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D7C1A0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12" w:type="pct"/>
            <w:vAlign w:val="center"/>
          </w:tcPr>
          <w:p w14:paraId="318290D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JDG线管</w:t>
            </w:r>
          </w:p>
        </w:tc>
        <w:tc>
          <w:tcPr>
            <w:tcW w:w="4920" w:type="dxa"/>
            <w:vAlign w:val="center"/>
          </w:tcPr>
          <w:p w14:paraId="65ABED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套接紧定式镀锌钢导线管，JDG20/JDG25,厚度1.5MM，含杯梳、吊杆、螺丝、底盒等配件</w:t>
            </w:r>
          </w:p>
        </w:tc>
        <w:tc>
          <w:tcPr>
            <w:tcW w:w="719" w:type="pct"/>
            <w:vAlign w:val="center"/>
          </w:tcPr>
          <w:p w14:paraId="36887D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635D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443D12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12" w:type="pct"/>
            <w:vAlign w:val="center"/>
          </w:tcPr>
          <w:p w14:paraId="18B7AC8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辅材</w:t>
            </w:r>
          </w:p>
        </w:tc>
        <w:tc>
          <w:tcPr>
            <w:tcW w:w="4920" w:type="dxa"/>
            <w:vAlign w:val="center"/>
          </w:tcPr>
          <w:p w14:paraId="628DB2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含标签、扎带、电工胶布、接地线缆等</w:t>
            </w:r>
          </w:p>
        </w:tc>
        <w:tc>
          <w:tcPr>
            <w:tcW w:w="719" w:type="pct"/>
            <w:vAlign w:val="center"/>
          </w:tcPr>
          <w:p w14:paraId="1A066D8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D8D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39BD40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012" w:type="pct"/>
            <w:vAlign w:val="center"/>
          </w:tcPr>
          <w:p w14:paraId="23188C1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第三方验收测评服务</w:t>
            </w:r>
          </w:p>
        </w:tc>
        <w:tc>
          <w:tcPr>
            <w:tcW w:w="4920" w:type="dxa"/>
            <w:vAlign w:val="center"/>
          </w:tcPr>
          <w:p w14:paraId="7378C3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核查灾备机房实施成果相对设计内容的内容符合性、功能完备性、性能合格性、实施规范性等方面</w:t>
            </w:r>
          </w:p>
        </w:tc>
        <w:tc>
          <w:tcPr>
            <w:tcW w:w="719" w:type="pct"/>
            <w:vAlign w:val="center"/>
          </w:tcPr>
          <w:p w14:paraId="4E9E39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61B615A7">
      <w:pPr>
        <w:keepNext w:val="0"/>
        <w:keepLines w:val="0"/>
        <w:pageBreakBefore w:val="0"/>
        <w:widowControl w:val="0"/>
        <w:numPr>
          <w:ilvl w:val="0"/>
          <w:numId w:val="0"/>
        </w:numPr>
        <w:kinsoku/>
        <w:wordWrap/>
        <w:overflowPunct/>
        <w:topLinePunct w:val="0"/>
        <w:autoSpaceDE/>
        <w:autoSpaceDN/>
        <w:bidi w:val="0"/>
        <w:spacing w:line="24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软件部分：</w:t>
      </w:r>
    </w:p>
    <w:tbl>
      <w:tblPr>
        <w:tblStyle w:val="3"/>
        <w:tblW w:w="4999" w:type="pct"/>
        <w:jc w:val="center"/>
        <w:tblLayout w:type="autofit"/>
        <w:tblCellMar>
          <w:top w:w="0" w:type="dxa"/>
          <w:left w:w="108" w:type="dxa"/>
          <w:bottom w:w="0" w:type="dxa"/>
          <w:right w:w="108" w:type="dxa"/>
        </w:tblCellMar>
      </w:tblPr>
      <w:tblGrid>
        <w:gridCol w:w="1993"/>
        <w:gridCol w:w="2831"/>
        <w:gridCol w:w="4462"/>
      </w:tblGrid>
      <w:tr w14:paraId="4797C90D">
        <w:tblPrEx>
          <w:tblCellMar>
            <w:top w:w="0" w:type="dxa"/>
            <w:left w:w="108" w:type="dxa"/>
            <w:bottom w:w="0" w:type="dxa"/>
            <w:right w:w="108" w:type="dxa"/>
          </w:tblCellMar>
        </w:tblPrEx>
        <w:trPr>
          <w:trHeight w:val="552"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4998E">
            <w:pPr>
              <w:widowControl/>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t>编号</w:t>
            </w:r>
          </w:p>
        </w:tc>
        <w:tc>
          <w:tcPr>
            <w:tcW w:w="1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3E0FC">
            <w:pPr>
              <w:widowControl/>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t>子系统</w:t>
            </w: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8743E">
            <w:pPr>
              <w:widowControl/>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t>模块</w:t>
            </w:r>
          </w:p>
        </w:tc>
      </w:tr>
      <w:tr w14:paraId="099E0047">
        <w:tblPrEx>
          <w:tblCellMar>
            <w:top w:w="0" w:type="dxa"/>
            <w:left w:w="108" w:type="dxa"/>
            <w:bottom w:w="0" w:type="dxa"/>
            <w:right w:w="108" w:type="dxa"/>
          </w:tblCellMar>
        </w:tblPrEx>
        <w:trPr>
          <w:trHeight w:val="173"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FF10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9D05C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儿童哮喘标准化病历管理基础支撑平台</w:t>
            </w: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6504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1.1用户管理</w:t>
            </w:r>
          </w:p>
        </w:tc>
      </w:tr>
      <w:tr w14:paraId="68038CDD">
        <w:tblPrEx>
          <w:tblCellMar>
            <w:top w:w="0" w:type="dxa"/>
            <w:left w:w="108" w:type="dxa"/>
            <w:bottom w:w="0" w:type="dxa"/>
            <w:right w:w="108" w:type="dxa"/>
          </w:tblCellMar>
        </w:tblPrEx>
        <w:trPr>
          <w:trHeight w:val="216"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4EBC9">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446F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9675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1.2角色管理</w:t>
            </w:r>
          </w:p>
        </w:tc>
      </w:tr>
      <w:tr w14:paraId="2243DAF3">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5876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B286E6">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870A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1.3组织机构管理</w:t>
            </w:r>
          </w:p>
        </w:tc>
      </w:tr>
      <w:tr w14:paraId="1F8EF4F3">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F1DA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D265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0765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1.4药械数据</w:t>
            </w:r>
          </w:p>
        </w:tc>
      </w:tr>
      <w:tr w14:paraId="045C52F9">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4D5EA">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D94A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6B70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1.5模版管理</w:t>
            </w:r>
          </w:p>
        </w:tc>
      </w:tr>
      <w:tr w14:paraId="3F089A6B">
        <w:tblPrEx>
          <w:tblCellMar>
            <w:top w:w="0" w:type="dxa"/>
            <w:left w:w="108" w:type="dxa"/>
            <w:bottom w:w="0" w:type="dxa"/>
            <w:right w:w="108" w:type="dxa"/>
          </w:tblCellMar>
        </w:tblPrEx>
        <w:trPr>
          <w:trHeight w:val="30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456E5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DDBC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标准化病历管理系统</w:t>
            </w: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D150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2.1病历建档及查询</w:t>
            </w:r>
          </w:p>
        </w:tc>
      </w:tr>
      <w:tr w14:paraId="49363D38">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7E426F">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A6B2B">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4041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2.2智能风险初筛</w:t>
            </w:r>
          </w:p>
        </w:tc>
      </w:tr>
      <w:tr w14:paraId="225C1BA7">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4C6C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18EAF">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A83B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2.3智能问诊</w:t>
            </w:r>
          </w:p>
        </w:tc>
      </w:tr>
      <w:tr w14:paraId="4F739A61">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5FA6E">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9B9FE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17C8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2.4智能化治疗方案</w:t>
            </w:r>
          </w:p>
        </w:tc>
      </w:tr>
      <w:tr w14:paraId="78270528">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CCA0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147D7">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4CE5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2.5智能化行动计划</w:t>
            </w:r>
          </w:p>
        </w:tc>
      </w:tr>
      <w:tr w14:paraId="55965229">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1358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3F3AA5">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F218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2.6在线课程</w:t>
            </w:r>
          </w:p>
        </w:tc>
      </w:tr>
      <w:tr w14:paraId="62C9F0D9">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2249E">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2ED2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49D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2.7统计分析</w:t>
            </w:r>
          </w:p>
        </w:tc>
      </w:tr>
      <w:tr w14:paraId="28383BCA">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92287">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E1EFB">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4F6B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2.8远程复诊</w:t>
            </w:r>
          </w:p>
        </w:tc>
      </w:tr>
      <w:tr w14:paraId="2F631CD4">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A2FF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E6E3C">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0251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2.9智能化评估</w:t>
            </w:r>
          </w:p>
        </w:tc>
      </w:tr>
      <w:tr w14:paraId="7A5BA594">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6B232E">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C43BB6">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0AF4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2.10智能化随访</w:t>
            </w:r>
          </w:p>
        </w:tc>
      </w:tr>
      <w:tr w14:paraId="094CDA8D">
        <w:tblPrEx>
          <w:tblCellMar>
            <w:top w:w="0" w:type="dxa"/>
            <w:left w:w="108" w:type="dxa"/>
            <w:bottom w:w="0" w:type="dxa"/>
            <w:right w:w="108" w:type="dxa"/>
          </w:tblCellMar>
        </w:tblPrEx>
        <w:trPr>
          <w:trHeight w:val="30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586C3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10EA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患者随访系统</w:t>
            </w: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88BC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3.1健康档案</w:t>
            </w:r>
          </w:p>
        </w:tc>
      </w:tr>
      <w:tr w14:paraId="0C7A95D8">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AA6BE">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95B36">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6258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3.2智能化哮喘控制评估</w:t>
            </w:r>
          </w:p>
        </w:tc>
      </w:tr>
      <w:tr w14:paraId="4BD538C3">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6105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F9C0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C5BB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3.3哮喘日记</w:t>
            </w:r>
          </w:p>
        </w:tc>
      </w:tr>
      <w:tr w14:paraId="7B7085CB">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37F03">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69FD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7A0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3.4用药打卡记录及同步至医护端</w:t>
            </w:r>
          </w:p>
        </w:tc>
      </w:tr>
      <w:tr w14:paraId="485A8A3D">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0683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B2CA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63A6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3.5音视频上传同步至医护端</w:t>
            </w:r>
          </w:p>
        </w:tc>
      </w:tr>
      <w:tr w14:paraId="0E2D527F">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7F7C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B4E5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CA14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3.6科普资讯</w:t>
            </w:r>
          </w:p>
        </w:tc>
      </w:tr>
      <w:tr w14:paraId="301B9B0A">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DB216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FB6BA">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9810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3.7远程复诊申请</w:t>
            </w:r>
          </w:p>
        </w:tc>
      </w:tr>
      <w:tr w14:paraId="77E8F2D7">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1C6FF">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EF0C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1F19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3.8健康分析</w:t>
            </w:r>
          </w:p>
        </w:tc>
      </w:tr>
    </w:tbl>
    <w:p w14:paraId="39669BF8">
      <w:pPr>
        <w:keepNext w:val="0"/>
        <w:keepLines w:val="0"/>
        <w:pageBreakBefore w:val="0"/>
        <w:widowControl w:val="0"/>
        <w:numPr>
          <w:ilvl w:val="0"/>
          <w:numId w:val="0"/>
        </w:numPr>
        <w:kinsoku/>
        <w:wordWrap/>
        <w:overflowPunct/>
        <w:topLinePunct w:val="0"/>
        <w:autoSpaceDE/>
        <w:autoSpaceDN/>
        <w:bidi w:val="0"/>
        <w:spacing w:line="240" w:lineRule="auto"/>
        <w:ind w:leftChars="143"/>
        <w:jc w:val="left"/>
        <w:textAlignment w:val="auto"/>
        <w:rPr>
          <w:rFonts w:hint="default" w:ascii="宋体" w:hAnsi="宋体" w:cs="宋体"/>
          <w:color w:val="auto"/>
          <w:sz w:val="24"/>
          <w:szCs w:val="24"/>
          <w:highlight w:val="none"/>
          <w:lang w:val="en-US" w:eastAsia="zh-CN"/>
        </w:rPr>
      </w:pPr>
    </w:p>
    <w:p w14:paraId="0835800A"/>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E2D9D"/>
    <w:rsid w:val="113E2D9D"/>
    <w:rsid w:val="3C863456"/>
    <w:rsid w:val="4A336C3B"/>
    <w:rsid w:val="4E7E5852"/>
    <w:rsid w:val="7A8A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无缩)"/>
    <w:basedOn w:val="1"/>
    <w:qFormat/>
    <w:uiPriority w:val="0"/>
    <w:pPr>
      <w:spacing w:line="288" w:lineRule="auto"/>
      <w:ind w:firstLine="0" w:firstLineChars="0"/>
    </w:pPr>
    <w:rPr>
      <w:rFonts w:cs="Times New Roman"/>
      <w:sz w:val="21"/>
      <w:szCs w:val="21"/>
      <w14:ligatures w14:val="none"/>
    </w:rPr>
  </w:style>
  <w:style w:type="character" w:customStyle="1" w:styleId="7">
    <w:name w:val="font21"/>
    <w:basedOn w:val="5"/>
    <w:qFormat/>
    <w:uiPriority w:val="0"/>
    <w:rPr>
      <w:rFonts w:ascii="Calibri" w:hAnsi="Calibri" w:cs="Calibri"/>
      <w:color w:val="000000"/>
      <w:sz w:val="21"/>
      <w:szCs w:val="21"/>
      <w:u w:val="none"/>
    </w:rPr>
  </w:style>
  <w:style w:type="character" w:customStyle="1" w:styleId="8">
    <w:name w:val="font11"/>
    <w:basedOn w:val="5"/>
    <w:qFormat/>
    <w:uiPriority w:val="0"/>
    <w:rPr>
      <w:rFonts w:hint="eastAsia" w:ascii="宋体" w:hAnsi="宋体" w:eastAsia="宋体" w:cs="宋体"/>
      <w:color w:val="000000"/>
      <w:sz w:val="21"/>
      <w:szCs w:val="21"/>
      <w:u w:val="none"/>
    </w:rPr>
  </w:style>
  <w:style w:type="table" w:customStyle="1" w:styleId="9">
    <w:name w:val="网格型8"/>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表格文字"/>
    <w:basedOn w:val="1"/>
    <w:qFormat/>
    <w:uiPriority w:val="0"/>
    <w:pPr>
      <w:ind w:firstLine="0" w:firstLineChars="0"/>
    </w:pPr>
    <w:rPr>
      <w:rFonts w:ascii="Times New Roman" w:hAnsi="Times New Roman" w:cs="Times New Roman"/>
      <w:kern w:val="0"/>
      <w:sz w:val="21"/>
      <w:szCs w:val="24"/>
      <w14:ligatures w14:val="none"/>
    </w:rPr>
  </w:style>
  <w:style w:type="paragraph" w:customStyle="1" w:styleId="11">
    <w:name w:val="公文正文"/>
    <w:qFormat/>
    <w:uiPriority w:val="0"/>
    <w:pPr>
      <w:widowControl/>
      <w:tabs>
        <w:tab w:val="left" w:pos="420"/>
      </w:tabs>
      <w:bidi w:val="0"/>
      <w:spacing w:line="400" w:lineRule="exact"/>
      <w:ind w:left="0" w:leftChars="0" w:firstLine="640" w:firstLineChars="200"/>
      <w:jc w:val="both"/>
      <w:outlineLvl w:val="9"/>
    </w:pPr>
    <w:rPr>
      <w:rFonts w:ascii="仿宋_GB2312" w:hAnsi="仿宋_GB2312" w:eastAsia="仿宋_GB2312" w:cs="黑体"/>
      <w:color w:val="000000"/>
      <w:kern w:val="0"/>
      <w:sz w:val="24"/>
      <w:szCs w:val="28"/>
      <w:lang w:val="en-US" w:eastAsia="zh-CN" w:bidi="ar"/>
    </w:rPr>
  </w:style>
  <w:style w:type="character" w:customStyle="1" w:styleId="12">
    <w:name w:val="font31"/>
    <w:basedOn w:val="5"/>
    <w:qFormat/>
    <w:uiPriority w:val="0"/>
    <w:rPr>
      <w:rFonts w:hint="default" w:ascii="仿宋_GB2312" w:eastAsia="仿宋_GB2312" w:cs="仿宋_GB2312"/>
      <w:color w:val="000000"/>
      <w:sz w:val="20"/>
      <w:szCs w:val="20"/>
      <w:u w:val="none"/>
    </w:rPr>
  </w:style>
  <w:style w:type="character" w:customStyle="1" w:styleId="13">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4839</Words>
  <Characters>6128</Characters>
  <Lines>0</Lines>
  <Paragraphs>0</Paragraphs>
  <TotalTime>5</TotalTime>
  <ScaleCrop>false</ScaleCrop>
  <LinksUpToDate>false</LinksUpToDate>
  <CharactersWithSpaces>6188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2025-10-11T01:22:00Z</dcterms:created>
  <dc:creator>何舒晨</dc:creator>
  <cp:lastModifiedBy>何舒晨</cp:lastModifiedBy>
  <dcterms:modified xsi:type="dcterms:W3CDTF">2025-11-26T01:23:38Z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C937001B07144B0895F46820DA83D323_13</vt:lpwstr>
  </property>
  <property fmtid="{D5CDD505-2E9C-101B-9397-08002B2CF9AE}" pid="4" name="KSOTemplateDocerSaveRecord">
    <vt:lpwstr>eyJoZGlkIjoiNDlmZjk0MTBkNjA1MzY3NzA4ZWQ1MDIyZjczODg0MzAiLCJ1c2VySWQiOiIxOTU4NTc0OTQifQ==</vt:lpwstr>
  </property>
</Properties>
</file>