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7698">
      <w:pPr>
        <w:keepNext w:val="0"/>
        <w:keepLines w:val="0"/>
        <w:pageBreakBefore w:val="0"/>
        <w:widowControl w:val="0"/>
        <w:kinsoku/>
        <w:wordWrap/>
        <w:overflowPunct/>
        <w:topLinePunct w:val="0"/>
        <w:autoSpaceDE/>
        <w:autoSpaceDN/>
        <w:bidi w:val="0"/>
        <w:spacing w:line="240" w:lineRule="auto"/>
        <w:ind w:left="-540" w:leftChars="-257" w:firstLine="964" w:firstLineChars="4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附件 </w:t>
      </w:r>
    </w:p>
    <w:p w14:paraId="480F29CB">
      <w:pPr>
        <w:keepNext w:val="0"/>
        <w:keepLines w:val="0"/>
        <w:pageBreakBefore w:val="0"/>
        <w:widowControl w:val="0"/>
        <w:kinsoku/>
        <w:wordWrap/>
        <w:overflowPunct/>
        <w:topLinePunct w:val="0"/>
        <w:autoSpaceDE/>
        <w:autoSpaceDN/>
        <w:bidi w:val="0"/>
        <w:spacing w:line="240" w:lineRule="auto"/>
        <w:ind w:left="-540" w:leftChars="-257" w:firstLine="964" w:firstLineChars="400"/>
        <w:jc w:val="center"/>
        <w:textAlignment w:val="auto"/>
        <w:rPr>
          <w:rFonts w:hint="default" w:ascii="宋体" w:hAnsi="宋体" w:cs="宋体"/>
          <w:b/>
          <w:bCs/>
          <w:color w:val="auto"/>
          <w:sz w:val="24"/>
          <w:szCs w:val="24"/>
          <w:highlight w:val="none"/>
          <w:lang w:val="en-US" w:eastAsia="zh-CN"/>
        </w:rPr>
      </w:pPr>
      <w:bookmarkStart w:id="0" w:name="_GoBack"/>
      <w:r>
        <w:rPr>
          <w:rFonts w:hint="eastAsia" w:ascii="宋体" w:hAnsi="宋体" w:cs="宋体"/>
          <w:b/>
          <w:bCs/>
          <w:color w:val="auto"/>
          <w:sz w:val="24"/>
          <w:szCs w:val="24"/>
          <w:highlight w:val="none"/>
          <w:lang w:val="en-US" w:eastAsia="zh-CN"/>
        </w:rPr>
        <w:t>信息化项目简介-儿童健康大楼项目（信息化部分）</w:t>
      </w:r>
    </w:p>
    <w:bookmarkEnd w:id="0"/>
    <w:p w14:paraId="025B8E4F">
      <w:pPr>
        <w:pStyle w:val="11"/>
        <w:keepNext w:val="0"/>
        <w:keepLines w:val="0"/>
        <w:pageBreakBefore w:val="0"/>
        <w:widowControl/>
        <w:kinsoku/>
        <w:wordWrap/>
        <w:overflowPunct/>
        <w:topLinePunct w:val="0"/>
        <w:autoSpaceDE/>
        <w:autoSpaceDN/>
        <w:bidi w:val="0"/>
        <w:adjustRightInd/>
        <w:snapToGrid/>
        <w:spacing w:line="240" w:lineRule="auto"/>
        <w:ind w:left="0" w:leftChars="0" w:firstLine="480"/>
        <w:textAlignment w:val="auto"/>
        <w:outlineLvl w:val="9"/>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本次项目作为儿童健康大楼建设的重要信息化配套设施，根据《惠州市医疗卫生服务体系“十四五”规划》的内容，根据《全国医院信息化建设标准规范》、《关于进一步推进以电子病历为核心的医疗机构信息化建设工作的通知》信息化建设要求，开展儿童健康大楼信息化建设。实现以下建设目标：</w:t>
      </w:r>
    </w:p>
    <w:p w14:paraId="20E1BFB1">
      <w:pPr>
        <w:pStyle w:val="11"/>
        <w:keepNext w:val="0"/>
        <w:keepLines w:val="0"/>
        <w:pageBreakBefore w:val="0"/>
        <w:widowControl/>
        <w:kinsoku/>
        <w:wordWrap/>
        <w:overflowPunct/>
        <w:topLinePunct w:val="0"/>
        <w:autoSpaceDE/>
        <w:autoSpaceDN/>
        <w:bidi w:val="0"/>
        <w:adjustRightInd/>
        <w:snapToGrid/>
        <w:spacing w:line="240" w:lineRule="auto"/>
        <w:ind w:left="0" w:leftChars="0" w:firstLine="480"/>
        <w:textAlignment w:val="auto"/>
        <w:outlineLvl w:val="9"/>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一是通过开展大楼配套信息系统建设，项目完成机房设备、存储设备、网络设备及无线网络覆盖等建设，完成儿童健康大楼正常投入使用的配套系统建设，提高医院的医疗服务能力、运营管理水平，提升患者体验等，实现数字医院建设的总体绩效目标。</w:t>
      </w:r>
    </w:p>
    <w:p w14:paraId="6B52D4B4">
      <w:pPr>
        <w:pStyle w:val="11"/>
        <w:keepNext w:val="0"/>
        <w:keepLines w:val="0"/>
        <w:pageBreakBefore w:val="0"/>
        <w:widowControl/>
        <w:kinsoku/>
        <w:wordWrap/>
        <w:overflowPunct/>
        <w:topLinePunct w:val="0"/>
        <w:autoSpaceDE/>
        <w:autoSpaceDN/>
        <w:bidi w:val="0"/>
        <w:adjustRightInd/>
        <w:snapToGrid/>
        <w:spacing w:line="240" w:lineRule="auto"/>
        <w:ind w:left="0" w:leftChars="0" w:firstLine="480"/>
        <w:textAlignment w:val="auto"/>
        <w:outlineLvl w:val="9"/>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二是通过开展哮喘病历云软件信息系统建设，进一步提升医院信息化建设水平，通过建设先进的信息技术，促进医院儿童健康医疗服务业务发展，有效保障区域儿童健康服务的可及性、有效性和规范性，降低儿童死亡率，提高儿童健康水平和儿童医疗保障，以解决惠州市儿科医疗服务现状存在的问题，满足惠州市儿童的医疗和康复保健需求。</w:t>
      </w:r>
    </w:p>
    <w:p w14:paraId="22A1245E">
      <w:pPr>
        <w:keepNext w:val="0"/>
        <w:keepLines w:val="0"/>
        <w:pageBreakBefore w:val="0"/>
        <w:widowControl w:val="0"/>
        <w:numPr>
          <w:ilvl w:val="-1"/>
          <w:numId w:val="0"/>
        </w:numPr>
        <w:kinsoku/>
        <w:wordWrap/>
        <w:overflowPunct/>
        <w:topLinePunct w:val="0"/>
        <w:autoSpaceDE/>
        <w:autoSpaceDN/>
        <w:bidi w:val="0"/>
        <w:spacing w:line="240" w:lineRule="auto"/>
        <w:ind w:left="0" w:leftChars="0"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硬件部分：</w:t>
      </w:r>
    </w:p>
    <w:tbl>
      <w:tblPr>
        <w:tblStyle w:val="3"/>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1840"/>
        <w:gridCol w:w="4920"/>
        <w:gridCol w:w="1307"/>
      </w:tblGrid>
      <w:tr w14:paraId="389D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61" w:type="pct"/>
            <w:vAlign w:val="center"/>
          </w:tcPr>
          <w:p w14:paraId="54B5E531">
            <w:pPr>
              <w:spacing w:line="240" w:lineRule="auto"/>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序号</w:t>
            </w:r>
          </w:p>
        </w:tc>
        <w:tc>
          <w:tcPr>
            <w:tcW w:w="1012" w:type="pct"/>
            <w:vAlign w:val="center"/>
          </w:tcPr>
          <w:p w14:paraId="1E2CFB6E">
            <w:pPr>
              <w:spacing w:line="240" w:lineRule="auto"/>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设备及软件名称</w:t>
            </w:r>
          </w:p>
        </w:tc>
        <w:tc>
          <w:tcPr>
            <w:tcW w:w="2706" w:type="pct"/>
            <w:vAlign w:val="center"/>
          </w:tcPr>
          <w:p w14:paraId="7C55E666">
            <w:pPr>
              <w:spacing w:line="240" w:lineRule="auto"/>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主要性能指标、配置参数，软件许可数量</w:t>
            </w:r>
          </w:p>
        </w:tc>
        <w:tc>
          <w:tcPr>
            <w:tcW w:w="719" w:type="pct"/>
            <w:vAlign w:val="center"/>
          </w:tcPr>
          <w:p w14:paraId="7CAEE698">
            <w:pPr>
              <w:spacing w:line="240" w:lineRule="auto"/>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数量</w:t>
            </w:r>
          </w:p>
        </w:tc>
      </w:tr>
      <w:tr w14:paraId="2602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7F113AC5">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一</w:t>
            </w:r>
          </w:p>
        </w:tc>
        <w:tc>
          <w:tcPr>
            <w:tcW w:w="1012" w:type="pct"/>
            <w:vAlign w:val="center"/>
          </w:tcPr>
          <w:p w14:paraId="466C096A">
            <w:pPr>
              <w:spacing w:line="240" w:lineRule="auto"/>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网络设备系统</w:t>
            </w:r>
          </w:p>
        </w:tc>
        <w:tc>
          <w:tcPr>
            <w:tcW w:w="2706" w:type="pct"/>
            <w:vAlign w:val="center"/>
          </w:tcPr>
          <w:p w14:paraId="57BAFD01">
            <w:pPr>
              <w:spacing w:line="240" w:lineRule="auto"/>
              <w:ind w:left="0" w:leftChars="0" w:firstLine="0" w:firstLineChars="0"/>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19" w:type="pct"/>
            <w:vAlign w:val="center"/>
          </w:tcPr>
          <w:p w14:paraId="5455F310">
            <w:pPr>
              <w:spacing w:line="240" w:lineRule="auto"/>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14:paraId="52F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2EA3B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012" w:type="pct"/>
            <w:vAlign w:val="center"/>
          </w:tcPr>
          <w:p w14:paraId="50533FA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24口接入交换机</w:t>
            </w:r>
          </w:p>
        </w:tc>
        <w:tc>
          <w:tcPr>
            <w:tcW w:w="2706" w:type="pct"/>
            <w:vAlign w:val="center"/>
          </w:tcPr>
          <w:p w14:paraId="551BD2B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交换容量≥672Gbps，包转发率≥171Mpps；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提供≥24个10/100/1000BASE-T电口，提供≥4个1/10GE SFP+端口；</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支持基于端口的VLAN，支持基于协议的VLAN；</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支持IPv4/IPV6双栈管理和转发，支持静态路由协议和RIP、OSPF等路由协议，支持丰富的管理和安全特性；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06E0A6B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r>
      <w:tr w14:paraId="623C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77E44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012" w:type="pct"/>
            <w:vAlign w:val="center"/>
          </w:tcPr>
          <w:p w14:paraId="695B9BA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48口接入交换机</w:t>
            </w:r>
          </w:p>
        </w:tc>
        <w:tc>
          <w:tcPr>
            <w:tcW w:w="2706" w:type="pct"/>
            <w:vAlign w:val="center"/>
          </w:tcPr>
          <w:p w14:paraId="2E43002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交换容量≥672Gbps，包转发率≥207Mpps；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提供≥48个10/100/1000BASE-T电口，提供≥4个1/10GE SFP+端口；</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支持基于端口的VLAN，支持基于协议的VLAN；</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支持IPv4/IPV6双栈管理和转发，支持静态路由协议和RIP、OSPF等路由协议，支持丰富的管理和安全特性；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1BEA6A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36</w:t>
            </w:r>
          </w:p>
        </w:tc>
      </w:tr>
      <w:tr w14:paraId="66DD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CE65D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1012" w:type="pct"/>
            <w:vAlign w:val="center"/>
          </w:tcPr>
          <w:p w14:paraId="4546206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汇聚交换机（含热备线缆）</w:t>
            </w:r>
          </w:p>
        </w:tc>
        <w:tc>
          <w:tcPr>
            <w:tcW w:w="2706" w:type="pct"/>
            <w:vAlign w:val="center"/>
          </w:tcPr>
          <w:p w14:paraId="3498F99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交换容量≥4.8Tbps，包转发率≥2000Mpps，支持≥2个电源插槽,≥2个风扇插槽；</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提供≥48个1/10G SFP+端口，≥4个QSFP+端口；</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12C5D3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014B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63F3B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c>
          <w:tcPr>
            <w:tcW w:w="1012" w:type="pct"/>
            <w:vAlign w:val="center"/>
          </w:tcPr>
          <w:p w14:paraId="71B3107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万兆多模光模块</w:t>
            </w:r>
          </w:p>
        </w:tc>
        <w:tc>
          <w:tcPr>
            <w:tcW w:w="2706" w:type="pct"/>
            <w:vAlign w:val="center"/>
          </w:tcPr>
          <w:p w14:paraId="5F1CB8D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速率：10G，波长850nm，传输距离300m，接口类型:LC，提供3年原厂质保服务</w:t>
            </w:r>
          </w:p>
        </w:tc>
        <w:tc>
          <w:tcPr>
            <w:tcW w:w="719" w:type="pct"/>
            <w:vAlign w:val="center"/>
          </w:tcPr>
          <w:p w14:paraId="4EED5B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270</w:t>
            </w:r>
          </w:p>
        </w:tc>
      </w:tr>
      <w:tr w14:paraId="7DFB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17907D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p>
        </w:tc>
        <w:tc>
          <w:tcPr>
            <w:tcW w:w="1012" w:type="pct"/>
            <w:vAlign w:val="center"/>
          </w:tcPr>
          <w:p w14:paraId="0B05836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核心交换机（热备线缆）</w:t>
            </w:r>
          </w:p>
        </w:tc>
        <w:tc>
          <w:tcPr>
            <w:tcW w:w="2706" w:type="pct"/>
            <w:vAlign w:val="center"/>
          </w:tcPr>
          <w:p w14:paraId="3C591BE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交换容量≥51Tbps 包转发率≥38400Mpps、主控槽位数≥2、槽位数量≥3；</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配置双主控，双电源，48个10G以太网光接口，24个千兆以太网电接口；</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5EEB332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72B4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588FF6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012" w:type="pct"/>
            <w:vAlign w:val="center"/>
          </w:tcPr>
          <w:p w14:paraId="48B69DC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16口语音网关</w:t>
            </w:r>
          </w:p>
        </w:tc>
        <w:tc>
          <w:tcPr>
            <w:tcW w:w="2706" w:type="pct"/>
            <w:vAlign w:val="center"/>
          </w:tcPr>
          <w:p w14:paraId="27A23E0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语音口≥16路语音FXS；WAN侧PON接口≥1路EPON/GPON自适应口；同时支持SIP、H.248及IMS-SIP语音协议；支持G.711a/u、G.723、G.726、G.729语音编解码自动协商；设备支持内部短号呼叫功能，并可并入已有短号网络；</w:t>
            </w:r>
          </w:p>
        </w:tc>
        <w:tc>
          <w:tcPr>
            <w:tcW w:w="719" w:type="pct"/>
            <w:vAlign w:val="center"/>
          </w:tcPr>
          <w:p w14:paraId="3CFFF1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16</w:t>
            </w:r>
          </w:p>
        </w:tc>
      </w:tr>
      <w:tr w14:paraId="1B9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0F50C2D">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二</w:t>
            </w:r>
          </w:p>
        </w:tc>
        <w:tc>
          <w:tcPr>
            <w:tcW w:w="1012" w:type="pct"/>
            <w:vAlign w:val="center"/>
          </w:tcPr>
          <w:p w14:paraId="4F0990BD">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无线网络覆盖系统</w:t>
            </w:r>
          </w:p>
        </w:tc>
        <w:tc>
          <w:tcPr>
            <w:tcW w:w="2706" w:type="pct"/>
            <w:vAlign w:val="center"/>
          </w:tcPr>
          <w:p w14:paraId="63B27FFA">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19" w:type="pct"/>
            <w:vAlign w:val="center"/>
          </w:tcPr>
          <w:p w14:paraId="76D651EB">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14:paraId="2FC8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5BB4A38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012" w:type="pct"/>
            <w:vAlign w:val="center"/>
          </w:tcPr>
          <w:p w14:paraId="2CE664D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吸顶AP</w:t>
            </w:r>
          </w:p>
        </w:tc>
        <w:tc>
          <w:tcPr>
            <w:tcW w:w="2706" w:type="pct"/>
            <w:vAlign w:val="center"/>
          </w:tcPr>
          <w:p w14:paraId="1507263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支持802.11ax 协议，兼容802.11a/b/g/n/ac协议；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整机采用三射频设计，整机最大传输速率≥3Gbps；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千兆以太网口≥1个；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支持虚拟AP技术，单射频SSID数量最高支持≥16，整机≥32；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支持集中转发和本地转发两种数据转发模式，同一个AP上基于SSID选择本地转发或者集中转发；</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074A4D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92</w:t>
            </w:r>
          </w:p>
        </w:tc>
      </w:tr>
      <w:tr w14:paraId="458C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45BC07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012" w:type="pct"/>
            <w:vAlign w:val="center"/>
          </w:tcPr>
          <w:p w14:paraId="0B87731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高密吸顶AP</w:t>
            </w:r>
          </w:p>
        </w:tc>
        <w:tc>
          <w:tcPr>
            <w:tcW w:w="2706" w:type="pct"/>
            <w:vAlign w:val="center"/>
          </w:tcPr>
          <w:p w14:paraId="3C8C1CB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支持802.11ax 协议，兼容802.11a/b/g/n/ac协议；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整机采用四射频设计，整机最大传输速率≥6.2Gbps；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千兆以太网口≥1个，2.5G上行电口≥1个；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支持自行对无线网络提供的服务进行检测，包括网络接入、DHCP、网关、DNS、网络地址等阶段的时延和质量检测；</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支持无线网络环境指标检测功能，包括信道总利用率、Wi-Fi信道利用率、非Wi-Fi信道利用率、同频AP数量等，以便对网络质量进行排查；</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03F8F2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w:t>
            </w:r>
          </w:p>
        </w:tc>
      </w:tr>
      <w:tr w14:paraId="076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8000C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1012" w:type="pct"/>
            <w:vAlign w:val="center"/>
          </w:tcPr>
          <w:p w14:paraId="754E76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24口POE接入交换机</w:t>
            </w:r>
          </w:p>
        </w:tc>
        <w:tc>
          <w:tcPr>
            <w:tcW w:w="2706" w:type="pct"/>
            <w:vAlign w:val="center"/>
          </w:tcPr>
          <w:p w14:paraId="0DF63B1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具备千兆POE电口≥24个， 1G/2.5G光口≥4个；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支持IEEE 802.3af/at供电标准，整机最大输出功率≥370W</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交换性能≥600Gbps，包转发率≥150Mpps；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支持端口聚合，支持手工和静态LACP；</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1B2C09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p>
        </w:tc>
      </w:tr>
      <w:tr w14:paraId="6FC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4824FD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c>
          <w:tcPr>
            <w:tcW w:w="1012" w:type="pct"/>
            <w:vAlign w:val="center"/>
          </w:tcPr>
          <w:p w14:paraId="22D250C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AC控制器（含授权）</w:t>
            </w:r>
          </w:p>
        </w:tc>
        <w:tc>
          <w:tcPr>
            <w:tcW w:w="2706" w:type="pct"/>
            <w:vAlign w:val="center"/>
          </w:tcPr>
          <w:p w14:paraId="4EF297B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具备千兆以太网口数≥5个；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设备最大可管理AP数≥500个；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支持对802.11a/b/g/n/ac/ax AP进行统一控制；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支持WIPS、WIDS安全防护功能；</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支持MAC认证、WEB认证、802.1X认证等多种认证方式，也可支持多因素绑定认证，保证只有合法的用户才能进入网络；</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支持自动发现交换机和无线AP，并自动生成网络拓扑；</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支持网络自动化部署，实现网络设备自动化配置下发，实现网络快速业务上线；</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配置100个AP接入License；</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76DC0DA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636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49EE4F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p>
        </w:tc>
        <w:tc>
          <w:tcPr>
            <w:tcW w:w="1012" w:type="pct"/>
            <w:vAlign w:val="center"/>
          </w:tcPr>
          <w:p w14:paraId="05957BF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六类网线</w:t>
            </w:r>
          </w:p>
        </w:tc>
        <w:tc>
          <w:tcPr>
            <w:tcW w:w="2706" w:type="pct"/>
            <w:vAlign w:val="center"/>
          </w:tcPr>
          <w:p w14:paraId="1D76270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符合标准：YD/T1019，ANSI∕TIA-568.2-D，ISO/IEC 11801，线缆阻抗：100±15Ω，支持采用CM等级PVC料，通过标准最高传输频率250MHz测试，直流电阻不平衡：≤2.5%</w:t>
            </w:r>
          </w:p>
        </w:tc>
        <w:tc>
          <w:tcPr>
            <w:tcW w:w="719" w:type="pct"/>
            <w:vAlign w:val="center"/>
          </w:tcPr>
          <w:p w14:paraId="7FE6152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6930</w:t>
            </w:r>
          </w:p>
        </w:tc>
      </w:tr>
      <w:tr w14:paraId="007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5A47BC7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012" w:type="pct"/>
            <w:vAlign w:val="center"/>
          </w:tcPr>
          <w:p w14:paraId="211ECD1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JDG线管</w:t>
            </w:r>
          </w:p>
        </w:tc>
        <w:tc>
          <w:tcPr>
            <w:tcW w:w="2706" w:type="pct"/>
            <w:vAlign w:val="center"/>
          </w:tcPr>
          <w:p w14:paraId="709CBD3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套接紧定式镀锌钢导线管，JDG20/JDG25,厚度1.5MM，含杯梳、吊杆、螺丝、底盒等配件</w:t>
            </w:r>
          </w:p>
        </w:tc>
        <w:tc>
          <w:tcPr>
            <w:tcW w:w="719" w:type="pct"/>
            <w:vAlign w:val="center"/>
          </w:tcPr>
          <w:p w14:paraId="360D66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792</w:t>
            </w:r>
          </w:p>
        </w:tc>
      </w:tr>
      <w:tr w14:paraId="6FED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3E909E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w:t>
            </w:r>
          </w:p>
        </w:tc>
        <w:tc>
          <w:tcPr>
            <w:tcW w:w="1012" w:type="pct"/>
            <w:vAlign w:val="center"/>
          </w:tcPr>
          <w:p w14:paraId="5AF5051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辅材</w:t>
            </w:r>
          </w:p>
        </w:tc>
        <w:tc>
          <w:tcPr>
            <w:tcW w:w="2706" w:type="pct"/>
            <w:vAlign w:val="center"/>
          </w:tcPr>
          <w:p w14:paraId="1CF6A2A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含标签、扎带、电工胶布、水晶头等</w:t>
            </w:r>
          </w:p>
        </w:tc>
        <w:tc>
          <w:tcPr>
            <w:tcW w:w="719" w:type="pct"/>
            <w:vAlign w:val="center"/>
          </w:tcPr>
          <w:p w14:paraId="17E4D43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391B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7D31C7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三</w:t>
            </w:r>
          </w:p>
        </w:tc>
        <w:tc>
          <w:tcPr>
            <w:tcW w:w="1012" w:type="pct"/>
            <w:vAlign w:val="center"/>
          </w:tcPr>
          <w:p w14:paraId="50041368">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存储设备系统</w:t>
            </w:r>
          </w:p>
        </w:tc>
        <w:tc>
          <w:tcPr>
            <w:tcW w:w="2706" w:type="pct"/>
            <w:vAlign w:val="center"/>
          </w:tcPr>
          <w:p w14:paraId="486F25B1">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c>
          <w:tcPr>
            <w:tcW w:w="719" w:type="pct"/>
            <w:vAlign w:val="center"/>
          </w:tcPr>
          <w:p w14:paraId="3EABF094">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r>
      <w:tr w14:paraId="0C68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5D1CC1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012" w:type="pct"/>
            <w:vAlign w:val="center"/>
          </w:tcPr>
          <w:p w14:paraId="2B367FC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双活SAN存储</w:t>
            </w:r>
          </w:p>
        </w:tc>
        <w:tc>
          <w:tcPr>
            <w:tcW w:w="2706" w:type="pct"/>
            <w:vAlign w:val="center"/>
          </w:tcPr>
          <w:p w14:paraId="5F2BF09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全闪存储：</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1、控制器数量：双控；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2、缓存：≥128GB缓存；</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3、硬盘：配置≥32*3.84TB SSD SAS硬盘单元</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4、接口：配置≥8*1Gb+4*10Gb+8*16Gb FC（含光模块）</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5、电源：冗余电源</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6、软件：配置高级SAN软件特性包license，提供包括但不限于快照、克隆、多路径、免网关A-A双活、缓存分区、远程复制、异构虚拟化、精简配置、Qos等特性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7、提供3年维保服务及软件订阅服务</w:t>
            </w:r>
          </w:p>
        </w:tc>
        <w:tc>
          <w:tcPr>
            <w:tcW w:w="719" w:type="pct"/>
            <w:vAlign w:val="center"/>
          </w:tcPr>
          <w:p w14:paraId="19D3B8E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57D8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C0EBE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012" w:type="pct"/>
            <w:vAlign w:val="center"/>
          </w:tcPr>
          <w:p w14:paraId="4DA593E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光纤交换机单模模块</w:t>
            </w:r>
          </w:p>
        </w:tc>
        <w:tc>
          <w:tcPr>
            <w:tcW w:w="2706" w:type="pct"/>
            <w:vAlign w:val="center"/>
          </w:tcPr>
          <w:p w14:paraId="6772D25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光纤交换机-FC单模光模块-16Gbps-10KM</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05DFE0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w:t>
            </w:r>
          </w:p>
        </w:tc>
      </w:tr>
      <w:tr w14:paraId="070A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A32DE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1012" w:type="pct"/>
            <w:vAlign w:val="center"/>
          </w:tcPr>
          <w:p w14:paraId="629F435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超融合一体机（含软件）</w:t>
            </w:r>
          </w:p>
        </w:tc>
        <w:tc>
          <w:tcPr>
            <w:tcW w:w="2706" w:type="pct"/>
            <w:vAlign w:val="center"/>
          </w:tcPr>
          <w:p w14:paraId="6576FB2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硬件参数：</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CPU：2颗国产芯片，≥2.5GHz；内存：16*32GB DDR5 ；系统盘：≥2*480GB SATA；缓存盘：≥4个* 固态硬盘-1.92T-SATA-SSD（读密集型）；数据盘：≥8个* 机械硬盘8T；电源：冗余电源；接口：≥4千兆电口+4万兆光口。</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软件配置：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2套* 云计算管理软件高级版;</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2套* 计算虚拟化组件;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2套* 网络虚拟化组件;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2套* 存储虚拟化组件;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1套* 国产内核OS授权;</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5年* 基础运维服务（一体机版）；</w:t>
            </w:r>
          </w:p>
        </w:tc>
        <w:tc>
          <w:tcPr>
            <w:tcW w:w="719" w:type="pct"/>
            <w:vAlign w:val="center"/>
          </w:tcPr>
          <w:p w14:paraId="4211B33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r>
      <w:tr w14:paraId="2582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854868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c>
          <w:tcPr>
            <w:tcW w:w="1012" w:type="pct"/>
            <w:vAlign w:val="center"/>
          </w:tcPr>
          <w:p w14:paraId="5B2A5D2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超融合集群交换机（含光模块）</w:t>
            </w:r>
          </w:p>
        </w:tc>
        <w:tc>
          <w:tcPr>
            <w:tcW w:w="2706" w:type="pct"/>
            <w:vAlign w:val="center"/>
          </w:tcPr>
          <w:p w14:paraId="042831D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采用自主可控芯片设计，16个10/100/1000Base-T以太网口，8个万兆SFP+光口，8个10G/25G SFP28光口，2个40G QSFP光口，可插拔双交流电源冗余，默认配置两个AC电源；交换容量≥2.56Tbps/25.6Tbps，包转发率≥1476Mpps；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含：标准维保5年;</w:t>
            </w:r>
          </w:p>
        </w:tc>
        <w:tc>
          <w:tcPr>
            <w:tcW w:w="719" w:type="pct"/>
            <w:vAlign w:val="center"/>
          </w:tcPr>
          <w:p w14:paraId="57A453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00F2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9AA5D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四</w:t>
            </w:r>
          </w:p>
        </w:tc>
        <w:tc>
          <w:tcPr>
            <w:tcW w:w="1012" w:type="pct"/>
            <w:vAlign w:val="center"/>
          </w:tcPr>
          <w:p w14:paraId="4585738E">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机房设备系统</w:t>
            </w:r>
          </w:p>
        </w:tc>
        <w:tc>
          <w:tcPr>
            <w:tcW w:w="2706" w:type="pct"/>
            <w:vAlign w:val="center"/>
          </w:tcPr>
          <w:p w14:paraId="17F18136">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19" w:type="pct"/>
            <w:vAlign w:val="center"/>
          </w:tcPr>
          <w:p w14:paraId="65A0F789">
            <w:pPr>
              <w:spacing w:line="240" w:lineRule="auto"/>
              <w:ind w:left="0" w:leftChars="0" w:firstLine="0" w:firstLineChars="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14:paraId="68D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7E871FE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012" w:type="pct"/>
            <w:vAlign w:val="center"/>
          </w:tcPr>
          <w:p w14:paraId="539415A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防静电地板</w:t>
            </w:r>
          </w:p>
        </w:tc>
        <w:tc>
          <w:tcPr>
            <w:tcW w:w="2706" w:type="pct"/>
            <w:vAlign w:val="center"/>
          </w:tcPr>
          <w:p w14:paraId="781C49D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轻型全钢防静电地板，600×600×35mm，均布载荷≥1275.5kg/m²，集中载荷≥301kg，含250mm支架及安装附件</w:t>
            </w:r>
          </w:p>
        </w:tc>
        <w:tc>
          <w:tcPr>
            <w:tcW w:w="719" w:type="pct"/>
            <w:vAlign w:val="center"/>
          </w:tcPr>
          <w:p w14:paraId="1BD7986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48</w:t>
            </w:r>
          </w:p>
        </w:tc>
      </w:tr>
      <w:tr w14:paraId="7039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58F827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012" w:type="pct"/>
            <w:vAlign w:val="center"/>
          </w:tcPr>
          <w:p w14:paraId="0914C53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微孔吸音铝合金天花</w:t>
            </w:r>
          </w:p>
        </w:tc>
        <w:tc>
          <w:tcPr>
            <w:tcW w:w="2706" w:type="pct"/>
            <w:vAlign w:val="center"/>
          </w:tcPr>
          <w:p w14:paraId="1FEFC7A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微孔吸音铝合金天花，600×600mm，孔径1.8mm，厚度≥1.0mm，符合A级防火标准，含勾搭式或龙骨系统安装附件</w:t>
            </w:r>
          </w:p>
        </w:tc>
        <w:tc>
          <w:tcPr>
            <w:tcW w:w="719" w:type="pct"/>
            <w:vAlign w:val="center"/>
          </w:tcPr>
          <w:p w14:paraId="7FA221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52</w:t>
            </w:r>
          </w:p>
        </w:tc>
      </w:tr>
      <w:tr w14:paraId="471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71869C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1012" w:type="pct"/>
            <w:vAlign w:val="center"/>
          </w:tcPr>
          <w:p w14:paraId="2066ABF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墙面处理</w:t>
            </w:r>
          </w:p>
        </w:tc>
        <w:tc>
          <w:tcPr>
            <w:tcW w:w="2706" w:type="pct"/>
            <w:vAlign w:val="center"/>
          </w:tcPr>
          <w:p w14:paraId="7D0A1C9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约160平方米墙面平整与清理，防潮、防尘处理，刷环保漆等处理</w:t>
            </w:r>
          </w:p>
        </w:tc>
        <w:tc>
          <w:tcPr>
            <w:tcW w:w="719" w:type="pct"/>
            <w:vAlign w:val="center"/>
          </w:tcPr>
          <w:p w14:paraId="6C95D2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7F36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548ED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c>
          <w:tcPr>
            <w:tcW w:w="1012" w:type="pct"/>
            <w:vAlign w:val="center"/>
          </w:tcPr>
          <w:p w14:paraId="720CFCF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天面、地面处理</w:t>
            </w:r>
          </w:p>
        </w:tc>
        <w:tc>
          <w:tcPr>
            <w:tcW w:w="2706" w:type="pct"/>
            <w:vAlign w:val="center"/>
          </w:tcPr>
          <w:p w14:paraId="7BC9D13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约90平米，天面防尘、地面防尘、地面防水处理</w:t>
            </w:r>
          </w:p>
        </w:tc>
        <w:tc>
          <w:tcPr>
            <w:tcW w:w="719" w:type="pct"/>
            <w:vAlign w:val="center"/>
          </w:tcPr>
          <w:p w14:paraId="0E54E7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4A00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73E10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p>
        </w:tc>
        <w:tc>
          <w:tcPr>
            <w:tcW w:w="1012" w:type="pct"/>
            <w:vAlign w:val="center"/>
          </w:tcPr>
          <w:p w14:paraId="4FD06CC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强弱电线槽</w:t>
            </w:r>
          </w:p>
        </w:tc>
        <w:tc>
          <w:tcPr>
            <w:tcW w:w="2706" w:type="pct"/>
            <w:vAlign w:val="center"/>
          </w:tcPr>
          <w:p w14:paraId="477E48F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热浸镀锌金属线槽，200*100*2.0mm，含安装附件</w:t>
            </w:r>
          </w:p>
        </w:tc>
        <w:tc>
          <w:tcPr>
            <w:tcW w:w="719" w:type="pct"/>
            <w:vAlign w:val="center"/>
          </w:tcPr>
          <w:p w14:paraId="3FDA20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40</w:t>
            </w:r>
          </w:p>
        </w:tc>
      </w:tr>
      <w:tr w14:paraId="7154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4DC80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012" w:type="pct"/>
            <w:vAlign w:val="center"/>
          </w:tcPr>
          <w:p w14:paraId="1BEC14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玻璃隔断</w:t>
            </w:r>
          </w:p>
        </w:tc>
        <w:tc>
          <w:tcPr>
            <w:tcW w:w="2706" w:type="pct"/>
            <w:vAlign w:val="center"/>
          </w:tcPr>
          <w:p w14:paraId="4178E12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约8平方米防火玻璃隔断，≥80mm不锈钢方通框架，12mm防火玻璃，耐火120分钟，含800×2400mm防火玻璃门</w:t>
            </w:r>
          </w:p>
        </w:tc>
        <w:tc>
          <w:tcPr>
            <w:tcW w:w="719" w:type="pct"/>
            <w:vAlign w:val="center"/>
          </w:tcPr>
          <w:p w14:paraId="739A77E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5489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DFE0D2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w:t>
            </w:r>
          </w:p>
        </w:tc>
        <w:tc>
          <w:tcPr>
            <w:tcW w:w="1012" w:type="pct"/>
            <w:vAlign w:val="center"/>
          </w:tcPr>
          <w:p w14:paraId="768E496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边界防火墙</w:t>
            </w:r>
          </w:p>
        </w:tc>
        <w:tc>
          <w:tcPr>
            <w:tcW w:w="2706" w:type="pct"/>
            <w:vAlign w:val="center"/>
          </w:tcPr>
          <w:p w14:paraId="79D82D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性能参数：</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网络层吞吐量：40G，应用层吞吐量：25G，防病毒吞吐量：4G，IPS吞吐量：3.5G，全威胁吞吐量：2G，并发连接数：420万，HTTP新建连接数：19万，SSL VPN推荐用户数（单独购买）：35，SSL VPN最大用户数（单独购买）：150，SSL VPN最大理论加密流量（单独购买）：320M，IPSec VPN 最大接入数：6000，IPSec  VPN吞吐量：1.5G。</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硬件参数：</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规格：2U，内存大小：16G，硬盘容量：128G SSD+480G SSD，电源：冗余电源，接口：16千兆电口+6万兆光口SFP+。</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软件配置：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1套* 防火墙软件基础级;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1套* 防火墙软件增强级模块;</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3套* 云智订阅软件;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2个* 光纤线-多模-LC-LC-5M;</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2个* 万兆多模-850-300m-双纤;</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3年* 软件升级;</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3年* 产品质保（标准版）。</w:t>
            </w:r>
          </w:p>
        </w:tc>
        <w:tc>
          <w:tcPr>
            <w:tcW w:w="719" w:type="pct"/>
            <w:vAlign w:val="center"/>
          </w:tcPr>
          <w:p w14:paraId="49E750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022A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00892A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w:t>
            </w:r>
          </w:p>
        </w:tc>
        <w:tc>
          <w:tcPr>
            <w:tcW w:w="1012" w:type="pct"/>
            <w:vAlign w:val="center"/>
          </w:tcPr>
          <w:p w14:paraId="35F4144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服务器机柜</w:t>
            </w:r>
          </w:p>
        </w:tc>
        <w:tc>
          <w:tcPr>
            <w:tcW w:w="2706" w:type="pct"/>
            <w:vAlign w:val="center"/>
          </w:tcPr>
          <w:p w14:paraId="7803C08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M型机架-800mm(W)*1200mm(D)*2000mm(H)-42U，前单后双高密网孔门，带通匙机械锁。机柜为标准19英寸制式，含柜体侧板、顶板、底板，机柜带单侧侧板并柜。</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单柜配置：3对L型轻载滑道、3块固定托盘、2个1U水平理线架、20块1U盲板、2条机柜PDU电源（32A输入-20*10A+4*16A国标插座输出）。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前后门采用网孔门且 开孔率不小于 80%。</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机柜静态承载能力≥2100Kg。</w:t>
            </w:r>
          </w:p>
        </w:tc>
        <w:tc>
          <w:tcPr>
            <w:tcW w:w="719" w:type="pct"/>
            <w:vAlign w:val="center"/>
          </w:tcPr>
          <w:p w14:paraId="33484A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w:t>
            </w:r>
          </w:p>
        </w:tc>
      </w:tr>
      <w:tr w14:paraId="15B4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555ADC0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w:t>
            </w:r>
          </w:p>
        </w:tc>
        <w:tc>
          <w:tcPr>
            <w:tcW w:w="1012" w:type="pct"/>
            <w:vAlign w:val="center"/>
          </w:tcPr>
          <w:p w14:paraId="66AC2E9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密闭通道组件</w:t>
            </w:r>
          </w:p>
        </w:tc>
        <w:tc>
          <w:tcPr>
            <w:tcW w:w="2706" w:type="pct"/>
            <w:vAlign w:val="center"/>
          </w:tcPr>
          <w:p w14:paraId="58D61B3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1200mm宽密闭通道系统组件，通道长度6800mm，匹配微模块机柜数量设计。含控制天窗、全玻璃无框活动天窗、自动门等整体封闭组件，配置机柜顶槽式配线架，顶部活动天窗支持消防联动开启功能。</w:t>
            </w:r>
          </w:p>
        </w:tc>
        <w:tc>
          <w:tcPr>
            <w:tcW w:w="719" w:type="pct"/>
            <w:vAlign w:val="center"/>
          </w:tcPr>
          <w:p w14:paraId="783E1E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3B43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45F7675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w:t>
            </w:r>
          </w:p>
        </w:tc>
        <w:tc>
          <w:tcPr>
            <w:tcW w:w="1012" w:type="pct"/>
            <w:vAlign w:val="center"/>
          </w:tcPr>
          <w:p w14:paraId="71C8FB1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行级精密空调</w:t>
            </w:r>
          </w:p>
        </w:tc>
        <w:tc>
          <w:tcPr>
            <w:tcW w:w="2706" w:type="pct"/>
            <w:vAlign w:val="center"/>
          </w:tcPr>
          <w:p w14:paraId="3854D97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行级送风空调，制冷量≥25kw，显冷量≥25kW；恒温恒湿机组，水平送风模式，风量≥5000m3/h，全变频架构+EC风机，带≥7寸全彩触摸屏。</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空调内机支持双路供电自切换功能，主路供电中断可自动切换到辅路供电。</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可以实现在≤15%显热制冷量且室内高湿度情况下稳定除湿功能（除湿量≥6kg/h），降低高湿环境下数据中心低载运行的设备结露风险。</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风机供电单元采用1+1高效直流电源模块，可直接进行在线插拔式维护，单电源模块维护不需停机。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需具备完善的电源监控功能，有电源反相、缺相、过压、欠压、高频、低频等报警及故障诊断，告警记录功能，自动保护，自动恢复，自动重启动等功能。</w:t>
            </w:r>
          </w:p>
        </w:tc>
        <w:tc>
          <w:tcPr>
            <w:tcW w:w="719" w:type="pct"/>
            <w:vAlign w:val="center"/>
          </w:tcPr>
          <w:p w14:paraId="516C30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r>
      <w:tr w14:paraId="6257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672C52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1012" w:type="pct"/>
            <w:vAlign w:val="center"/>
          </w:tcPr>
          <w:p w14:paraId="70286CB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空调安装附件</w:t>
            </w:r>
          </w:p>
        </w:tc>
        <w:tc>
          <w:tcPr>
            <w:tcW w:w="2706" w:type="pct"/>
            <w:vAlign w:val="center"/>
          </w:tcPr>
          <w:p w14:paraId="5932EE0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铜管、制冷剂、室外机电源线、加湿水管等</w:t>
            </w:r>
          </w:p>
        </w:tc>
        <w:tc>
          <w:tcPr>
            <w:tcW w:w="719" w:type="pct"/>
            <w:vAlign w:val="center"/>
          </w:tcPr>
          <w:p w14:paraId="2C1DFA4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49E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46583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w:t>
            </w:r>
          </w:p>
        </w:tc>
        <w:tc>
          <w:tcPr>
            <w:tcW w:w="1012" w:type="pct"/>
            <w:vAlign w:val="center"/>
          </w:tcPr>
          <w:p w14:paraId="3ECAB10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一体化UPS柜（含UPS主机、配电柜）</w:t>
            </w:r>
          </w:p>
        </w:tc>
        <w:tc>
          <w:tcPr>
            <w:tcW w:w="2706" w:type="pct"/>
            <w:vAlign w:val="center"/>
          </w:tcPr>
          <w:p w14:paraId="41DC29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一体化集成UPS、UPS配电、IT配电、空调配电等；</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尺寸：600mm(W)*1200mm(D)*2000mm(H)；</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120KVA机框，本期配置3个30KVA功率模块，2+1冗余配置；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输入容量：单路3P/250A输入；</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空调配电：4*3P/C63A输出；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IT配电：24*1P/C32A输出；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UPS配电：3*3P/200A UPS输入、输出、维修开关；</w:t>
            </w:r>
          </w:p>
        </w:tc>
        <w:tc>
          <w:tcPr>
            <w:tcW w:w="719" w:type="pct"/>
            <w:vAlign w:val="center"/>
          </w:tcPr>
          <w:p w14:paraId="2289BF2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5B40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734B5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w:t>
            </w:r>
          </w:p>
        </w:tc>
        <w:tc>
          <w:tcPr>
            <w:tcW w:w="1012" w:type="pct"/>
            <w:vAlign w:val="center"/>
          </w:tcPr>
          <w:p w14:paraId="4EDEC55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蓄电池</w:t>
            </w:r>
          </w:p>
        </w:tc>
        <w:tc>
          <w:tcPr>
            <w:tcW w:w="2706" w:type="pct"/>
            <w:vAlign w:val="center"/>
          </w:tcPr>
          <w:p w14:paraId="11BE2F2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阀控式密封铅酸蓄电池，200AH/12V，尺寸：522*240*220*226，净重55Kg</w:t>
            </w:r>
          </w:p>
        </w:tc>
        <w:tc>
          <w:tcPr>
            <w:tcW w:w="719" w:type="pct"/>
            <w:vAlign w:val="center"/>
          </w:tcPr>
          <w:p w14:paraId="4BC784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40</w:t>
            </w:r>
          </w:p>
        </w:tc>
      </w:tr>
      <w:tr w14:paraId="7BD6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2C3A56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14</w:t>
            </w:r>
          </w:p>
        </w:tc>
        <w:tc>
          <w:tcPr>
            <w:tcW w:w="1012" w:type="pct"/>
            <w:vAlign w:val="center"/>
          </w:tcPr>
          <w:p w14:paraId="07765C9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电池架</w:t>
            </w:r>
          </w:p>
        </w:tc>
        <w:tc>
          <w:tcPr>
            <w:tcW w:w="2706" w:type="pct"/>
            <w:vAlign w:val="center"/>
          </w:tcPr>
          <w:p w14:paraId="12D69D1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可放置40节200AH/12V酸蓄电池，尺寸：2700*650*1500，含电池连接线及开关箱</w:t>
            </w:r>
          </w:p>
        </w:tc>
        <w:tc>
          <w:tcPr>
            <w:tcW w:w="719" w:type="pct"/>
            <w:vAlign w:val="center"/>
          </w:tcPr>
          <w:p w14:paraId="691679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11C9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15BCB2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15</w:t>
            </w:r>
          </w:p>
        </w:tc>
        <w:tc>
          <w:tcPr>
            <w:tcW w:w="1012" w:type="pct"/>
            <w:vAlign w:val="center"/>
          </w:tcPr>
          <w:p w14:paraId="0273C76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动环系统专用交换机</w:t>
            </w:r>
          </w:p>
        </w:tc>
        <w:tc>
          <w:tcPr>
            <w:tcW w:w="2706" w:type="pct"/>
            <w:vAlign w:val="center"/>
          </w:tcPr>
          <w:p w14:paraId="5530FF6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具备千兆POE电口≥24个， 1G/2.5G光口≥4个；</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支持IEEE 802.3af/at供电标准，整机最大输出功率≥370W</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交换性能≥600Gbps，包转发率≥150Mpps；</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支持端口聚合，支持手工和静态LACP；</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提供3年原厂质保服务；</w:t>
            </w:r>
          </w:p>
        </w:tc>
        <w:tc>
          <w:tcPr>
            <w:tcW w:w="719" w:type="pct"/>
            <w:vAlign w:val="center"/>
          </w:tcPr>
          <w:p w14:paraId="571809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17D4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7E8CB1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16</w:t>
            </w:r>
          </w:p>
        </w:tc>
        <w:tc>
          <w:tcPr>
            <w:tcW w:w="1012" w:type="pct"/>
            <w:vAlign w:val="center"/>
          </w:tcPr>
          <w:p w14:paraId="27A93F4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动环监控组件</w:t>
            </w:r>
          </w:p>
        </w:tc>
        <w:tc>
          <w:tcPr>
            <w:tcW w:w="2706" w:type="pct"/>
            <w:vAlign w:val="center"/>
          </w:tcPr>
          <w:p w14:paraId="1AA4599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微模块本地监控系统，配置有精密空调、UPS等数据采集监控功能模块，及相关监控系统联动执行器、信号线缆等组件。</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至少配置1套微模块数据采集控制器、1台10寸PAD、4个烟感传感器、2套漏水监测模块、2个通道指纹密码刷卡门禁系统、1套声光报警器、4个温湿度传感器。</w:t>
            </w:r>
          </w:p>
        </w:tc>
        <w:tc>
          <w:tcPr>
            <w:tcW w:w="719" w:type="pct"/>
            <w:vAlign w:val="center"/>
          </w:tcPr>
          <w:p w14:paraId="66D944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339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C1F75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17</w:t>
            </w:r>
          </w:p>
        </w:tc>
        <w:tc>
          <w:tcPr>
            <w:tcW w:w="1012" w:type="pct"/>
            <w:vAlign w:val="center"/>
          </w:tcPr>
          <w:p w14:paraId="01813F6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国密门禁设备（读卡器+控制器）</w:t>
            </w:r>
          </w:p>
        </w:tc>
        <w:tc>
          <w:tcPr>
            <w:tcW w:w="2706" w:type="pct"/>
            <w:vAlign w:val="center"/>
          </w:tcPr>
          <w:p w14:paraId="38221B4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认证方式：刷卡、刷卡+指纹+密码</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读卡频率：13.56MHz</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可识别卡：国密CPU卡(含加密功能)</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按键方式：实体按键</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管控门数：1门；</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存储容量：10万人（含20万张卡、10万个密码、1万枚指纹），60万条事件记录；</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可接读卡器：RS485读卡器*2、Wiegand读卡器*2；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通讯加密：采用SM2、SM3进行信息通信加密；</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通信接口：网口*1、RS485*7、韦根*2；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门相关接口：门锁*1，门磁*1，开门按钮*1；</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报警接口：报警输入*2，报警输出*2；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其他接口：带消防联动继电器接口、接蓄电池功能接口；</w:t>
            </w:r>
          </w:p>
        </w:tc>
        <w:tc>
          <w:tcPr>
            <w:tcW w:w="719" w:type="pct"/>
            <w:vAlign w:val="center"/>
          </w:tcPr>
          <w:p w14:paraId="3CF4FE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r>
      <w:tr w14:paraId="28E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7D90F0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w:t>
            </w:r>
          </w:p>
        </w:tc>
        <w:tc>
          <w:tcPr>
            <w:tcW w:w="1012" w:type="pct"/>
            <w:vAlign w:val="center"/>
          </w:tcPr>
          <w:p w14:paraId="2527496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国密视频监控摄像机</w:t>
            </w:r>
          </w:p>
        </w:tc>
        <w:tc>
          <w:tcPr>
            <w:tcW w:w="2706" w:type="pct"/>
            <w:vAlign w:val="center"/>
          </w:tcPr>
          <w:p w14:paraId="46EA131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400万星光级1/2.7"CMOS智能半球网络摄像机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内置通过国家密码局检测认证的安全芯片，支持SM1/SM2/SM3/SM4等国家商用密码算法</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最小照度: 0.005Lux @(F1.2,AGC ON) ,0 Lux with IR</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电源供应: DC12V±25% / PoE(802.3af)</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红外照射距离: 最远可达30米</w:t>
            </w:r>
          </w:p>
        </w:tc>
        <w:tc>
          <w:tcPr>
            <w:tcW w:w="719" w:type="pct"/>
            <w:vAlign w:val="center"/>
          </w:tcPr>
          <w:p w14:paraId="28D49E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r>
      <w:tr w14:paraId="5DB4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27C01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19</w:t>
            </w:r>
          </w:p>
        </w:tc>
        <w:tc>
          <w:tcPr>
            <w:tcW w:w="1012" w:type="pct"/>
            <w:vAlign w:val="center"/>
          </w:tcPr>
          <w:p w14:paraId="188EB6D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一体化配电柜主电源线</w:t>
            </w:r>
          </w:p>
        </w:tc>
        <w:tc>
          <w:tcPr>
            <w:tcW w:w="2706" w:type="pct"/>
            <w:vAlign w:val="center"/>
          </w:tcPr>
          <w:p w14:paraId="76C3A1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YJV-0.6/1kv-4×95+1×50mm²</w:t>
            </w:r>
          </w:p>
        </w:tc>
        <w:tc>
          <w:tcPr>
            <w:tcW w:w="719" w:type="pct"/>
            <w:vAlign w:val="center"/>
          </w:tcPr>
          <w:p w14:paraId="757668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15</w:t>
            </w:r>
          </w:p>
        </w:tc>
      </w:tr>
      <w:tr w14:paraId="2AE7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3DDF3F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12" w:type="pct"/>
            <w:vAlign w:val="center"/>
          </w:tcPr>
          <w:p w14:paraId="476D014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机柜PDU电源线</w:t>
            </w:r>
          </w:p>
        </w:tc>
        <w:tc>
          <w:tcPr>
            <w:tcW w:w="2706" w:type="pct"/>
            <w:vAlign w:val="center"/>
          </w:tcPr>
          <w:p w14:paraId="38178ED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ZA-RVV-3x6mm²</w:t>
            </w:r>
          </w:p>
        </w:tc>
        <w:tc>
          <w:tcPr>
            <w:tcW w:w="719" w:type="pct"/>
            <w:vAlign w:val="center"/>
          </w:tcPr>
          <w:p w14:paraId="799D3BB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r>
      <w:tr w14:paraId="7137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43BF5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12" w:type="pct"/>
            <w:vAlign w:val="center"/>
          </w:tcPr>
          <w:p w14:paraId="3A6B70B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空调电源线</w:t>
            </w:r>
          </w:p>
        </w:tc>
        <w:tc>
          <w:tcPr>
            <w:tcW w:w="2706" w:type="pct"/>
            <w:vAlign w:val="center"/>
          </w:tcPr>
          <w:p w14:paraId="15EF913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ZA-RVV-5x10mm²</w:t>
            </w:r>
          </w:p>
        </w:tc>
        <w:tc>
          <w:tcPr>
            <w:tcW w:w="719" w:type="pct"/>
            <w:vAlign w:val="center"/>
          </w:tcPr>
          <w:p w14:paraId="2D0A4D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14:paraId="6610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474BBA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12" w:type="pct"/>
            <w:vAlign w:val="center"/>
          </w:tcPr>
          <w:p w14:paraId="3662A7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设备承重架</w:t>
            </w:r>
          </w:p>
        </w:tc>
        <w:tc>
          <w:tcPr>
            <w:tcW w:w="2706" w:type="pct"/>
            <w:vAlign w:val="center"/>
          </w:tcPr>
          <w:p w14:paraId="7FC1B99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定制，机柜*7、空调室内机*2/室外机*2、一体化UPS*1、电池架*1</w:t>
            </w:r>
          </w:p>
        </w:tc>
        <w:tc>
          <w:tcPr>
            <w:tcW w:w="719" w:type="pct"/>
            <w:vAlign w:val="center"/>
          </w:tcPr>
          <w:p w14:paraId="345ECF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A8C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50C6F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12" w:type="pct"/>
            <w:vAlign w:val="center"/>
          </w:tcPr>
          <w:p w14:paraId="586456E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落地网络机柜</w:t>
            </w:r>
          </w:p>
        </w:tc>
        <w:tc>
          <w:tcPr>
            <w:tcW w:w="2706" w:type="pct"/>
            <w:vAlign w:val="center"/>
          </w:tcPr>
          <w:p w14:paraId="4B2EA7C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42U，600*600*2000MM，含PDU、安装配件等</w:t>
            </w:r>
          </w:p>
        </w:tc>
        <w:tc>
          <w:tcPr>
            <w:tcW w:w="719" w:type="pct"/>
            <w:vAlign w:val="center"/>
          </w:tcPr>
          <w:p w14:paraId="3103F2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r>
      <w:tr w14:paraId="0CBB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1547F83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12" w:type="pct"/>
            <w:vAlign w:val="center"/>
          </w:tcPr>
          <w:p w14:paraId="3595C3F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壁挂网络机柜</w:t>
            </w:r>
          </w:p>
        </w:tc>
        <w:tc>
          <w:tcPr>
            <w:tcW w:w="2706" w:type="pct"/>
            <w:vAlign w:val="center"/>
          </w:tcPr>
          <w:p w14:paraId="494F1C1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18U，600*600*1000MM，含PDU、安装配件等</w:t>
            </w:r>
          </w:p>
        </w:tc>
        <w:tc>
          <w:tcPr>
            <w:tcW w:w="719" w:type="pct"/>
            <w:vAlign w:val="center"/>
          </w:tcPr>
          <w:p w14:paraId="059EF60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6D3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928AD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12" w:type="pct"/>
            <w:vAlign w:val="center"/>
          </w:tcPr>
          <w:p w14:paraId="28A119E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机柜PDU</w:t>
            </w:r>
          </w:p>
        </w:tc>
        <w:tc>
          <w:tcPr>
            <w:tcW w:w="2706" w:type="pct"/>
            <w:vAlign w:val="center"/>
          </w:tcPr>
          <w:p w14:paraId="504B252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16A输入-10*10A国标插座输出</w:t>
            </w:r>
          </w:p>
        </w:tc>
        <w:tc>
          <w:tcPr>
            <w:tcW w:w="719" w:type="pct"/>
            <w:vAlign w:val="center"/>
          </w:tcPr>
          <w:p w14:paraId="316A8D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r>
      <w:tr w14:paraId="6BB3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C7FC76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12" w:type="pct"/>
            <w:vAlign w:val="center"/>
          </w:tcPr>
          <w:p w14:paraId="49707D1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弱电井配电箱</w:t>
            </w:r>
          </w:p>
        </w:tc>
        <w:tc>
          <w:tcPr>
            <w:tcW w:w="2706" w:type="pct"/>
            <w:vAlign w:val="center"/>
          </w:tcPr>
          <w:p w14:paraId="031023A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定制，含空开、接线柱、箱体等</w:t>
            </w:r>
          </w:p>
        </w:tc>
        <w:tc>
          <w:tcPr>
            <w:tcW w:w="719" w:type="pct"/>
            <w:vAlign w:val="center"/>
          </w:tcPr>
          <w:p w14:paraId="72215F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r>
      <w:tr w14:paraId="5152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3D72322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12" w:type="pct"/>
            <w:vAlign w:val="center"/>
          </w:tcPr>
          <w:p w14:paraId="20A22FC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主干配电线缆</w:t>
            </w:r>
          </w:p>
        </w:tc>
        <w:tc>
          <w:tcPr>
            <w:tcW w:w="2706" w:type="pct"/>
            <w:vAlign w:val="center"/>
          </w:tcPr>
          <w:p w14:paraId="1197B5D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ZA-RVV-3x6mm²</w:t>
            </w:r>
          </w:p>
        </w:tc>
        <w:tc>
          <w:tcPr>
            <w:tcW w:w="719" w:type="pct"/>
            <w:vAlign w:val="center"/>
          </w:tcPr>
          <w:p w14:paraId="0D48E6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36C1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06924C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12" w:type="pct"/>
            <w:vAlign w:val="center"/>
          </w:tcPr>
          <w:p w14:paraId="0B84BA4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配电线缆</w:t>
            </w:r>
          </w:p>
        </w:tc>
        <w:tc>
          <w:tcPr>
            <w:tcW w:w="2706" w:type="pct"/>
            <w:vAlign w:val="center"/>
          </w:tcPr>
          <w:p w14:paraId="2FC0B00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ZA-RVV-3x4mm²</w:t>
            </w:r>
          </w:p>
        </w:tc>
        <w:tc>
          <w:tcPr>
            <w:tcW w:w="719" w:type="pct"/>
            <w:vAlign w:val="center"/>
          </w:tcPr>
          <w:p w14:paraId="30CF874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r>
      <w:tr w14:paraId="7A7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D7C1A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12" w:type="pct"/>
            <w:vAlign w:val="center"/>
          </w:tcPr>
          <w:p w14:paraId="318290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JDG线管</w:t>
            </w:r>
          </w:p>
        </w:tc>
        <w:tc>
          <w:tcPr>
            <w:tcW w:w="2706" w:type="pct"/>
            <w:vAlign w:val="center"/>
          </w:tcPr>
          <w:p w14:paraId="65ABEDA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套接紧定式镀锌钢导线管，JDG20/JDG25,厚度1.5MM，含杯梳、吊杆、螺丝、底盒等配件</w:t>
            </w:r>
          </w:p>
        </w:tc>
        <w:tc>
          <w:tcPr>
            <w:tcW w:w="719" w:type="pct"/>
            <w:vAlign w:val="center"/>
          </w:tcPr>
          <w:p w14:paraId="36887DD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r>
      <w:tr w14:paraId="635D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2443D1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12" w:type="pct"/>
            <w:vAlign w:val="center"/>
          </w:tcPr>
          <w:p w14:paraId="18B7AC8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辅材</w:t>
            </w:r>
          </w:p>
        </w:tc>
        <w:tc>
          <w:tcPr>
            <w:tcW w:w="2706" w:type="pct"/>
            <w:vAlign w:val="center"/>
          </w:tcPr>
          <w:p w14:paraId="628DB21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含标签、扎带、电工胶布、接地线缆等</w:t>
            </w:r>
          </w:p>
        </w:tc>
        <w:tc>
          <w:tcPr>
            <w:tcW w:w="719" w:type="pct"/>
            <w:vAlign w:val="center"/>
          </w:tcPr>
          <w:p w14:paraId="1A066D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D8D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1" w:type="pct"/>
            <w:vAlign w:val="center"/>
          </w:tcPr>
          <w:p w14:paraId="639BD40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12" w:type="pct"/>
            <w:vAlign w:val="center"/>
          </w:tcPr>
          <w:p w14:paraId="23188C1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第三方验收测评服务</w:t>
            </w:r>
          </w:p>
        </w:tc>
        <w:tc>
          <w:tcPr>
            <w:tcW w:w="2706" w:type="pct"/>
            <w:vAlign w:val="center"/>
          </w:tcPr>
          <w:p w14:paraId="7378C30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核查灾备机房实施成果相对设计内容的内容符合性、功能完备性、性能合格性、实施规范性等方面</w:t>
            </w:r>
          </w:p>
        </w:tc>
        <w:tc>
          <w:tcPr>
            <w:tcW w:w="719" w:type="pct"/>
            <w:vAlign w:val="center"/>
          </w:tcPr>
          <w:p w14:paraId="4E9E39A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bl>
    <w:p w14:paraId="61B615A7">
      <w:pPr>
        <w:keepNext w:val="0"/>
        <w:keepLines w:val="0"/>
        <w:pageBreakBefore w:val="0"/>
        <w:widowControl w:val="0"/>
        <w:numPr>
          <w:ilvl w:val="0"/>
          <w:numId w:val="0"/>
        </w:numPr>
        <w:kinsoku/>
        <w:wordWrap/>
        <w:overflowPunct/>
        <w:topLinePunct w:val="0"/>
        <w:autoSpaceDE/>
        <w:autoSpaceDN/>
        <w:bidi w:val="0"/>
        <w:spacing w:line="240" w:lineRule="auto"/>
        <w:ind w:leftChars="0"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软件部分：</w:t>
      </w:r>
    </w:p>
    <w:tbl>
      <w:tblPr>
        <w:tblStyle w:val="3"/>
        <w:tblW w:w="4999" w:type="pct"/>
        <w:jc w:val="center"/>
        <w:tblLayout w:type="autofit"/>
        <w:tblCellMar>
          <w:top w:w="0" w:type="dxa"/>
          <w:left w:w="108" w:type="dxa"/>
          <w:bottom w:w="0" w:type="dxa"/>
          <w:right w:w="108" w:type="dxa"/>
        </w:tblCellMar>
      </w:tblPr>
      <w:tblGrid>
        <w:gridCol w:w="1993"/>
        <w:gridCol w:w="2831"/>
        <w:gridCol w:w="4462"/>
      </w:tblGrid>
      <w:tr w14:paraId="4797C90D">
        <w:tblPrEx>
          <w:tblCellMar>
            <w:top w:w="0" w:type="dxa"/>
            <w:left w:w="108" w:type="dxa"/>
            <w:bottom w:w="0" w:type="dxa"/>
            <w:right w:w="108" w:type="dxa"/>
          </w:tblCellMar>
        </w:tblPrEx>
        <w:trPr>
          <w:trHeight w:val="552" w:hRule="atLeast"/>
          <w:jc w:val="center"/>
        </w:trPr>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4998E">
            <w:pPr>
              <w:widowControl/>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t>编号</w:t>
            </w:r>
          </w:p>
        </w:tc>
        <w:tc>
          <w:tcPr>
            <w:tcW w:w="1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3E0FC">
            <w:pPr>
              <w:widowControl/>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t>子系统</w:t>
            </w: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8743E">
            <w:pPr>
              <w:widowControl/>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t>模块</w:t>
            </w:r>
          </w:p>
        </w:tc>
      </w:tr>
      <w:tr w14:paraId="099E0047">
        <w:tblPrEx>
          <w:tblCellMar>
            <w:top w:w="0" w:type="dxa"/>
            <w:left w:w="108" w:type="dxa"/>
            <w:bottom w:w="0" w:type="dxa"/>
            <w:right w:w="108" w:type="dxa"/>
          </w:tblCellMar>
        </w:tblPrEx>
        <w:trPr>
          <w:trHeight w:val="173" w:hRule="atLeast"/>
          <w:jc w:val="center"/>
        </w:trPr>
        <w:tc>
          <w:tcPr>
            <w:tcW w:w="10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F10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D05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儿童哮喘标准化病历管理基础支撑平台</w:t>
            </w: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6504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1.1用户管理</w:t>
            </w:r>
          </w:p>
        </w:tc>
      </w:tr>
      <w:tr w14:paraId="68038CDD">
        <w:tblPrEx>
          <w:tblCellMar>
            <w:top w:w="0" w:type="dxa"/>
            <w:left w:w="108" w:type="dxa"/>
            <w:bottom w:w="0" w:type="dxa"/>
            <w:right w:w="108" w:type="dxa"/>
          </w:tblCellMar>
        </w:tblPrEx>
        <w:trPr>
          <w:trHeight w:val="216"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4EBC9">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446F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9675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1.2角色管理</w:t>
            </w:r>
          </w:p>
        </w:tc>
      </w:tr>
      <w:tr w14:paraId="2243DAF3">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5876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286E6">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870A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1.3组织机构管理</w:t>
            </w:r>
          </w:p>
        </w:tc>
      </w:tr>
      <w:tr w14:paraId="1F8EF4F3">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F1DA4">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D2654">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0765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1.4药械数据</w:t>
            </w:r>
          </w:p>
        </w:tc>
      </w:tr>
      <w:tr w14:paraId="045C52F9">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4D5EA">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D94A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6B70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1.5模版管理</w:t>
            </w:r>
          </w:p>
        </w:tc>
      </w:tr>
      <w:tr w14:paraId="3F089A6B">
        <w:tblPrEx>
          <w:tblCellMar>
            <w:top w:w="0" w:type="dxa"/>
            <w:left w:w="108" w:type="dxa"/>
            <w:bottom w:w="0" w:type="dxa"/>
            <w:right w:w="108" w:type="dxa"/>
          </w:tblCellMar>
        </w:tblPrEx>
        <w:trPr>
          <w:trHeight w:val="300" w:hRule="atLeast"/>
          <w:jc w:val="center"/>
        </w:trPr>
        <w:tc>
          <w:tcPr>
            <w:tcW w:w="10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56E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5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DBC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标准化病历管理系统</w:t>
            </w: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D150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2.1病历建档及查询</w:t>
            </w:r>
          </w:p>
        </w:tc>
      </w:tr>
      <w:tr w14:paraId="49363D38">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426F">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A6B2B">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041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2.2智能风险初筛</w:t>
            </w:r>
          </w:p>
        </w:tc>
      </w:tr>
      <w:tr w14:paraId="225C1BA7">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4C6C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18EAF">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A83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2.3智能问诊</w:t>
            </w:r>
          </w:p>
        </w:tc>
      </w:tr>
      <w:tr w14:paraId="4F739A61">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FA6E">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B9FE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17C8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2.4智能化治疗方案</w:t>
            </w:r>
          </w:p>
        </w:tc>
      </w:tr>
      <w:tr w14:paraId="78270528">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CCA0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147D7">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4CE5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2.5智能化行动计划</w:t>
            </w:r>
          </w:p>
        </w:tc>
      </w:tr>
      <w:tr w14:paraId="55965229">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13584">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F3AA5">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F218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2.6在线课程</w:t>
            </w:r>
          </w:p>
        </w:tc>
      </w:tr>
      <w:tr w14:paraId="62C9F0D9">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2249E">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2ED2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49D9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2.7统计分析</w:t>
            </w:r>
          </w:p>
        </w:tc>
      </w:tr>
      <w:tr w14:paraId="28383BCA">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92287">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E1EFB">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4F6B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2.8远程复诊</w:t>
            </w:r>
          </w:p>
        </w:tc>
      </w:tr>
      <w:tr w14:paraId="2F631CD4">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A2FF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E6E3C">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0251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2.9智能化评估</w:t>
            </w:r>
          </w:p>
        </w:tc>
      </w:tr>
      <w:tr w14:paraId="7A5BA594">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B232E">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43BB6">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0AF4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kern w:val="0"/>
                <w:sz w:val="21"/>
                <w:szCs w:val="21"/>
                <w:lang w:eastAsia="en-US"/>
              </w:rPr>
            </w:pPr>
            <w:r>
              <w:rPr>
                <w:rFonts w:hint="eastAsia" w:asciiTheme="minorEastAsia" w:hAnsiTheme="minorEastAsia" w:eastAsiaTheme="minorEastAsia" w:cstheme="minorEastAsia"/>
                <w:i w:val="0"/>
                <w:iCs w:val="0"/>
                <w:color w:val="000000"/>
                <w:kern w:val="0"/>
                <w:sz w:val="21"/>
                <w:szCs w:val="21"/>
                <w:u w:val="none"/>
                <w:lang w:val="en-US" w:eastAsia="zh-CN" w:bidi="ar"/>
              </w:rPr>
              <w:t>2.10智能化随访</w:t>
            </w:r>
          </w:p>
        </w:tc>
      </w:tr>
      <w:tr w14:paraId="094CDA8D">
        <w:tblPrEx>
          <w:tblCellMar>
            <w:top w:w="0" w:type="dxa"/>
            <w:left w:w="108" w:type="dxa"/>
            <w:bottom w:w="0" w:type="dxa"/>
            <w:right w:w="108" w:type="dxa"/>
          </w:tblCellMar>
        </w:tblPrEx>
        <w:trPr>
          <w:trHeight w:val="300" w:hRule="atLeast"/>
          <w:jc w:val="center"/>
        </w:trPr>
        <w:tc>
          <w:tcPr>
            <w:tcW w:w="10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86C3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5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0EA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患者随访系统</w:t>
            </w: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88BC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3.1健康档案</w:t>
            </w:r>
          </w:p>
        </w:tc>
      </w:tr>
      <w:tr w14:paraId="0C7A95D8">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A6BE">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95B36">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6258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3.2智能化哮喘控制评估</w:t>
            </w:r>
          </w:p>
        </w:tc>
      </w:tr>
      <w:tr w14:paraId="4BD538C3">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6105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F9C0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C5BB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3.3哮喘日记</w:t>
            </w:r>
          </w:p>
        </w:tc>
      </w:tr>
      <w:tr w14:paraId="7B7085CB">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37F03">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69FD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7A09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3.4用药打卡记录及同步至医护端</w:t>
            </w:r>
          </w:p>
        </w:tc>
      </w:tr>
      <w:tr w14:paraId="485A8A3D">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06834">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B2CA4">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3A6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3.5音视频上传同步至医护端</w:t>
            </w:r>
          </w:p>
        </w:tc>
      </w:tr>
      <w:tr w14:paraId="0E2D527F">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F7C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B4E58">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CA14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3.6科普资讯</w:t>
            </w:r>
          </w:p>
        </w:tc>
      </w:tr>
      <w:tr w14:paraId="301B9B0A">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B216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FB6BA">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9810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3.7远程复诊申请</w:t>
            </w:r>
          </w:p>
        </w:tc>
      </w:tr>
      <w:tr w14:paraId="77E8F2D7">
        <w:tblPrEx>
          <w:tblCellMar>
            <w:top w:w="0" w:type="dxa"/>
            <w:left w:w="108" w:type="dxa"/>
            <w:bottom w:w="0" w:type="dxa"/>
            <w:right w:w="108" w:type="dxa"/>
          </w:tblCellMar>
        </w:tblPrEx>
        <w:trPr>
          <w:trHeight w:val="300" w:hRule="atLeast"/>
          <w:jc w:val="center"/>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1C6FF">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EF0C2">
            <w:pPr>
              <w:spacing w:line="240" w:lineRule="auto"/>
              <w:jc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p>
        </w:tc>
        <w:tc>
          <w:tcPr>
            <w:tcW w:w="2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1F19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themeColor="text1"/>
                <w:sz w:val="21"/>
                <w:szCs w:val="21"/>
                <w:lang w:eastAsia="en-US" w:bidi="en-US"/>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3.8健康分析</w:t>
            </w:r>
          </w:p>
        </w:tc>
      </w:tr>
    </w:tbl>
    <w:p w14:paraId="39669BF8">
      <w:pPr>
        <w:keepNext w:val="0"/>
        <w:keepLines w:val="0"/>
        <w:pageBreakBefore w:val="0"/>
        <w:widowControl w:val="0"/>
        <w:numPr>
          <w:ilvl w:val="0"/>
          <w:numId w:val="0"/>
        </w:numPr>
        <w:kinsoku/>
        <w:wordWrap/>
        <w:overflowPunct/>
        <w:topLinePunct w:val="0"/>
        <w:autoSpaceDE/>
        <w:autoSpaceDN/>
        <w:bidi w:val="0"/>
        <w:spacing w:line="240" w:lineRule="auto"/>
        <w:ind w:leftChars="143"/>
        <w:jc w:val="left"/>
        <w:textAlignment w:val="auto"/>
        <w:rPr>
          <w:rFonts w:hint="default" w:ascii="宋体" w:hAnsi="宋体" w:cs="宋体"/>
          <w:color w:val="auto"/>
          <w:sz w:val="24"/>
          <w:szCs w:val="24"/>
          <w:highlight w:val="none"/>
          <w:lang w:val="en-US" w:eastAsia="zh-CN"/>
        </w:rPr>
      </w:pPr>
    </w:p>
    <w:p w14:paraId="0835800A"/>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E2D9D"/>
    <w:rsid w:val="113E2D9D"/>
    <w:rsid w:val="3C863456"/>
    <w:rsid w:val="7A8A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无缩)"/>
    <w:basedOn w:val="1"/>
    <w:qFormat/>
    <w:uiPriority w:val="0"/>
    <w:pPr>
      <w:spacing w:line="288" w:lineRule="auto"/>
      <w:ind w:firstLine="0" w:firstLineChars="0"/>
    </w:pPr>
    <w:rPr>
      <w:rFonts w:cs="Times New Roman"/>
      <w:sz w:val="21"/>
      <w:szCs w:val="21"/>
      <w14:ligatures w14:val="none"/>
    </w:rPr>
  </w:style>
  <w:style w:type="character" w:customStyle="1" w:styleId="7">
    <w:name w:val="font21"/>
    <w:basedOn w:val="5"/>
    <w:qFormat/>
    <w:uiPriority w:val="0"/>
    <w:rPr>
      <w:rFonts w:ascii="Calibri" w:hAnsi="Calibri" w:cs="Calibri"/>
      <w:color w:val="000000"/>
      <w:sz w:val="21"/>
      <w:szCs w:val="21"/>
      <w:u w:val="none"/>
    </w:rPr>
  </w:style>
  <w:style w:type="character" w:customStyle="1" w:styleId="8">
    <w:name w:val="font11"/>
    <w:basedOn w:val="5"/>
    <w:qFormat/>
    <w:uiPriority w:val="0"/>
    <w:rPr>
      <w:rFonts w:hint="eastAsia" w:ascii="宋体" w:hAnsi="宋体" w:eastAsia="宋体" w:cs="宋体"/>
      <w:color w:val="000000"/>
      <w:sz w:val="21"/>
      <w:szCs w:val="21"/>
      <w:u w:val="none"/>
    </w:rPr>
  </w:style>
  <w:style w:type="table" w:customStyle="1" w:styleId="9">
    <w:name w:val="网格型8"/>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表格文字"/>
    <w:basedOn w:val="1"/>
    <w:qFormat/>
    <w:uiPriority w:val="0"/>
    <w:pPr>
      <w:ind w:firstLine="0" w:firstLineChars="0"/>
    </w:pPr>
    <w:rPr>
      <w:rFonts w:ascii="Times New Roman" w:hAnsi="Times New Roman" w:cs="Times New Roman"/>
      <w:kern w:val="0"/>
      <w:sz w:val="21"/>
      <w:szCs w:val="24"/>
      <w14:ligatures w14:val="none"/>
    </w:rPr>
  </w:style>
  <w:style w:type="paragraph" w:customStyle="1" w:styleId="11">
    <w:name w:val="公文正文"/>
    <w:qFormat/>
    <w:uiPriority w:val="0"/>
    <w:pPr>
      <w:widowControl/>
      <w:tabs>
        <w:tab w:val="left" w:pos="420"/>
      </w:tabs>
      <w:bidi w:val="0"/>
      <w:spacing w:line="400" w:lineRule="exact"/>
      <w:ind w:left="0" w:leftChars="0" w:firstLine="640" w:firstLineChars="200"/>
      <w:jc w:val="both"/>
      <w:outlineLvl w:val="9"/>
    </w:pPr>
    <w:rPr>
      <w:rFonts w:ascii="仿宋_GB2312" w:hAnsi="仿宋_GB2312" w:eastAsia="仿宋_GB2312" w:cs="黑体"/>
      <w:color w:val="000000"/>
      <w:kern w:val="0"/>
      <w:sz w:val="24"/>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4712</Words>
  <Characters>6018</Characters>
  <Lines>0</Lines>
  <Paragraphs>0</Paragraphs>
  <TotalTime>0</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2025-10-11T01:22:00Z</dcterms:created>
  <dc:creator>何舒晨</dc:creator>
  <cp:lastModifiedBy>何舒晨</cp:lastModifiedBy>
  <dcterms:modified xsi:type="dcterms:W3CDTF">2025-10-11T09:49:36Z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E997CC9FB6A14640940DD754B8AAA2CB_13</vt:lpwstr>
  </property>
  <property fmtid="{D5CDD505-2E9C-101B-9397-08002B2CF9AE}" pid="4" name="KSOTemplateDocerSaveRecord">
    <vt:lpwstr>eyJoZGlkIjoiNDlmZjk0MTBkNjA1MzY3NzA4ZWQ1MDIyZjczODg0MzAiLCJ1c2VySWQiOiIxOTU4NTc0OTQifQ==</vt:lpwstr>
  </property>
</Properties>
</file>