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4"/>
      <w:bookmarkStart w:id="1" w:name="OLE_LINK1"/>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ZCB-YN-2025020</w:t>
      </w: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惠州市第一妇幼保健院2025年医用冰箱采购项目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惠州市第一妇幼保健院2025年医用冰箱采购项目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ZCB-YN-2025020</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惠州市第一妇幼保健院2025年医用冰箱采购项目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5"/>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惠州市第一妇幼保健院2025年医用冰箱采购项目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套</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70000.00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7"/>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b w:val="0"/>
          <w:bCs w:val="0"/>
          <w:color w:val="auto"/>
          <w:sz w:val="24"/>
          <w:highlight w:val="none"/>
          <w:lang w:eastAsia="zh-CN"/>
        </w:rPr>
        <w:t>或书面声明</w:t>
      </w:r>
      <w:r>
        <w:rPr>
          <w:rFonts w:hint="eastAsia" w:ascii="仿宋" w:hAnsi="仿宋" w:eastAsia="仿宋" w:cs="仿宋"/>
          <w:b w:val="0"/>
          <w:bCs w:val="0"/>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ind w:firstLine="480" w:firstLineChars="200"/>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根据惠州市卫生健康局下发的《惠州市“数字中医”项目试点实施方案》的通知，为更好地做好惠州市“数字中医”项目试点工作，需要采购一台中医四诊仪。</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项目内容及技术参数：</w:t>
      </w:r>
    </w:p>
    <w:p>
      <w:pPr>
        <w:numPr>
          <w:ilvl w:val="0"/>
          <w:numId w:val="0"/>
        </w:numPr>
        <w:autoSpaceDE w:val="0"/>
        <w:autoSpaceDN w:val="0"/>
        <w:spacing w:line="360" w:lineRule="auto"/>
        <w:ind w:firstLine="241" w:firstLineChars="1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（一）设备清单</w:t>
      </w:r>
    </w:p>
    <w:tbl>
      <w:tblPr>
        <w:tblStyle w:val="15"/>
        <w:tblW w:w="9750" w:type="dxa"/>
        <w:jc w:val="center"/>
        <w:tblLayout w:type="fixed"/>
        <w:tblCellMar>
          <w:top w:w="0" w:type="dxa"/>
          <w:left w:w="0" w:type="dxa"/>
          <w:bottom w:w="0" w:type="dxa"/>
          <w:right w:w="0" w:type="dxa"/>
        </w:tblCellMar>
      </w:tblPr>
      <w:tblGrid>
        <w:gridCol w:w="635"/>
        <w:gridCol w:w="2251"/>
        <w:gridCol w:w="645"/>
        <w:gridCol w:w="1500"/>
        <w:gridCol w:w="1440"/>
        <w:gridCol w:w="1125"/>
        <w:gridCol w:w="837"/>
        <w:gridCol w:w="1317"/>
      </w:tblGrid>
      <w:tr>
        <w:tblPrEx>
          <w:tblCellMar>
            <w:top w:w="0" w:type="dxa"/>
            <w:left w:w="0" w:type="dxa"/>
            <w:bottom w:w="0" w:type="dxa"/>
            <w:right w:w="0" w:type="dxa"/>
          </w:tblCellMar>
        </w:tblPrEx>
        <w:trPr>
          <w:trHeight w:val="90"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设备名称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数量（套）</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单价最高限价</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总价最高限</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价（万元）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整机质保（年）</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是否允许进口</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是否核心产品</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医用冷藏冷冻箱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（-80℃）医用超低温冰箱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（2-8℃）医用冷藏箱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0.7</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（2-8℃）医用冷藏箱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bl>
    <w:p>
      <w:pPr>
        <w:numPr>
          <w:ilvl w:val="0"/>
          <w:numId w:val="0"/>
        </w:numPr>
        <w:spacing w:line="380" w:lineRule="exact"/>
        <w:jc w:val="both"/>
        <w:rPr>
          <w:rFonts w:hint="eastAsia" w:ascii="仿宋" w:hAnsi="仿宋" w:eastAsia="仿宋" w:cs="仿宋"/>
          <w:b/>
          <w:color w:val="auto"/>
          <w:sz w:val="24"/>
          <w:szCs w:val="24"/>
          <w:highlight w:val="none"/>
          <w:lang w:val="en-US" w:eastAsia="zh-CN"/>
        </w:rPr>
      </w:pPr>
    </w:p>
    <w:p>
      <w:pPr>
        <w:numPr>
          <w:ilvl w:val="0"/>
          <w:numId w:val="0"/>
        </w:numPr>
        <w:spacing w:line="380" w:lineRule="exact"/>
        <w:ind w:firstLine="241" w:firstLineChars="10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（二）其他要求</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所投产</w:t>
      </w:r>
      <w:r>
        <w:rPr>
          <w:rFonts w:hint="eastAsia" w:ascii="仿宋" w:hAnsi="仿宋" w:eastAsia="仿宋" w:cs="仿宋"/>
          <w:color w:val="auto"/>
        </w:rPr>
        <w:t>品纳入医疗器械管理的，提供以下材料（如国家另有规定，则适用其规定）：第二类或第三类医疗器械产品，须提供产品合法有效的《中华人民共和国医疗器械注册证》扫描件，且所投产品型号必须与医疗器械注册证显示型号一致（注册证过期的，须提供网上可以查询的延期公告，如因其他特殊原因查询不到，须提供监督管理局受理的医疗器械注册延期通知书；涉及型号变更的须提供监督管理部门审核通过的变更文件）。 第一类医疗器械产品，须提供产品《第一类医疗器械备案凭证》。所提供配置必须至少包括注册证结构与组成列明部分，且应符合注册证注册的产品技术要求</w:t>
      </w:r>
      <w:r>
        <w:rPr>
          <w:rFonts w:hint="eastAsia" w:ascii="仿宋" w:hAnsi="仿宋" w:eastAsia="仿宋" w:cs="仿宋"/>
          <w:color w:val="auto"/>
          <w:lang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（三）技术参数及配置清单</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1.医用冷藏冷冻箱</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▲（1）有效容积：≥300L（冷藏约≥187L、冷冻≥113L）。</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（2）内部结构：冷藏室≥2层钢丝搁架，冷冻室≥3个ABS抽屉。</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（3）箱体底部配四个脚轮，带有锁定装置，便于移动和安放。</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 LCD数字温度显示，运行状态一目了然，可根据用户需求设定高低温报警温度点。</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lang w:val="en-US" w:eastAsia="zh-CN"/>
        </w:rPr>
        <w:t>（5）微电脑温度控制系统，冷藏温度2～8℃、冷冻温度-10～-26℃可调，</w:t>
      </w:r>
      <w:r>
        <w:rPr>
          <w:rFonts w:hint="eastAsia" w:ascii="仿宋" w:hAnsi="仿宋" w:eastAsia="仿宋" w:cs="仿宋"/>
          <w:color w:val="auto"/>
          <w:sz w:val="24"/>
          <w:highlight w:val="none"/>
          <w:lang w:val="en-US" w:eastAsia="zh-CN"/>
        </w:rPr>
        <w:t>显示精度1℃。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（6）冷藏温度和冷冻温度同时显示，冷藏室、冷冻室可分别单独关闭。</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▲（7）双压缩机双系统，上冷藏室和下冷冻室可独立控制运行，其中一个出现故障不影响另外一个正常运行使用。</w:t>
      </w:r>
    </w:p>
    <w:p>
      <w:pPr>
        <w:pStyle w:val="2"/>
        <w:ind w:firstLine="480" w:firstLineChars="200"/>
        <w:rPr>
          <w:rFonts w:hint="eastAsia"/>
          <w:color w:val="auto"/>
          <w:lang w:val="en-US" w:eastAsia="zh-CN"/>
        </w:rPr>
      </w:pPr>
      <w:r>
        <w:rPr>
          <w:rFonts w:hint="eastAsia" w:ascii="仿宋" w:hAnsi="仿宋" w:eastAsia="仿宋" w:cs="仿宋"/>
          <w:color w:val="auto"/>
          <w:sz w:val="24"/>
          <w:highlight w:val="none"/>
          <w:lang w:val="en-US" w:eastAsia="zh-CN"/>
        </w:rPr>
        <w:t>（8）带自动化霜功能。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①主机一台</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②搁板≥2个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③抽屉≥3个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2.（-80℃）医用超低温冰箱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▲（1）有效容积≥330L，立式。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（2）微电脑温度控制系统，温度-40℃~-86℃范围内。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▲（3）制冷系统：采用压缩机，低噪音风机。冷凝器散热风机可根据压缩机运行状态智能开停，带自动化霜功能。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（4）万向脚轮：标配四个万向脚轮，方便移动安放。</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（5）屏显功能：高清晰LED数码温度显示，显示精度0.1℃。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（6）制冷工质：无氟环保制冷工艺,制冷剂用量符合国家安全标准，明确制冷剂用量。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（8）数据存储与导出：标配USB数据导出接口，接入U盘可自动存储当月及上月数据，可保存温度数据≥20年以上。</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（9）≥3层不锈钢搁板，高度可调。</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（10）测试孔：配1个温度测试孔，方便测试温度。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②搁板≥3个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③支架≥2个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3.（2-8℃）医用冷藏箱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（1）有效容积≥300L，立式，单门。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（2）制冷方式:风冷.</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（3）门体带锁设计。</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（4）微电脑温度控制系统，冷藏温度2～8℃</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（5）箱体底部配四个脚轮，带有锁定装置。</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（6）测试孔：配1个温度测试孔，方便测试温度。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②搁板≥4个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4.（2-8℃）医用冷藏箱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（1）有效容积≥1000L，立式，双门。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▲（2）微电脑温度控制系统，冷藏温度2～8℃，大屏温度显示，显示精度：0.1℃，调节精度0.1℃；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（3）风道式强制冷气循环系统，确保箱体内部温度均匀性。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（4）风冷式高效冷凝器，翅片式蒸发器，冷藏内置吸风风扇，制冷迅速；具备自然化霜功能。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（6）当控制/报警传感器发生故障时，压缩机以开机5分钟、停机6分钟规律运作，确保物品存储安全。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（7）门开风扇电机停止运行，门关风扇电机自动开始运行。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▲（8）门体带锁设计。</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（9）自锁万向脚轮设计，移动固定方便。</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（10）USB数据导出接口，接入U盘可自动存储当月及上月数据。U盘持续连接可自动持续存储温度数据。蓄电池可提供不少于48小时报警及为温度记录打印机、USB端口供电。</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（11）箱体配1个测试孔，方便测试箱内温度。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4"/>
          <w:highlight w:val="none"/>
          <w:lang w:val="en-US" w:eastAsia="zh-CN"/>
        </w:rPr>
        <w:t>②搁板≥12个</w:t>
      </w:r>
    </w:p>
    <w:p>
      <w:pPr>
        <w:numPr>
          <w:ilvl w:val="0"/>
          <w:numId w:val="0"/>
        </w:numPr>
        <w:spacing w:line="360" w:lineRule="auto"/>
        <w:ind w:firstLine="281" w:firstLineChars="1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交货期 ：合同签订之日起</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天内完成供货、安装与调试，并完成对使用单位相关人员的操作与使用培训。</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2.交货</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第一妇幼保健院</w:t>
      </w:r>
      <w:r>
        <w:rPr>
          <w:rFonts w:hint="eastAsia" w:ascii="仿宋" w:hAnsi="仿宋" w:eastAsia="仿宋" w:cs="仿宋"/>
          <w:color w:val="auto"/>
          <w:sz w:val="24"/>
          <w:highlight w:val="none"/>
        </w:rPr>
        <w:t>指定地点。</w:t>
      </w:r>
    </w:p>
    <w:p>
      <w:pPr>
        <w:tabs>
          <w:tab w:val="left" w:pos="540"/>
        </w:tabs>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二</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报价方式及要求</w:t>
      </w:r>
    </w:p>
    <w:p>
      <w:pPr>
        <w:spacing w:line="360" w:lineRule="auto"/>
        <w:ind w:firstLine="504" w:firstLineChars="21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1.响应供应商需提供总报价</w:t>
      </w:r>
      <w:r>
        <w:rPr>
          <w:rFonts w:hint="eastAsia" w:ascii="仿宋" w:hAnsi="仿宋" w:eastAsia="仿宋" w:cs="仿宋"/>
          <w:b w:val="0"/>
          <w:bCs w:val="0"/>
          <w:color w:val="auto"/>
          <w:sz w:val="24"/>
          <w:highlight w:val="none"/>
          <w:lang w:val="en-US" w:eastAsia="zh-CN"/>
        </w:rPr>
        <w:t>及单价报价</w:t>
      </w:r>
      <w:r>
        <w:rPr>
          <w:rFonts w:hint="eastAsia" w:ascii="仿宋" w:hAnsi="仿宋" w:eastAsia="仿宋" w:cs="仿宋"/>
          <w:b w:val="0"/>
          <w:bCs w:val="0"/>
          <w:color w:val="auto"/>
          <w:sz w:val="24"/>
          <w:highlight w:val="none"/>
          <w:lang w:val="en-US" w:eastAsia="zh-CN"/>
        </w:rPr>
        <w:t>，报价应包括运送到指定地点并完成调试安装交付正常使用的所有费用。包含包装费、仓储费、运输费、保险费、装卸费、随机零配件、标配工具、安装调试费、培训费、保修服务费、商检费、首次检测/计量检定费、税费、设备以及项目实施过程中的应预见或不可预见费用。货物报价不得高于单价最高限价或总价最高限价，否则按响应无效处理。</w:t>
      </w:r>
    </w:p>
    <w:p>
      <w:pPr>
        <w:spacing w:line="360" w:lineRule="auto"/>
        <w:ind w:firstLine="504" w:firstLineChars="21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响应供应商报价明显低于通过符合性审查的其他响应供应商报价或报价低于市场成本价的，响应供应商的响应文件必须提供书面说明和成本清单、成本发票、销售发票等相关证明材料，供评审小组评审，若评审小组评审此材料影响服务质量或者不能诚信履约的（少数服从多数原则），按响应无效处理。</w:t>
      </w:r>
    </w:p>
    <w:p>
      <w:pPr>
        <w:tabs>
          <w:tab w:val="left" w:pos="5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支付合同总额的30%预付款；</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2.设备验收合格当天计算1个月内，采购人向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支付合同总额的70%；</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，且</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应向采购人出具合法有效完整的完税发票及凭证进行支付结算。</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4.该合同款项（部分）由财政拨付，如非因</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原因，而是因财政资金没有及时拨付到位而导致延期支付的，</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对此予以谅解，不予追究</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任何违约责任。</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1.货物为原制造商制造的全新产品，且设备生产日期不超过半年，整机无污染，无侵权行为、表面无划损、无任何缺陷隐患，在中国境内可依常规安全合法使用。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验收标准以成交供应商的响应文件中所列的指标为准（该指标应不低于比选文件所要求的指标）。验收时如发现成交供应商在响应时存在虚假指标响应情况，采购人将取消合同并依法追究成交供应商的责任，成交供应商必须承担由此给采购人带来的一切经济损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3.货物须为原厂原装的，原厂商未启封全新包装，序列号、包装箱号与出厂批号一致，并可追索查阅。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应将关键应交付产品合格证（或质量证明）、使用说明（纸质版及电子版）、保修手册、保修证明、发票和其他应具有的单证及配备件、随机工具等交付给采购人，使用操作及安全须知等重要资料应附有中文说明。</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5.验收时间：成交供应商按采购人要求，将设备在指定地点安装、调试、培训至正常使用后，由成交供应商方提出验收申请，采购人接到验收申请后壹个月内组织验收。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6.成交供应商验收时须一并提供所有产品生产商负责售后服务的承诺函并加盖生产商公章。</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质保期及售后服务要求</w:t>
      </w:r>
    </w:p>
    <w:p>
      <w:pPr>
        <w:spacing w:line="360" w:lineRule="auto"/>
        <w:ind w:firstLine="443" w:firstLineChars="21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lang w:val="en-US" w:eastAsia="zh-CN"/>
        </w:rPr>
        <w:t>★</w:t>
      </w:r>
      <w:r>
        <w:rPr>
          <w:rFonts w:hint="eastAsia" w:ascii="仿宋" w:hAnsi="仿宋" w:eastAsia="仿宋" w:cs="仿宋"/>
          <w:b/>
          <w:bCs/>
          <w:color w:val="auto"/>
          <w:sz w:val="24"/>
          <w:highlight w:val="none"/>
          <w:lang w:val="en-US" w:eastAsia="zh-CN"/>
        </w:rPr>
        <w:t>1.质保期：质保期≥5年。</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质保期内非采购人的人为原因而出现产品质量及安装问题，由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负责包修、包换包退、包维护保养，并承担因此而产生的一切费用。</w:t>
      </w:r>
      <w:r>
        <w:rPr>
          <w:rFonts w:hint="eastAsia" w:ascii="仿宋" w:hAnsi="仿宋" w:eastAsia="仿宋" w:cs="仿宋"/>
          <w:color w:val="auto"/>
          <w:kern w:val="0"/>
          <w:sz w:val="24"/>
          <w:szCs w:val="24"/>
          <w:lang w:val="en-US" w:eastAsia="zh-CN" w:bidi="ar-SA"/>
        </w:rPr>
        <w:t>质保期内至少提供一年两次的上门维保服务，并提供维保报告。成交供应商负责</w:t>
      </w:r>
      <w:r>
        <w:rPr>
          <w:rFonts w:hint="eastAsia" w:ascii="仿宋" w:hAnsi="仿宋" w:eastAsia="仿宋" w:cs="仿宋"/>
          <w:color w:val="auto"/>
          <w:sz w:val="24"/>
          <w:highlight w:val="none"/>
        </w:rPr>
        <w:t>终身维修，质保期过后维修时不收取维修费，只收取零件成本费用。（不得高于同期市场价格）</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质保期内，如设备或零部件因非人为因素出现故障而造成短期停用时，则质保期和维修期相应顺延。如接采购人故障通知后停用时间累计超过60天则质保期重新计算。</w:t>
      </w:r>
    </w:p>
    <w:p>
      <w:pPr>
        <w:spacing w:line="360" w:lineRule="auto"/>
        <w:ind w:firstLine="504" w:firstLineChars="21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对采购人的服务通知，</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接报后2小时内做出回应,并在48小时内派人员到达用户现场实施维修并排除故障。若在48小时内仍未能有效解决，</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须提供同</w:t>
      </w:r>
      <w:r>
        <w:rPr>
          <w:rFonts w:hint="eastAsia" w:ascii="仿宋" w:hAnsi="仿宋" w:eastAsia="仿宋" w:cs="仿宋"/>
          <w:color w:val="auto"/>
          <w:sz w:val="24"/>
          <w:highlight w:val="none"/>
          <w:lang w:eastAsia="zh-CN"/>
        </w:rPr>
        <w:t>类型</w:t>
      </w:r>
      <w:r>
        <w:rPr>
          <w:rFonts w:hint="eastAsia" w:ascii="仿宋" w:hAnsi="仿宋" w:eastAsia="仿宋" w:cs="仿宋"/>
          <w:color w:val="auto"/>
          <w:sz w:val="24"/>
          <w:highlight w:val="none"/>
        </w:rPr>
        <w:t>的设备予采购人临时使用。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lang w:val="en-US" w:eastAsia="zh-CN"/>
        </w:rPr>
        <w:t>安装与调试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lang w:val="en-US" w:eastAsia="zh-CN"/>
        </w:rPr>
        <w:t>必须依照采购文件的要求和报价文件的承诺，将设备、系统安装并调试至正常运行的最佳状态。</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2.按法定要求进行计量检定的设备，采购人验收完成后，当年的《计量检定证》由成交供应商负责办理，以后每年由采购人负责办理。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（七）其他</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需配备可满足项目正常实施开展的服务团队人员，以及提供内容全面、完善，安排合理的组织实施方案等。</w:t>
      </w:r>
    </w:p>
    <w:p>
      <w:pPr>
        <w:spacing w:line="360" w:lineRule="auto"/>
        <w:ind w:firstLine="504" w:firstLineChars="21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2.经验要求：</w:t>
      </w:r>
      <w:r>
        <w:rPr>
          <w:rFonts w:hint="eastAsia" w:ascii="仿宋" w:hAnsi="仿宋" w:eastAsia="仿宋" w:cs="仿宋"/>
          <w:color w:val="auto"/>
          <w:sz w:val="24"/>
          <w:highlight w:val="none"/>
          <w:lang w:eastAsia="zh-CN"/>
        </w:rPr>
        <w:t>供应商应</w:t>
      </w:r>
      <w:r>
        <w:rPr>
          <w:rFonts w:hint="eastAsia" w:ascii="仿宋" w:hAnsi="仿宋" w:eastAsia="仿宋" w:cs="仿宋"/>
          <w:color w:val="auto"/>
          <w:sz w:val="24"/>
          <w:highlight w:val="none"/>
          <w:lang w:val="en-US" w:eastAsia="zh-CN"/>
        </w:rPr>
        <w:t>具有同类型项目业绩。</w:t>
      </w: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pPr>
        <w:pStyle w:val="8"/>
        <w:adjustRightInd w:val="0"/>
        <w:snapToGrid w:val="0"/>
        <w:spacing w:line="380" w:lineRule="exact"/>
        <w:rPr>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8"/>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8"/>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8"/>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8"/>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8"/>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2" w:name="_Toc14923_WPSOffice_Level1"/>
      <w:r>
        <w:rPr>
          <w:rFonts w:hint="eastAsia" w:ascii="仿宋" w:hAnsi="仿宋" w:eastAsia="仿宋" w:cs="仿宋"/>
          <w:b w:val="0"/>
          <w:bCs/>
          <w:color w:val="auto"/>
          <w:sz w:val="24"/>
          <w:szCs w:val="24"/>
          <w:highlight w:val="none"/>
        </w:rPr>
        <w:t>同小型、微型</w:t>
      </w:r>
      <w:bookmarkEnd w:id="2"/>
      <w:r>
        <w:rPr>
          <w:rFonts w:hint="eastAsia" w:ascii="仿宋" w:hAnsi="仿宋" w:eastAsia="仿宋" w:cs="仿宋"/>
          <w:b w:val="0"/>
          <w:bCs/>
          <w:color w:val="auto"/>
          <w:sz w:val="24"/>
          <w:szCs w:val="24"/>
          <w:highlight w:val="none"/>
        </w:rPr>
        <w:t>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8"/>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8"/>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8"/>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8"/>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8"/>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8"/>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8"/>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8"/>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8"/>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8"/>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8"/>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11.企业资质</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8"/>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8"/>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5"/>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对用户服务需求</w:t>
            </w:r>
            <w:r>
              <w:rPr>
                <w:rFonts w:hint="eastAsia" w:ascii="仿宋" w:hAnsi="仿宋" w:eastAsia="仿宋" w:cs="仿宋"/>
                <w:color w:val="auto"/>
                <w:kern w:val="0"/>
                <w:sz w:val="24"/>
                <w:szCs w:val="24"/>
                <w:highlight w:val="none"/>
                <w:lang w:eastAsia="zh-CN"/>
              </w:rPr>
              <w:t>中</w:t>
            </w:r>
            <w:r>
              <w:rPr>
                <w:rFonts w:hint="eastAsia" w:ascii="仿宋" w:hAnsi="仿宋" w:eastAsia="仿宋" w:cs="仿宋"/>
                <w:color w:val="auto"/>
                <w:kern w:val="0"/>
                <w:sz w:val="24"/>
                <w:szCs w:val="24"/>
                <w:highlight w:val="none"/>
              </w:rPr>
              <w:t>带▲号的响应程度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所投产品参数全部满足用户需求书中带▲的重要技术参数的，得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分；一项不满足得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分；两项不满足得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分；如此类推，每不满足一项带▲的重要技术参数的得分减少3分，当达到</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项或以上时，视为严重偏离本项不得分。</w:t>
            </w:r>
          </w:p>
          <w:p>
            <w:pPr>
              <w:widowControl/>
              <w:jc w:val="left"/>
              <w:rPr>
                <w:rFonts w:hint="eastAsia"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rPr>
              <w:t>所有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应提供</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产品技术证明文件如</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有权视相应技术参数响应不符合</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（如厂家的产品使用说明书为英文版，请同时提供中文版）</w:t>
            </w:r>
          </w:p>
        </w:tc>
      </w:tr>
      <w:tr>
        <w:tblPrEx>
          <w:tblCellMar>
            <w:top w:w="0" w:type="dxa"/>
            <w:left w:w="108" w:type="dxa"/>
            <w:bottom w:w="0" w:type="dxa"/>
            <w:right w:w="108" w:type="dxa"/>
          </w:tblCellMar>
        </w:tblPrEx>
        <w:trPr>
          <w:trHeight w:val="36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完全满足</w:t>
            </w: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文件未要求提供证明材料的技术参数，以</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项目实施组织情况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根据</w:t>
            </w:r>
            <w:r>
              <w:rPr>
                <w:rFonts w:hint="eastAsia" w:ascii="仿宋" w:hAnsi="仿宋" w:eastAsia="仿宋" w:cs="仿宋"/>
                <w:color w:val="auto"/>
                <w:kern w:val="0"/>
                <w:sz w:val="24"/>
                <w:szCs w:val="24"/>
                <w:highlight w:val="none"/>
                <w:lang w:val="en-GB"/>
              </w:rPr>
              <w:t>各</w:t>
            </w:r>
            <w:r>
              <w:rPr>
                <w:rFonts w:hint="eastAsia" w:ascii="仿宋" w:hAnsi="仿宋" w:eastAsia="仿宋" w:cs="仿宋"/>
                <w:color w:val="auto"/>
                <w:kern w:val="0"/>
                <w:sz w:val="24"/>
                <w:szCs w:val="24"/>
                <w:highlight w:val="none"/>
                <w:lang w:val="en-GB" w:eastAsia="zh-CN"/>
              </w:rPr>
              <w:t xml:space="preserve">响应供应商为本项目投入的项目团队、人员构成、分工及送货时效及培训计划等（包含但不限于团队分组、人员名单、履约进度表、培训计划等内容）进行综合评比：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1.响应供应商为本项目投入的项目团队、人员构成合理且分工明确，培训计划可行，能够安全、快捷地将货物运送至采购人指定地点的，得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2.项目团队、人员构成及分工较为合理且有一定分工，培训计划较可行，能够按规定将货物运送至采购人指定地点的，得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3.项目团队、人员构成及分工有缺陷且有分工不明确，培训计划不可行，不能保证货物按时运送至采购人指定地点的，得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GB" w:eastAsia="zh-CN"/>
              </w:rPr>
              <w:t xml:space="preserve">分。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GB"/>
              </w:rPr>
              <w:t>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根据各</w:t>
            </w: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拟投入本项目的项目负责人进行评分：</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需提供1名项目负责人，负责项目全流程。</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w:t>
            </w:r>
            <w:r>
              <w:rPr>
                <w:rFonts w:hint="eastAsia" w:ascii="仿宋" w:hAnsi="仿宋" w:eastAsia="仿宋" w:cs="仿宋"/>
                <w:color w:val="auto"/>
                <w:kern w:val="0"/>
                <w:sz w:val="24"/>
                <w:szCs w:val="24"/>
                <w:highlight w:val="none"/>
                <w:lang w:val="en-US" w:eastAsia="zh-CN"/>
              </w:rPr>
              <w:t>。</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4"/>
                <w:szCs w:val="24"/>
                <w:highlight w:val="none"/>
                <w:lang w:eastAsia="zh-CN"/>
              </w:rPr>
              <w:t>且</w:t>
            </w:r>
            <w:r>
              <w:rPr>
                <w:rFonts w:hint="eastAsia" w:ascii="仿宋" w:hAnsi="仿宋" w:eastAsia="仿宋" w:cs="仿宋"/>
                <w:color w:val="auto"/>
                <w:kern w:val="0"/>
                <w:sz w:val="24"/>
                <w:szCs w:val="24"/>
                <w:highlight w:val="none"/>
              </w:rPr>
              <w:t>优于</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周全</w:t>
            </w:r>
            <w:r>
              <w:rPr>
                <w:rFonts w:hint="eastAsia" w:ascii="仿宋" w:hAnsi="仿宋" w:eastAsia="仿宋" w:cs="仿宋"/>
                <w:color w:val="auto"/>
                <w:kern w:val="0"/>
                <w:sz w:val="24"/>
                <w:szCs w:val="24"/>
                <w:highlight w:val="none"/>
              </w:rPr>
              <w:t>详尽，得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售后服务方案（包括质保期、维护保养方案、应急维修时间、维修的及时性、安排的合理性等）基本详细、具体，满足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售后服务方案（包括质保期、维护保养方案、应急维修时间、维修的及时性、安排的合理性等）不详细、具体，基本满足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各阶段服务计划不</w:t>
            </w:r>
            <w:r>
              <w:rPr>
                <w:rFonts w:hint="eastAsia" w:ascii="仿宋" w:hAnsi="仿宋" w:eastAsia="仿宋" w:cs="仿宋"/>
                <w:color w:val="auto"/>
                <w:kern w:val="0"/>
                <w:sz w:val="24"/>
                <w:szCs w:val="24"/>
                <w:highlight w:val="none"/>
                <w:lang w:eastAsia="zh-CN"/>
              </w:rPr>
              <w:t>完全</w:t>
            </w:r>
            <w:r>
              <w:rPr>
                <w:rFonts w:hint="eastAsia" w:ascii="仿宋" w:hAnsi="仿宋" w:eastAsia="仿宋" w:cs="仿宋"/>
                <w:color w:val="auto"/>
                <w:kern w:val="0"/>
                <w:sz w:val="24"/>
                <w:szCs w:val="24"/>
                <w:highlight w:val="none"/>
              </w:rPr>
              <w:t>齐全，得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8"/>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8"/>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8"/>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8"/>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5"/>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8"/>
              <w:spacing w:line="800" w:lineRule="exact"/>
              <w:jc w:val="left"/>
              <w:rPr>
                <w:rFonts w:hint="eastAsia" w:ascii="宋体" w:hAnsi="宋体" w:eastAsia="宋体"/>
                <w:b/>
                <w:color w:val="auto"/>
                <w:sz w:val="30"/>
                <w:szCs w:val="30"/>
                <w:highlight w:val="none"/>
                <w:lang w:eastAsia="zh-CN"/>
              </w:rPr>
            </w:pPr>
          </w:p>
          <w:p>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8"/>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8"/>
        <w:numPr>
          <w:ilvl w:val="0"/>
          <w:numId w:val="3"/>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5"/>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8"/>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highlight w:val="none"/>
        </w:rPr>
        <w:t>合同总额包含包装费、仓储费、运输费、保险费、装卸费、随机零配件、标配工具、安装调试费、培训费、保修服务费、商检费、首次检测/计量检定费、税费、设备以及项目实施过程中的应预见或不可预见费用。</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5.乙方应将关键主机设备的用户手册、保修手册、有关单证资料及配备件、随机工具等交付给甲方，使用操作及安全须知等重要资料应附有中文说明。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45天内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bookmarkStart w:id="33" w:name="_GoBack"/>
      <w:bookmarkEnd w:id="33"/>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1.合同签订生效后1个月内，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支付合同总额的30%预付款；</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2.设备验收合格当天计算1个月内，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支付合同总额的70%；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通过银行转账的方式支付给</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，且</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应向</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出具合法有效完整的完税发票及凭证进行支付结算。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4.该合同款项（部分）由财政拨付，如非因</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原因，而是因财政资金没有及时拨付到位而导致延期支付的，</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对此予以谅解，不予追究</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任何违约责任。</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。质保期内非甲方的人为原因而出现产品质量及安装问题，由乙方负责包修、包换包退、包</w:t>
      </w:r>
      <w:r>
        <w:rPr>
          <w:rFonts w:hint="eastAsia" w:ascii="宋体" w:hAnsi="宋体"/>
          <w:color w:val="auto"/>
          <w:sz w:val="24"/>
          <w:highlight w:val="none"/>
        </w:rPr>
        <w:t>维护保养，并承担因此而产生的一切费用。</w:t>
      </w:r>
      <w:r>
        <w:rPr>
          <w:rFonts w:hint="eastAsia" w:ascii="宋体" w:hAnsi="宋体"/>
          <w:color w:val="auto"/>
          <w:sz w:val="24"/>
          <w:highlight w:val="none"/>
          <w:lang w:val="en-US" w:eastAsia="zh-CN"/>
        </w:rPr>
        <w:t>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须提供同类型的设备予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乙方必须依照采购文件的要求和报价文件的承诺，将设备、系统安装并调试至正常运行的最佳状态。</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按法定要求进行计量检定的设备，</w:t>
      </w:r>
      <w:r>
        <w:rPr>
          <w:rFonts w:hint="eastAsia" w:ascii="宋体" w:hAnsi="宋体"/>
          <w:color w:val="auto"/>
          <w:sz w:val="24"/>
          <w:highlight w:val="none"/>
          <w:lang w:val="en-US" w:eastAsia="zh-CN"/>
        </w:rPr>
        <w:t>甲方验收完成后，当年的《计量检定证》由乙方负责办理，以后每年由甲方负责办理。</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进口产品必须具备原产地证明和商检局的检验证明及合法进货渠道证明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报关单、完税凭证</w:t>
      </w:r>
      <w:r>
        <w:rPr>
          <w:rFonts w:hint="eastAsia" w:ascii="宋体" w:hAnsi="宋体" w:eastAsia="宋体" w:cs="宋体"/>
          <w:color w:val="auto"/>
          <w:sz w:val="24"/>
          <w:highlight w:val="none"/>
          <w:lang w:eastAsia="zh-CN"/>
        </w:rPr>
        <w:t>等资料</w:t>
      </w:r>
      <w:r>
        <w:rPr>
          <w:rFonts w:hint="eastAsia" w:ascii="宋体" w:hAnsi="宋体" w:eastAsia="宋体" w:cs="宋体"/>
          <w:color w:val="auto"/>
          <w:sz w:val="24"/>
          <w:highlight w:val="none"/>
        </w:rPr>
        <w:t>。</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乙方应将关键主机设备的用户手册、保修手册、有关单证资料及配备件、随机工具等交付给甲方，使用操作及安全须知等重要资料应附有中文说明。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6.乙方验收时须一并提供由生产商负责质保期内全部售后服务的承诺函并加盖生产商公章，未能提供则验收不通过。甲方有权追溯乙方的响应文件，视为提供虚假材料。</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仿宋" w:hAnsi="仿宋" w:eastAsia="仿宋" w:cs="仿宋"/>
          <w:color w:val="auto"/>
          <w:sz w:val="24"/>
          <w:highlight w:val="none"/>
          <w:lang w:val="en-US" w:eastAsia="zh-CN"/>
        </w:rPr>
        <w:t>7.</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4"/>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w:t>
      </w:r>
      <w:r>
        <w:rPr>
          <w:rFonts w:hint="eastAsia" w:ascii="宋体" w:hAnsi="宋体"/>
          <w:color w:val="auto"/>
          <w:sz w:val="24"/>
          <w:highlight w:val="none"/>
          <w:lang w:eastAsia="zh-CN"/>
        </w:rPr>
        <w:t>法定代表人</w:t>
      </w:r>
      <w:r>
        <w:rPr>
          <w:rFonts w:hint="eastAsia" w:ascii="宋体" w:hAnsi="宋体"/>
          <w:color w:val="auto"/>
          <w:sz w:val="24"/>
          <w:highlight w:val="none"/>
        </w:rPr>
        <w:t>或其授权代表签字盖章后生效。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2.一式伍份，甲方持肆份，乙方持壹份。</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cs="Times New Roman"/>
          <w:color w:val="auto"/>
          <w:sz w:val="24"/>
          <w:highlight w:val="none"/>
          <w:lang w:val="en-US" w:eastAsia="zh-CN"/>
        </w:rPr>
        <w:t xml:space="preserve"> </w:t>
      </w:r>
      <w:r>
        <w:rPr>
          <w:rFonts w:hint="eastAsia" w:ascii="宋体" w:hAnsi="宋体"/>
          <w:color w:val="auto"/>
          <w:sz w:val="24"/>
          <w:highlight w:val="none"/>
          <w:lang w:eastAsia="zh-CN"/>
        </w:rPr>
        <w:t>法定代表人</w:t>
      </w:r>
      <w:r>
        <w:rPr>
          <w:rFonts w:hint="eastAsia" w:ascii="宋体"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电话：0752-7806616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8"/>
        <w:adjustRightInd w:val="0"/>
        <w:snapToGrid w:val="0"/>
        <w:spacing w:line="360" w:lineRule="auto"/>
        <w:jc w:val="center"/>
        <w:rPr>
          <w:rFonts w:hint="eastAsia" w:ascii="仿宋" w:hAnsi="仿宋" w:eastAsia="仿宋" w:cs="仿宋"/>
          <w:b/>
          <w:color w:val="auto"/>
          <w:kern w:val="0"/>
          <w:sz w:val="72"/>
          <w:szCs w:val="72"/>
          <w:highlight w:val="none"/>
        </w:rPr>
      </w:pPr>
    </w:p>
    <w:p>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8"/>
        <w:adjustRightInd w:val="0"/>
        <w:snapToGrid w:val="0"/>
        <w:spacing w:line="360" w:lineRule="auto"/>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8"/>
        <w:spacing w:line="360" w:lineRule="auto"/>
        <w:rPr>
          <w:rFonts w:hint="eastAsia" w:ascii="仿宋" w:hAnsi="仿宋" w:eastAsia="仿宋" w:cs="仿宋"/>
          <w:b/>
          <w:color w:val="auto"/>
          <w:sz w:val="28"/>
          <w:szCs w:val="28"/>
          <w:highlight w:val="none"/>
        </w:rPr>
      </w:pPr>
    </w:p>
    <w:p>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8"/>
        <w:adjustRightInd w:val="0"/>
        <w:snapToGrid w:val="0"/>
        <w:spacing w:line="440" w:lineRule="exact"/>
        <w:rPr>
          <w:rFonts w:hint="eastAsia"/>
          <w:color w:val="auto"/>
          <w:highlight w:val="none"/>
        </w:rPr>
      </w:pPr>
      <w:bookmarkStart w:id="3" w:name="_Toc202816995"/>
      <w:bookmarkStart w:id="4" w:name="_Toc202254104"/>
      <w:bookmarkStart w:id="5" w:name="_Toc202251699"/>
      <w:bookmarkStart w:id="6" w:name="_Toc202819877"/>
      <w:bookmarkStart w:id="7" w:name="_Toc202820350"/>
      <w:bookmarkStart w:id="8" w:name="_Toc202251074"/>
      <w:bookmarkStart w:id="9" w:name="_Toc202252033"/>
      <w:r>
        <w:rPr>
          <w:color w:val="auto"/>
          <w:highlight w:val="none"/>
        </w:rPr>
        <w:br w:type="page"/>
      </w:r>
      <w:r>
        <w:rPr>
          <w:rFonts w:hint="eastAsia" w:ascii="仿宋" w:hAnsi="仿宋" w:eastAsia="仿宋" w:cs="仿宋"/>
          <w:b/>
          <w:bCs/>
          <w:color w:val="auto"/>
          <w:sz w:val="28"/>
          <w:highlight w:val="none"/>
        </w:rPr>
        <w:t xml:space="preserve">1 </w:t>
      </w:r>
      <w:bookmarkEnd w:id="3"/>
      <w:bookmarkEnd w:id="4"/>
      <w:bookmarkEnd w:id="5"/>
      <w:bookmarkEnd w:id="6"/>
      <w:bookmarkEnd w:id="7"/>
      <w:bookmarkEnd w:id="8"/>
      <w:bookmarkEnd w:id="9"/>
      <w:r>
        <w:rPr>
          <w:rFonts w:hint="eastAsia" w:ascii="仿宋" w:hAnsi="仿宋" w:eastAsia="仿宋" w:cs="仿宋"/>
          <w:b/>
          <w:bCs/>
          <w:color w:val="auto"/>
          <w:sz w:val="28"/>
          <w:highlight w:val="none"/>
        </w:rPr>
        <w:t>资格性/符合性自查表</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11.企业资质</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12.落实政府采购政策需满足的资格要求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13.报名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对用户服务需求</w:t>
            </w:r>
            <w:r>
              <w:rPr>
                <w:rFonts w:hint="eastAsia" w:ascii="仿宋" w:hAnsi="仿宋" w:eastAsia="仿宋" w:cs="仿宋"/>
                <w:color w:val="auto"/>
                <w:kern w:val="0"/>
                <w:sz w:val="21"/>
                <w:szCs w:val="21"/>
                <w:highlight w:val="none"/>
                <w:lang w:eastAsia="zh-CN"/>
              </w:rPr>
              <w:t>中</w:t>
            </w:r>
            <w:r>
              <w:rPr>
                <w:rFonts w:hint="eastAsia" w:ascii="仿宋" w:hAnsi="仿宋" w:eastAsia="仿宋" w:cs="仿宋"/>
                <w:color w:val="auto"/>
                <w:kern w:val="0"/>
                <w:sz w:val="21"/>
                <w:szCs w:val="21"/>
                <w:highlight w:val="none"/>
              </w:rPr>
              <w:t>带▲号的响应程度</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所投产品参数全部满足用户需求书中带▲的重要技术参数的，得18分；一项不满足得15分；两项不满足得12分；如此类推，每不满足一项带▲的重要技术参数的得分减少3分，当达到6项或以上时，视为严重偏离本项不得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注：所有供应商应提供响应产品技术证明文件如响应产品彩页或相应技术参数的厂家使用说明书或技术白皮书或厂家公开发布的印刷资料或第三方机构出具的检验报告等作为技术证明文件，否则评审小组有权视相应技术参数响应不符合采购要求。（如厂家的产品使用说明书为英文版，请同时提供中文版）</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对用户服务需求不带▲号的响应程度 </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根据各响应供应商所提供的服务是否满足用户需求书响应程度进行评分：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完全满足不带▲号的一般技术参数，得22分；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有一项不带▲号条款负偏离，得21分；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有二项不带▲号条款负偏离，得20分；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有三项不带▲号条款负偏离，得19分；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有四项不带▲号条款负偏离，得18分；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有五项不带▲号条款负偏离，得17分；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以此类推，当不带▲号条款负偏离达到11项（含）以上时，视为严重偏离此评分项不得分。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注：采购文件未要求提供证明材料的技术参数，以响应文件格式技术和服务要求响应表为准。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项目实施组织情况</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组织实施方案清晰、全面、合理，施工方案科学可操作性强，进度安排合理，组织、实施计划有条理性的，得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组织实施方案较清晰、较全面、较合理，施工方案可行，进度安排较合理，组织、实施计划基本有条理性的，得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组织实施方案简单、基本合理，施工方案科学基本可行，进度安排一般，组织、实施计划欠缺条理性的，得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供应商的履约能力</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 xml:space="preserve">根据各响应供应商为本项目投入的项目团队、人员构成、分工及送货时效及培训计划等（包含但不限于团队分组、人员名单、履约进度表、培训计划等内容）进行综合评比： </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1.响应供应商为本项目投入的项目团队、人员构成合理且分工明确，培训计划可行，能够安全、快捷地将货物运送至采购人指定地点的，得5分；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2.项目团队、人员构成及分工较为合理且有一定分工，培训计划较可行，能够按规定将货物运送至采购人指定地点的，得3分；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 xml:space="preserve">3.项目团队、人员构成及分工有缺陷且有分工不明确，培训计划不可行，不能保证货物按时运送至采购人指定地点的，得1分。 </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GB" w:eastAsia="zh-CN"/>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拟投入本项目</w:t>
            </w:r>
            <w:r>
              <w:rPr>
                <w:rFonts w:hint="eastAsia" w:ascii="仿宋" w:hAnsi="仿宋" w:eastAsia="仿宋" w:cs="仿宋"/>
                <w:color w:val="auto"/>
                <w:kern w:val="0"/>
                <w:sz w:val="21"/>
                <w:szCs w:val="21"/>
                <w:highlight w:val="none"/>
                <w:lang w:eastAsia="zh-CN"/>
              </w:rPr>
              <w:t>的项目负责人</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lang w:val="en-GB"/>
              </w:rPr>
              <w:t>拟投入本项目的项目负责人进行评分：</w:t>
            </w:r>
          </w:p>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响应供应商需提供至少1名项目负责人，负责项目全流程。</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GB"/>
              </w:rPr>
              <w:t>（所投人员需提供近半年内任意一个月的社保缴纳证明文件复印件，无提供不得分。）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同类业绩</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自2021年1月1日至今，各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每提供一份同类业绩</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2 分，最多得10分。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w:t>
            </w:r>
            <w:r>
              <w:rPr>
                <w:rFonts w:hint="eastAsia" w:ascii="仿宋" w:hAnsi="仿宋" w:eastAsia="仿宋" w:cs="仿宋"/>
                <w:color w:val="auto"/>
                <w:kern w:val="0"/>
                <w:sz w:val="21"/>
                <w:szCs w:val="21"/>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售后服务方案</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对各响应供应商提供的售后服务内容（包括质保期、维护保养方案、应急维修时间、维修的及时性、安排的合理性等）是否完善具体，各阶段服务计划是否详尽进行评分：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1.售后服务方案（包括质保期、维护保养方案、应急维修时间、维修的及时性、安排的合理性等）详细、具体，完全满足且优于比选文件要求，各阶段服务计划周全详尽，得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2.售后服务方案（包括质保期、维护保养方案、应急维修时间、维修的及时性、安排的合理性等）基本详细、具体，满足比选文件要求，各阶段服务计划满足，得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3.售后服务方案（包括质保期、维护保养方案、应急维修时间、维修的及时性、安排的合理性等）不详细、具体，基本满足比选文件要求，各阶段服务计划不完全齐全，得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0" w:name="_Toc202816996"/>
      <w:bookmarkStart w:id="11" w:name="_Toc202251700"/>
      <w:bookmarkStart w:id="12" w:name="_Toc202820351"/>
      <w:bookmarkStart w:id="13" w:name="_Toc202254105"/>
      <w:bookmarkStart w:id="14" w:name="_Toc202252034"/>
      <w:bookmarkStart w:id="15" w:name="_Toc202251075"/>
      <w:bookmarkStart w:id="16" w:name="_Toc202819878"/>
      <w:r>
        <w:rPr>
          <w:rFonts w:hint="eastAsia" w:ascii="仿宋" w:hAnsi="仿宋" w:eastAsia="仿宋" w:cs="仿宋"/>
          <w:b/>
          <w:bCs/>
          <w:color w:val="auto"/>
          <w:sz w:val="28"/>
          <w:szCs w:val="28"/>
          <w:highlight w:val="none"/>
        </w:rPr>
        <w:t>3 资格性文件</w:t>
      </w:r>
      <w:bookmarkEnd w:id="10"/>
      <w:bookmarkEnd w:id="11"/>
      <w:bookmarkEnd w:id="12"/>
      <w:bookmarkEnd w:id="13"/>
      <w:bookmarkEnd w:id="14"/>
      <w:bookmarkEnd w:id="15"/>
      <w:bookmarkEnd w:id="16"/>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0"/>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0"/>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0"/>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0"/>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m+faXXAAAACQEAAA8AAAAAAAAA&#10;AQAgAAAAIgAAAGRycy9kb3ducmV2LnhtbFBLAQIUABQAAAAIAIdO4kAGoZGs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M/Wt10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7" w:name="_Toc202251701"/>
      <w:bookmarkStart w:id="18" w:name="_Toc202251076"/>
      <w:bookmarkStart w:id="19" w:name="_Toc202252035"/>
      <w:bookmarkStart w:id="20" w:name="_Toc202820352"/>
      <w:bookmarkStart w:id="21" w:name="_Toc202816997"/>
      <w:bookmarkStart w:id="22" w:name="_Toc202254106"/>
      <w:bookmarkStart w:id="23" w:name="_Toc202819879"/>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7"/>
      <w:bookmarkEnd w:id="18"/>
      <w:bookmarkEnd w:id="19"/>
      <w:bookmarkEnd w:id="20"/>
      <w:bookmarkEnd w:id="21"/>
      <w:bookmarkEnd w:id="22"/>
      <w:bookmarkEnd w:id="23"/>
    </w:p>
    <w:p>
      <w:pPr>
        <w:tabs>
          <w:tab w:val="left" w:pos="540"/>
        </w:tabs>
        <w:spacing w:line="40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4.1</w:t>
      </w:r>
      <w:r>
        <w:rPr>
          <w:rFonts w:hint="eastAsia" w:ascii="仿宋" w:hAnsi="仿宋" w:eastAsia="仿宋" w:cs="仿宋"/>
          <w:b w:val="0"/>
          <w:bCs/>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4.1.1</w:t>
      </w:r>
      <w:r>
        <w:rPr>
          <w:rFonts w:hint="eastAsia" w:ascii="仿宋" w:hAnsi="仿宋" w:eastAsia="仿宋" w:cs="仿宋"/>
          <w:b w:val="0"/>
          <w:bCs w:val="0"/>
          <w:color w:val="auto"/>
          <w:sz w:val="24"/>
          <w:highlight w:val="none"/>
        </w:rPr>
        <w:t>近三年经营活动中无重大违法违规声明函</w:t>
      </w:r>
    </w:p>
    <w:p>
      <w:pPr>
        <w:adjustRightInd w:val="0"/>
        <w:snapToGrid w:val="0"/>
        <w:spacing w:line="400" w:lineRule="exact"/>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lang w:val="en-US" w:eastAsia="zh-CN"/>
        </w:rPr>
        <w:t>4.1.3.1</w:t>
      </w: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2"/>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254107"/>
      <w:bookmarkStart w:id="25" w:name="_Toc202252036"/>
      <w:bookmarkStart w:id="26" w:name="_Toc202820353"/>
      <w:bookmarkStart w:id="27" w:name="_Toc202251702"/>
      <w:bookmarkStart w:id="28" w:name="_Toc202816998"/>
      <w:bookmarkStart w:id="29" w:name="_Toc202251077"/>
      <w:bookmarkStart w:id="30" w:name="_Toc202819880"/>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1"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1"/>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2"/>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4"/>
      <w:bookmarkEnd w:id="25"/>
      <w:bookmarkEnd w:id="26"/>
      <w:bookmarkEnd w:id="27"/>
      <w:bookmarkEnd w:id="28"/>
      <w:bookmarkEnd w:id="29"/>
      <w:bookmarkEnd w:id="30"/>
    </w:p>
    <w:p>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2"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2"/>
      <w:r>
        <w:rPr>
          <w:rFonts w:hint="eastAsia" w:ascii="仿宋" w:hAnsi="仿宋" w:eastAsia="仿宋" w:cs="仿宋"/>
          <w:b/>
          <w:color w:val="auto"/>
          <w:sz w:val="24"/>
          <w:highlight w:val="none"/>
        </w:rPr>
        <w:t>响应表（单页填写）</w:t>
      </w:r>
    </w:p>
    <w:p>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5"/>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5"/>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bookmarkEnd w:id="0"/>
    <w:p>
      <w:pPr>
        <w:rPr>
          <w:color w:val="auto"/>
          <w:highlight w:val="none"/>
        </w:rPr>
      </w:pPr>
    </w:p>
    <w:p>
      <w:pPr>
        <w:rPr>
          <w:color w:val="auto"/>
        </w:rPr>
      </w:pPr>
    </w:p>
    <w:bookmarkEnd w:id="1"/>
    <w:p>
      <w:pPr>
        <w:rPr>
          <w:color w:val="auto"/>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6016A29"/>
    <w:multiLevelType w:val="singleLevel"/>
    <w:tmpl w:val="06016A29"/>
    <w:lvl w:ilvl="0" w:tentative="0">
      <w:start w:val="4"/>
      <w:numFmt w:val="chineseCounting"/>
      <w:suff w:val="nothing"/>
      <w:lvlText w:val="%1、"/>
      <w:lvlJc w:val="left"/>
      <w:rPr>
        <w:rFonts w:hint="eastAsia"/>
      </w:rPr>
    </w:lvl>
  </w:abstractNum>
  <w:abstractNum w:abstractNumId="2">
    <w:nsid w:val="08A9BB30"/>
    <w:multiLevelType w:val="singleLevel"/>
    <w:tmpl w:val="08A9BB30"/>
    <w:lvl w:ilvl="0" w:tentative="0">
      <w:start w:val="12"/>
      <w:numFmt w:val="chineseCounting"/>
      <w:suff w:val="nothing"/>
      <w:lvlText w:val="%1、"/>
      <w:lvlJc w:val="left"/>
      <w:rPr>
        <w:rFonts w:hint="eastAsia"/>
      </w:r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27B2B"/>
    <w:rsid w:val="2646292A"/>
    <w:rsid w:val="320A3F25"/>
    <w:rsid w:val="406464CA"/>
    <w:rsid w:val="4A724AE1"/>
    <w:rsid w:val="5972163E"/>
    <w:rsid w:val="5CA5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index heading"/>
    <w:basedOn w:val="1"/>
    <w:next w:val="13"/>
    <w:qFormat/>
    <w:uiPriority w:val="0"/>
    <w:rPr>
      <w:szCs w:val="20"/>
    </w:rPr>
  </w:style>
  <w:style w:type="paragraph" w:styleId="13">
    <w:name w:val="index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7">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8">
    <w:name w:val="列出段落1"/>
    <w:basedOn w:val="1"/>
    <w:qFormat/>
    <w:uiPriority w:val="0"/>
    <w:pPr>
      <w:ind w:firstLine="420" w:firstLineChars="200"/>
    </w:pPr>
    <w:rPr>
      <w:rFonts w:ascii="Calibri" w:hAnsi="Calibri" w:eastAsia="宋体" w:cs="Times New Roman"/>
    </w:rPr>
  </w:style>
  <w:style w:type="paragraph" w:customStyle="1" w:styleId="19">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0">
    <w:name w:val="null3"/>
    <w:qFormat/>
    <w:uiPriority w:val="0"/>
    <w:rPr>
      <w:rFonts w:hint="eastAsia" w:ascii="Calibri" w:hAnsi="Calibri" w:eastAsia="宋体" w:cs="Times New Roman"/>
      <w:lang w:val="en-US" w:eastAsia="zh-Hans"/>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题注4"/>
    <w:basedOn w:val="1"/>
    <w:next w:val="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2025-04-21T06:46:00Z</dcterms:created>
  <dc:creator>Administrator.FY-202308300715</dc:creator>
  <cp:lastModifiedBy>Mao</cp:lastModifiedBy>
  <dcterms:modified xsi:type="dcterms:W3CDTF">2025-04-24T03:13:31Z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