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ZCB-YN-2026012</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Times New Roman" w:hAnsi="Times New Roman" w:eastAsia="方正仿宋_GBK" w:cs="Times New Roman"/>
          <w:b w:val="0"/>
          <w:bCs w:val="0"/>
          <w:color w:val="auto"/>
          <w:kern w:val="2"/>
          <w:sz w:val="32"/>
          <w:szCs w:val="32"/>
          <w:highlight w:val="none"/>
          <w:lang w:val="en-US" w:eastAsia="zh-CN" w:bidi="ar-SA"/>
        </w:rPr>
        <w:t>消毒供应追溯管理系统接口开发与维保服务</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7"/>
        <w:rPr>
          <w:rFonts w:hint="eastAsia"/>
          <w:color w:val="auto"/>
          <w:highlight w:val="none"/>
          <w:lang w:eastAsia="zh-CN"/>
        </w:rPr>
      </w:pPr>
    </w:p>
    <w:p>
      <w:pPr>
        <w:pStyle w:val="12"/>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惠州市第一妇幼保健院消毒供应追溯管理系统接口开发与维保服务项目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w:t>
      </w:r>
      <w:r>
        <w:rPr>
          <w:rFonts w:hint="eastAsia" w:ascii="仿宋" w:hAnsi="仿宋" w:eastAsia="仿宋" w:cs="仿宋"/>
          <w:color w:val="auto"/>
          <w:sz w:val="24"/>
          <w:highlight w:val="none"/>
          <w:lang w:val="en-US" w:eastAsia="zh-CN"/>
        </w:rPr>
        <w:t>6012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消毒供应追溯管理系统接口开发与维保服务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4"/>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46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消毒供应追溯管理系统接口开发与维保服务</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54500.00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日起至202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日（上午08:00-12:00，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r>
        <w:rPr>
          <w:rFonts w:hint="eastAsia" w:ascii="仿宋" w:hAnsi="仿宋" w:eastAsia="仿宋" w:cs="仿宋"/>
          <w:color w:val="auto"/>
          <w:kern w:val="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赵工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keepNext w:val="0"/>
        <w:keepLines w:val="0"/>
        <w:pageBreakBefore w:val="0"/>
        <w:widowControl w:val="0"/>
        <w:kinsoku/>
        <w:wordWrap/>
        <w:overflowPunct/>
        <w:topLinePunct w:val="0"/>
        <w:autoSpaceDE/>
        <w:autoSpaceDN/>
        <w:bidi w:val="0"/>
        <w:adjustRightInd/>
        <w:snapToGrid/>
        <w:spacing w:line="360" w:lineRule="auto"/>
        <w:ind w:left="0" w:firstLine="4800" w:firstLineChars="20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或④出具承诺函，格式自拟</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b/>
          <w:bCs/>
          <w:color w:val="auto"/>
          <w:sz w:val="24"/>
          <w:highlight w:val="none"/>
          <w:lang w:eastAsia="zh-CN"/>
        </w:rPr>
        <w:t>，</w:t>
      </w:r>
      <w:r>
        <w:rPr>
          <w:rFonts w:hint="eastAsia" w:ascii="仿宋" w:hAnsi="仿宋" w:eastAsia="仿宋" w:cs="仿宋"/>
          <w:color w:val="auto"/>
          <w:sz w:val="24"/>
          <w:highlight w:val="none"/>
          <w:lang w:val="en-US" w:eastAsia="zh-CN"/>
        </w:rPr>
        <w:t>或出具承诺函，格式自拟</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b/>
          <w:bCs/>
          <w:color w:val="auto"/>
          <w:sz w:val="24"/>
          <w:highlight w:val="none"/>
          <w:lang w:eastAsia="zh-CN"/>
        </w:rPr>
        <w:t>，</w:t>
      </w:r>
      <w:r>
        <w:rPr>
          <w:rFonts w:hint="eastAsia" w:ascii="仿宋" w:hAnsi="仿宋" w:eastAsia="仿宋" w:cs="仿宋"/>
          <w:color w:val="auto"/>
          <w:sz w:val="24"/>
          <w:highlight w:val="none"/>
          <w:lang w:val="en-US" w:eastAsia="zh-CN"/>
        </w:rPr>
        <w:t>或出具承诺函，格式自拟</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auto"/>
          <w:highlight w:val="none"/>
        </w:rPr>
      </w:pPr>
      <w:r>
        <w:rPr>
          <w:rFonts w:hint="eastAsia" w:ascii="仿宋" w:hAnsi="仿宋" w:eastAsia="仿宋" w:cs="仿宋"/>
          <w:color w:val="auto"/>
          <w:sz w:val="24"/>
          <w:highlight w:val="none"/>
        </w:rPr>
        <w:t>6.</w:t>
      </w:r>
      <w:r>
        <w:rPr>
          <w:rFonts w:hint="eastAsia" w:ascii="仿宋" w:hAnsi="仿宋" w:eastAsia="仿宋" w:cs="仿宋"/>
          <w:strike w:val="0"/>
          <w:color w:val="auto"/>
          <w:sz w:val="24"/>
          <w:highlight w:val="none"/>
          <w:lang w:eastAsia="zh-CN"/>
        </w:rPr>
        <w:t>本项目是专门面向中小企业采购的项目。（提供《中小企业声明函》,具体格式文件见比选文件</w:t>
      </w:r>
      <w:r>
        <w:rPr>
          <w:rFonts w:hint="eastAsia" w:ascii="仿宋" w:hAnsi="仿宋" w:eastAsia="仿宋" w:cs="仿宋"/>
          <w:b/>
          <w:bCs/>
          <w:strike w:val="0"/>
          <w:color w:val="auto"/>
          <w:sz w:val="24"/>
          <w:highlight w:val="none"/>
          <w:lang w:eastAsia="zh-CN"/>
        </w:rPr>
        <w:t>P51</w:t>
      </w:r>
      <w:r>
        <w:rPr>
          <w:rFonts w:hint="eastAsia" w:ascii="仿宋" w:hAnsi="仿宋" w:eastAsia="仿宋" w:cs="仿宋"/>
          <w:strike w:val="0"/>
          <w:color w:val="auto"/>
          <w:sz w:val="24"/>
          <w:highlight w:val="none"/>
          <w:lang w:eastAsia="zh-CN"/>
        </w:rPr>
        <w:t>中小企业声明函（工程、服务），未按要求提供声明函的将导致响应无效）。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w:t>
      </w:r>
      <w:r>
        <w:rPr>
          <w:rFonts w:hint="eastAsia" w:ascii="仿宋" w:hAnsi="仿宋" w:eastAsia="仿宋" w:cs="仿宋"/>
          <w:b/>
          <w:bCs/>
          <w:strike w:val="0"/>
          <w:color w:val="auto"/>
          <w:sz w:val="24"/>
          <w:highlight w:val="none"/>
        </w:rPr>
        <w:t>所属行业为</w:t>
      </w:r>
      <w:r>
        <w:rPr>
          <w:rFonts w:hint="eastAsia" w:ascii="仿宋" w:hAnsi="仿宋" w:eastAsia="仿宋" w:cs="仿宋"/>
          <w:b/>
          <w:bCs/>
          <w:strike w:val="0"/>
          <w:color w:val="auto"/>
          <w:sz w:val="24"/>
          <w:highlight w:val="none"/>
          <w:lang w:eastAsia="zh-CN"/>
        </w:rPr>
        <w:t>：</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为采购人提供消毒供应追溯管理系统基础日常维护及系统优化服务，并定期回访、提供运维记录等服务。</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598"/>
        <w:gridCol w:w="13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40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2698"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项目名称</w:t>
            </w:r>
          </w:p>
        </w:tc>
        <w:tc>
          <w:tcPr>
            <w:tcW w:w="812"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数量（项）</w:t>
            </w:r>
          </w:p>
        </w:tc>
        <w:tc>
          <w:tcPr>
            <w:tcW w:w="1081"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0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p>
        </w:tc>
        <w:tc>
          <w:tcPr>
            <w:tcW w:w="2698"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Cs w:val="21"/>
              </w:rPr>
              <w:t>消毒供应追溯管理系统接口开发与维保服务</w:t>
            </w:r>
          </w:p>
        </w:tc>
        <w:tc>
          <w:tcPr>
            <w:tcW w:w="81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p>
        </w:tc>
        <w:tc>
          <w:tcPr>
            <w:tcW w:w="1081"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54500.00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keepNext w:val="0"/>
        <w:keepLines w:val="0"/>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1.服务内容</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921"/>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color w:val="auto"/>
                <w:sz w:val="24"/>
                <w:szCs w:val="24"/>
                <w:highlight w:val="none"/>
                <w:lang w:val="en-US"/>
              </w:rPr>
            </w:pPr>
            <w:r>
              <w:rPr>
                <w:rFonts w:hint="eastAsia" w:ascii="方正仿宋_GBK" w:hAnsi="方正仿宋_GBK" w:eastAsia="方正仿宋_GBK" w:cs="方正仿宋_GBK"/>
                <w:b w:val="0"/>
                <w:bCs/>
                <w:color w:val="auto"/>
                <w:kern w:val="2"/>
                <w:sz w:val="24"/>
                <w:szCs w:val="24"/>
                <w:highlight w:val="none"/>
                <w:lang w:val="en-US" w:eastAsia="zh-CN" w:bidi="ar"/>
              </w:rPr>
              <w:t>序号</w:t>
            </w:r>
          </w:p>
        </w:tc>
        <w:tc>
          <w:tcPr>
            <w:tcW w:w="1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color w:val="auto"/>
                <w:sz w:val="24"/>
                <w:szCs w:val="24"/>
                <w:highlight w:val="none"/>
                <w:lang w:val="en-US"/>
              </w:rPr>
            </w:pPr>
            <w:r>
              <w:rPr>
                <w:rFonts w:hint="eastAsia" w:ascii="方正仿宋_GBK" w:hAnsi="方正仿宋_GBK" w:eastAsia="方正仿宋_GBK" w:cs="方正仿宋_GBK"/>
                <w:b w:val="0"/>
                <w:bCs/>
                <w:color w:val="auto"/>
                <w:kern w:val="2"/>
                <w:sz w:val="24"/>
                <w:szCs w:val="24"/>
                <w:highlight w:val="none"/>
                <w:lang w:val="en-US" w:eastAsia="zh-CN" w:bidi="ar"/>
              </w:rPr>
              <w:t>服务内容</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color w:val="auto"/>
                <w:sz w:val="24"/>
                <w:szCs w:val="24"/>
                <w:highlight w:val="none"/>
                <w:lang w:val="en-US"/>
              </w:rPr>
            </w:pPr>
            <w:r>
              <w:rPr>
                <w:rFonts w:hint="eastAsia" w:ascii="方正仿宋_GBK" w:hAnsi="方正仿宋_GBK" w:eastAsia="方正仿宋_GBK" w:cs="方正仿宋_GBK"/>
                <w:b w:val="0"/>
                <w:bCs/>
                <w:color w:val="auto"/>
                <w:kern w:val="2"/>
                <w:sz w:val="24"/>
                <w:szCs w:val="24"/>
                <w:highlight w:val="none"/>
                <w:lang w:val="en-US" w:eastAsia="zh-CN"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kern w:val="2"/>
                <w:sz w:val="24"/>
                <w:szCs w:val="24"/>
                <w:highlight w:val="none"/>
                <w:lang w:val="en-US" w:eastAsia="zh-CN" w:bidi="ar"/>
              </w:rPr>
              <w:t>1</w:t>
            </w:r>
          </w:p>
        </w:tc>
        <w:tc>
          <w:tcPr>
            <w:tcW w:w="1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保障消毒供应追溯管理信息系统正常使用</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使用条码扫描技术，实现对各类无菌包及医院消毒供应中心要求的其他非追溯物品在回收、清洗、清洗检测、包装、核包、灭菌、无菌储存、发放、使用等全生命周期闭环流程的全面质量追溯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kern w:val="2"/>
                <w:sz w:val="24"/>
                <w:szCs w:val="24"/>
                <w:highlight w:val="none"/>
                <w:lang w:val="en-US" w:eastAsia="zh-CN" w:bidi="ar"/>
              </w:rPr>
              <w:t>2</w:t>
            </w:r>
          </w:p>
        </w:tc>
        <w:tc>
          <w:tcPr>
            <w:tcW w:w="112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firstLine="0" w:firstLineChars="0"/>
              <w:jc w:val="center"/>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提供维护与技术支持服务</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协助医院解决问题，处理用户在使用过程中的系统日常问题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kern w:val="2"/>
                <w:sz w:val="24"/>
                <w:szCs w:val="24"/>
                <w:highlight w:val="none"/>
                <w:lang w:val="en-US" w:eastAsia="zh-CN" w:bidi="ar"/>
              </w:rPr>
              <w:t>3</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color w:val="auto"/>
                <w:sz w:val="24"/>
                <w:szCs w:val="24"/>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做好系统业务数据的备份（恢复）服务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kern w:val="2"/>
                <w:sz w:val="24"/>
                <w:szCs w:val="24"/>
                <w:highlight w:val="none"/>
                <w:lang w:val="en-US" w:eastAsia="zh-CN" w:bidi="ar"/>
              </w:rPr>
              <w:t>4</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color w:val="auto"/>
                <w:sz w:val="24"/>
                <w:szCs w:val="24"/>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协助检查数据库运行情况，及时处理数据库故障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kern w:val="2"/>
                <w:sz w:val="24"/>
                <w:szCs w:val="24"/>
                <w:highlight w:val="none"/>
                <w:lang w:val="en-US" w:eastAsia="zh-CN" w:bidi="ar"/>
              </w:rPr>
              <w:t>5</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color w:val="auto"/>
                <w:sz w:val="24"/>
                <w:szCs w:val="24"/>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协助定期对数据库进行优化，提高数据库运行效率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kern w:val="2"/>
                <w:sz w:val="24"/>
                <w:szCs w:val="24"/>
                <w:highlight w:val="none"/>
                <w:lang w:val="en-US" w:eastAsia="zh-CN" w:bidi="ar"/>
              </w:rPr>
              <w:t>6</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color w:val="auto"/>
                <w:sz w:val="24"/>
                <w:szCs w:val="24"/>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接受医院信息科数据维护申请，在医院的授权下及时进行数据维护处理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kern w:val="2"/>
                <w:sz w:val="24"/>
                <w:szCs w:val="24"/>
                <w:highlight w:val="none"/>
                <w:lang w:val="en-US" w:eastAsia="zh-CN" w:bidi="ar"/>
              </w:rPr>
              <w:t>7</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color w:val="auto"/>
                <w:sz w:val="24"/>
                <w:szCs w:val="24"/>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kern w:val="2"/>
                <w:sz w:val="24"/>
                <w:szCs w:val="24"/>
                <w:highlight w:val="none"/>
                <w:lang w:val="en-US" w:eastAsia="zh-CN" w:bidi="ar"/>
              </w:rPr>
              <w:t>接受系统使用科室的维护申请，对应用软件进行程序BUG修改调整等完善性修改，处理应用软件存在的问题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K" w:cs="Times New Roman"/>
                <w:color w:val="auto"/>
                <w:kern w:val="2"/>
                <w:sz w:val="24"/>
                <w:szCs w:val="24"/>
                <w:highlight w:val="none"/>
                <w:lang w:val="en-US" w:eastAsia="zh-CN" w:bidi="ar"/>
              </w:rPr>
            </w:pPr>
            <w:r>
              <w:rPr>
                <w:rFonts w:hint="default" w:ascii="Times New Roman" w:hAnsi="Times New Roman" w:eastAsia="方正仿宋_GBK" w:cs="Times New Roman"/>
                <w:color w:val="auto"/>
                <w:kern w:val="2"/>
                <w:sz w:val="24"/>
                <w:szCs w:val="24"/>
                <w:highlight w:val="none"/>
                <w:lang w:val="en-US" w:eastAsia="zh-CN" w:bidi="ar"/>
              </w:rPr>
              <w:t>8</w:t>
            </w:r>
          </w:p>
        </w:tc>
        <w:tc>
          <w:tcPr>
            <w:tcW w:w="1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接口开发</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color w:val="auto"/>
                <w:kern w:val="2"/>
                <w:sz w:val="24"/>
                <w:szCs w:val="24"/>
                <w:highlight w:val="none"/>
                <w:lang w:val="en-US" w:eastAsia="zh-CN" w:bidi="ar"/>
              </w:rPr>
            </w:pPr>
            <w:r>
              <w:rPr>
                <w:rFonts w:hint="eastAsia" w:ascii="方正仿宋_GBK" w:hAnsi="方正仿宋_GBK" w:eastAsia="方正仿宋_GBK" w:cs="方正仿宋_GBK"/>
                <w:color w:val="auto"/>
                <w:kern w:val="2"/>
                <w:sz w:val="24"/>
                <w:szCs w:val="24"/>
                <w:highlight w:val="none"/>
                <w:lang w:val="en-US" w:eastAsia="zh-CN" w:bidi="ar"/>
              </w:rPr>
              <w:t>对接医院信息管理系统（HIS）</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（1）</w:t>
      </w:r>
      <w:r>
        <w:rPr>
          <w:rFonts w:hint="eastAsia" w:ascii="仿宋" w:hAnsi="仿宋" w:eastAsia="仿宋" w:cs="仿宋"/>
          <w:color w:val="auto"/>
          <w:sz w:val="24"/>
          <w:highlight w:val="none"/>
        </w:rPr>
        <w:t>在线服务：为采购人提供及时、方便的维护服务，供应商通过Web浏览器、即时通工具(如QQ，微信)等在线工具为用户提供的提交问题、查询问题、解答问题的在线式服务方式；在线服务能够为采购人提供及时、方便的维护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（2）热线服务：供应商维护服务人员通过热线电话为采购人解答技术问题的过程。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（3）远程维护服务：供应商通过远程维护系统对软件系统进行远程调试的过程。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（4）现场服务：供应商派遣技术人员到软件使用现场解决问题，并对软件系统进行系统保障的过程。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供应商应</w:t>
      </w:r>
      <w:r>
        <w:rPr>
          <w:rFonts w:hint="eastAsia" w:ascii="仿宋" w:hAnsi="仿宋" w:eastAsia="仿宋" w:cs="仿宋"/>
          <w:color w:val="auto"/>
          <w:sz w:val="24"/>
          <w:highlight w:val="none"/>
        </w:rPr>
        <w:t>选派具有二年以上相关开发经验的技术人员负责维护工作。在维护期间，将为</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设立技术档案，用于记录系统维护记录。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（6）提供运维开发团队后端支持，对于巡检人员在维护过程遇到不能解决的问题，巡检人员将通过电话、网络等各种实时通信方式，及时与运维开发团队进行沟通解决。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（7）为保证软件修改后的稳定性，在软件做了较大变更后，必须经模拟测试环境通过后，才能发布给</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rPr>
        <w:t>（8）建立沟通服务群（如微信或qq群），每天在沟通服务群进行解答或解决系统存在问题和需求。主动回访，定期对采购人使用系统情况进行总结，通过对采购人的满意度调查，可以获取采购人对软件系统和维护服务的需求和评价，了解软件和服务在哪些方面亟待改进，从而采取针对性的改进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1.报价要求：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（1）报价方式以总价报价的方式进行报价，为整体项目包干价。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（2）报价中必须包括服务过程产生的但不限于人工、工具使用、各项税费及合同实施过程中的应预见和不可预见费用等完成合同规定责任和义务、达到合同目的的一切费用及企业利润。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（3）供应商必须自行考虑本项目在实施期间的一切可能产生的费用。在本项目合同执行过程中，采购人将不再另行支付与本项目相关的任何费用（非本项目要求的其他内容除外）。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（1）服务期限：自合同签订后一年。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（2）服务地点：惠州市第一妇幼保健院采购人指定地点。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（1）合同签订后5个工作日内，支付本合同中费用总额的30%；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（2）接口开发完成验收后20个工作日内，支付接口开发服务费用总额的70%；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期金额为维护服务费用总额的70%。维护服务期结束，按考核结果，20个工作日内支付当期金额。具体如下：90分及以上，不扣除服务费用；低于90分但高于等于60分，扣除当期服务费用20％；低于60分，扣除当期服务费用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（4）支付方式采用银行转账方式。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（5）供应商必须向采购人出具合法有效完整的完税发票及凭证进行支付结算。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（1）验收标准：主要依据包括本项目的比选文件、响应文件、合同等。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（3）在采购人的监督下，服务过程中的各项工作和文档，须达到比选文件中服务要求的标准。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5.考核方式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每半年进行一次项目评估，评估不合格可要求更换技术人员或终止合作。</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43"/>
        <w:gridCol w:w="1032"/>
        <w:gridCol w:w="3379"/>
        <w:gridCol w:w="935"/>
        <w:gridCol w:w="57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0" w:type="auto"/>
            <w:noWrap w:val="0"/>
            <w:vAlign w:val="center"/>
          </w:tcPr>
          <w:p>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序号</w:t>
            </w:r>
          </w:p>
        </w:tc>
        <w:tc>
          <w:tcPr>
            <w:tcW w:w="0" w:type="auto"/>
            <w:noWrap w:val="0"/>
            <w:vAlign w:val="center"/>
          </w:tcPr>
          <w:p>
            <w:pPr>
              <w:spacing w:line="240" w:lineRule="auto"/>
              <w:ind w:left="0" w:leftChars="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评价项</w:t>
            </w:r>
          </w:p>
        </w:tc>
        <w:tc>
          <w:tcPr>
            <w:tcW w:w="0" w:type="auto"/>
            <w:noWrap w:val="0"/>
            <w:vAlign w:val="center"/>
          </w:tcPr>
          <w:p>
            <w:pPr>
              <w:spacing w:line="240" w:lineRule="auto"/>
              <w:ind w:left="0" w:leftChars="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明细项</w:t>
            </w:r>
          </w:p>
        </w:tc>
        <w:tc>
          <w:tcPr>
            <w:tcW w:w="0" w:type="auto"/>
            <w:noWrap w:val="0"/>
            <w:vAlign w:val="center"/>
          </w:tcPr>
          <w:p>
            <w:pPr>
              <w:spacing w:line="240" w:lineRule="auto"/>
              <w:ind w:left="0" w:leftChars="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评分内容</w:t>
            </w:r>
          </w:p>
        </w:tc>
        <w:tc>
          <w:tcPr>
            <w:tcW w:w="0" w:type="auto"/>
            <w:noWrap w:val="0"/>
            <w:vAlign w:val="center"/>
          </w:tcPr>
          <w:p>
            <w:pPr>
              <w:spacing w:line="240" w:lineRule="auto"/>
              <w:ind w:left="0" w:leftChars="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评分权重（上限）</w:t>
            </w:r>
          </w:p>
        </w:tc>
        <w:tc>
          <w:tcPr>
            <w:tcW w:w="0" w:type="auto"/>
            <w:noWrap w:val="0"/>
            <w:vAlign w:val="center"/>
          </w:tcPr>
          <w:p>
            <w:pPr>
              <w:spacing w:line="240" w:lineRule="auto"/>
              <w:ind w:left="0" w:leftChars="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最终评分</w:t>
            </w:r>
          </w:p>
        </w:tc>
        <w:tc>
          <w:tcPr>
            <w:tcW w:w="0" w:type="auto"/>
            <w:noWrap w:val="0"/>
            <w:vAlign w:val="center"/>
          </w:tcPr>
          <w:p>
            <w:pPr>
              <w:spacing w:line="240" w:lineRule="auto"/>
              <w:ind w:left="0" w:leftChars="0" w:firstLine="0" w:firstLineChars="0"/>
              <w:jc w:val="center"/>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0" w:type="auto"/>
            <w:vMerge w:val="restart"/>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质量水平评价（50分）</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安全合规</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避免引起系统故障、部分功能失常等情况，不得违反实时政策要求、院内管理规定等。</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0" w:type="auto"/>
            <w:vMerge w:val="continue"/>
            <w:noWrap w:val="0"/>
            <w:vAlign w:val="center"/>
          </w:tcPr>
          <w:p>
            <w:pPr>
              <w:spacing w:line="240" w:lineRule="auto"/>
              <w:jc w:val="center"/>
              <w:rPr>
                <w:rFonts w:hint="default" w:ascii="Times New Roman" w:hAnsi="Times New Roman" w:eastAsia="方正仿宋_GBK" w:cs="Times New Roman"/>
                <w:sz w:val="21"/>
                <w:szCs w:val="21"/>
              </w:rPr>
            </w:pP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与服务要求的一致性</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按合同及</w:t>
            </w:r>
            <w:r>
              <w:rPr>
                <w:rFonts w:hint="default" w:ascii="Times New Roman" w:hAnsi="Times New Roman" w:eastAsia="方正仿宋_GBK" w:cs="Times New Roman"/>
                <w:sz w:val="21"/>
                <w:szCs w:val="21"/>
                <w:lang w:eastAsia="zh-CN"/>
              </w:rPr>
              <w:t>采购</w:t>
            </w:r>
            <w:r>
              <w:rPr>
                <w:rFonts w:hint="eastAsia" w:ascii="Times New Roman" w:hAnsi="Times New Roman" w:eastAsia="方正仿宋_GBK" w:cs="Times New Roman"/>
                <w:sz w:val="21"/>
                <w:szCs w:val="21"/>
                <w:lang w:eastAsia="zh-CN"/>
              </w:rPr>
              <w:t>人</w:t>
            </w:r>
            <w:r>
              <w:rPr>
                <w:rFonts w:hint="default" w:ascii="Times New Roman" w:hAnsi="Times New Roman" w:eastAsia="方正仿宋_GBK" w:cs="Times New Roman"/>
                <w:sz w:val="21"/>
                <w:szCs w:val="21"/>
              </w:rPr>
              <w:t>要求提供服务。</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0" w:type="auto"/>
            <w:vMerge w:val="continue"/>
            <w:noWrap w:val="0"/>
            <w:vAlign w:val="center"/>
          </w:tcPr>
          <w:p>
            <w:pPr>
              <w:spacing w:line="240" w:lineRule="auto"/>
              <w:jc w:val="center"/>
              <w:rPr>
                <w:rFonts w:hint="default" w:ascii="Times New Roman" w:hAnsi="Times New Roman" w:eastAsia="方正仿宋_GBK" w:cs="Times New Roman"/>
                <w:sz w:val="21"/>
                <w:szCs w:val="21"/>
              </w:rPr>
            </w:pP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质量保证</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提供的服务有效，即故障处理后不会反复出现，功能实现后不因</w:t>
            </w:r>
            <w:r>
              <w:rPr>
                <w:rFonts w:hint="default" w:ascii="Times New Roman" w:hAnsi="Times New Roman" w:eastAsia="方正仿宋_GBK" w:cs="Times New Roman"/>
                <w:sz w:val="21"/>
                <w:szCs w:val="21"/>
                <w:lang w:eastAsia="zh-CN"/>
              </w:rPr>
              <w:t>供应商</w:t>
            </w:r>
            <w:r>
              <w:rPr>
                <w:rFonts w:hint="default" w:ascii="Times New Roman" w:hAnsi="Times New Roman" w:eastAsia="方正仿宋_GBK" w:cs="Times New Roman"/>
                <w:sz w:val="21"/>
                <w:szCs w:val="21"/>
              </w:rPr>
              <w:t>原因反复修改等。</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0" w:type="auto"/>
            <w:vMerge w:val="restart"/>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响应能力评价（20分）</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服务及时性/工程进度把控能力</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接到服务要求后及时相应，快速安排工作进行处理。</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0" w:type="auto"/>
            <w:vMerge w:val="continue"/>
            <w:noWrap w:val="0"/>
            <w:vAlign w:val="center"/>
          </w:tcPr>
          <w:p>
            <w:pPr>
              <w:spacing w:line="240" w:lineRule="auto"/>
              <w:jc w:val="center"/>
              <w:rPr>
                <w:rFonts w:hint="default" w:ascii="Times New Roman" w:hAnsi="Times New Roman" w:eastAsia="方正仿宋_GBK" w:cs="Times New Roman"/>
                <w:sz w:val="21"/>
                <w:szCs w:val="21"/>
              </w:rPr>
            </w:pP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故障或应急检修完成的效率</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及时完成故障处理及功能需求更新。</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0" w:type="auto"/>
            <w:vMerge w:val="restart"/>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服务能力评价（15分）</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文档记录详实</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在服务过程中准确记录时间、事件经过、处理方法及对接人员，以便事后进行查验。如资料未能按约定的时间提交，即扣2分。</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w:t>
            </w:r>
          </w:p>
        </w:tc>
        <w:tc>
          <w:tcPr>
            <w:tcW w:w="0" w:type="auto"/>
            <w:vMerge w:val="continue"/>
            <w:noWrap w:val="0"/>
            <w:vAlign w:val="center"/>
          </w:tcPr>
          <w:p>
            <w:pPr>
              <w:spacing w:line="240" w:lineRule="auto"/>
              <w:jc w:val="center"/>
              <w:rPr>
                <w:rFonts w:hint="default" w:ascii="Times New Roman" w:hAnsi="Times New Roman" w:eastAsia="方正仿宋_GBK" w:cs="Times New Roman"/>
                <w:sz w:val="21"/>
                <w:szCs w:val="21"/>
              </w:rPr>
            </w:pP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沟通协调有效</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在服务过程中积极进行沟通与协调，如遇科室投诉即扣2分（不重复扣分）。</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有效投诉是经双方确认。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0" w:type="auto"/>
            <w:vMerge w:val="continue"/>
            <w:noWrap w:val="0"/>
            <w:vAlign w:val="center"/>
          </w:tcPr>
          <w:p>
            <w:pPr>
              <w:spacing w:line="240" w:lineRule="auto"/>
              <w:jc w:val="center"/>
              <w:rPr>
                <w:rFonts w:hint="default" w:ascii="Times New Roman" w:hAnsi="Times New Roman" w:eastAsia="方正仿宋_GBK" w:cs="Times New Roman"/>
                <w:sz w:val="21"/>
                <w:szCs w:val="21"/>
              </w:rPr>
            </w:pP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服务态度良好</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在服务过程中态度友好，如遇科室投诉即扣2分（不重复扣分）。</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有效投诉是经双方确认。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0" w:type="auto"/>
            <w:vMerge w:val="restart"/>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履约合作评价（15分）</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合同签订的即时性</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及时跟进合同签订，提供发票及支付凭证等材料。</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0" w:type="auto"/>
            <w:noWrap/>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w:t>
            </w:r>
          </w:p>
        </w:tc>
        <w:tc>
          <w:tcPr>
            <w:tcW w:w="0" w:type="auto"/>
            <w:vMerge w:val="continue"/>
            <w:noWrap w:val="0"/>
            <w:vAlign w:val="center"/>
          </w:tcPr>
          <w:p>
            <w:pPr>
              <w:spacing w:line="240" w:lineRule="auto"/>
              <w:jc w:val="center"/>
              <w:rPr>
                <w:rFonts w:hint="default" w:ascii="Times New Roman" w:hAnsi="Times New Roman" w:eastAsia="方正仿宋_GBK" w:cs="Times New Roman"/>
                <w:sz w:val="21"/>
                <w:szCs w:val="21"/>
              </w:rPr>
            </w:pP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合同履约的全面性</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合同内的各项工作要求均有效实现。</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 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gridSpan w:val="4"/>
            <w:noWrap w:val="0"/>
            <w:vAlign w:val="center"/>
          </w:tcPr>
          <w:p>
            <w:pPr>
              <w:spacing w:line="240"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合计</w:t>
            </w:r>
          </w:p>
        </w:tc>
        <w:tc>
          <w:tcPr>
            <w:tcW w:w="0" w:type="auto"/>
            <w:noWrap w:val="0"/>
            <w:vAlign w:val="center"/>
          </w:tcPr>
          <w:p>
            <w:pPr>
              <w:spacing w:line="240" w:lineRule="auto"/>
              <w:ind w:left="0" w:lef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100分</w:t>
            </w:r>
          </w:p>
        </w:tc>
        <w:tc>
          <w:tcPr>
            <w:tcW w:w="0" w:type="auto"/>
            <w:noWrap w:val="0"/>
            <w:vAlign w:val="center"/>
          </w:tcPr>
          <w:p>
            <w:pPr>
              <w:spacing w:line="240" w:lineRule="auto"/>
              <w:jc w:val="center"/>
              <w:rPr>
                <w:rFonts w:hint="eastAsia" w:ascii="方正仿宋_GBK" w:hAnsi="方正仿宋_GBK" w:eastAsia="方正仿宋_GBK" w:cs="方正仿宋_GBK"/>
                <w:sz w:val="21"/>
                <w:szCs w:val="21"/>
              </w:rPr>
            </w:pPr>
          </w:p>
        </w:tc>
        <w:tc>
          <w:tcPr>
            <w:tcW w:w="0" w:type="auto"/>
            <w:noWrap/>
            <w:vAlign w:val="center"/>
          </w:tcPr>
          <w:p>
            <w:pPr>
              <w:spacing w:line="240" w:lineRule="auto"/>
              <w:jc w:val="center"/>
              <w:rPr>
                <w:rFonts w:hint="eastAsia" w:ascii="方正仿宋_GBK" w:hAnsi="方正仿宋_GBK" w:eastAsia="方正仿宋_GBK" w:cs="方正仿宋_GBK"/>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90分及以上，不扣除服务费用；低于90分但高于等于60分，扣除当期服务费用20％；低于60分，扣除当期服务费用50%。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6.保密条款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必须严格保守对因本项目下的服务从采购人所获取的信息秘密，在未取得采购人书面同意的情况下，不得以任何形式向第三方披露。在依法必须披露的情况下，供应商应当立即通知采购人，除非按照法律规定或生效命令不得为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（2）保密义务不因合同履行完毕或解除而终止，除非保密信息已经对外披露或者公众所知。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7.其它要求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①供应商应当保证提供给采购人的本项目技术服务是供应商本项目软件产品最成熟、稳定的维护服务；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②供应商完成技术服务工作的形式：保障本项技术软件系统正常运行与使用；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③培训要求：供应商应提供详细的</w:t>
      </w:r>
      <w:r>
        <w:rPr>
          <w:rFonts w:hint="eastAsia" w:ascii="仿宋" w:hAnsi="仿宋" w:eastAsia="仿宋" w:cs="仿宋"/>
          <w:color w:val="auto"/>
          <w:kern w:val="0"/>
          <w:sz w:val="24"/>
          <w:szCs w:val="24"/>
          <w:highlight w:val="none"/>
          <w:u w:val="none"/>
          <w:lang w:val="en-US" w:eastAsia="zh-CN" w:bidi="ar-SA"/>
        </w:rPr>
        <w:t>培训计划、培训方式、培训内容</w:t>
      </w:r>
      <w:r>
        <w:rPr>
          <w:rFonts w:hint="eastAsia" w:ascii="仿宋" w:hAnsi="仿宋" w:eastAsia="仿宋" w:cs="仿宋"/>
          <w:color w:val="auto"/>
          <w:sz w:val="24"/>
          <w:highlight w:val="none"/>
          <w:lang w:val="en-US" w:eastAsia="zh-CN"/>
        </w:rPr>
        <w:t>。因培训发生的所有费用应包含在报价总报价内。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④要求供应商提供保障措施方案，包括但不限于</w:t>
      </w:r>
      <w:r>
        <w:rPr>
          <w:rFonts w:hint="eastAsia" w:ascii="仿宋" w:hAnsi="仿宋" w:eastAsia="仿宋" w:cs="仿宋"/>
          <w:color w:val="auto"/>
          <w:sz w:val="24"/>
          <w:highlight w:val="none"/>
          <w:lang w:val="en-GB" w:eastAsia="zh-CN"/>
        </w:rPr>
        <w:t>总体质量控制、项目进度控制、服务过程中质量管理、服务过程中质量管理制度、安全保证措施等</w:t>
      </w:r>
      <w:r>
        <w:rPr>
          <w:rFonts w:hint="eastAsia" w:ascii="仿宋" w:hAnsi="仿宋" w:eastAsia="仿宋" w:cs="仿宋"/>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⑤要求供应商对本项目有一定的熟悉程度，包括但不限于对本项目维护系统的熟悉程度、技术要点的了解和工作思路等</w:t>
      </w:r>
      <w:r>
        <w:rPr>
          <w:rFonts w:hint="eastAsia" w:ascii="仿宋" w:hAnsi="仿宋" w:eastAsia="仿宋" w:cs="仿宋"/>
          <w:color w:val="auto"/>
          <w:sz w:val="24"/>
          <w:highlight w:val="none"/>
          <w:lang w:val="en-GB"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⑥</w:t>
      </w:r>
      <w:r>
        <w:rPr>
          <w:rFonts w:hint="eastAsia" w:ascii="仿宋" w:hAnsi="仿宋" w:eastAsia="仿宋" w:cs="仿宋"/>
          <w:color w:val="auto"/>
          <w:sz w:val="24"/>
          <w:szCs w:val="24"/>
          <w:highlight w:val="none"/>
          <w:lang w:val="en-US" w:eastAsia="zh-CN"/>
        </w:rPr>
        <w:t>要求供应商提供项目组织计划，包括但不限于技术人员安排、流程规定等因素。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⑦要求供应商提供售后服务方案，包含但不限于响应时间、服务能力、故障修复等。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⑧要求供应商提供2022年1月1日至今的同类项目业绩数量情况。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pPr>
        <w:pStyle w:val="9"/>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名词解释</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采购人及</w:t>
      </w:r>
      <w:r>
        <w:rPr>
          <w:rFonts w:hint="eastAsia" w:ascii="仿宋" w:hAnsi="仿宋" w:eastAsia="仿宋" w:cs="仿宋"/>
          <w:b w:val="0"/>
          <w:bCs/>
          <w:color w:val="auto"/>
          <w:sz w:val="24"/>
          <w:szCs w:val="24"/>
          <w:highlight w:val="none"/>
          <w:lang w:eastAsia="zh-CN"/>
        </w:rPr>
        <w:t>响应供应商</w:t>
      </w:r>
      <w:r>
        <w:rPr>
          <w:rFonts w:hint="eastAsia" w:ascii="仿宋" w:hAnsi="仿宋" w:eastAsia="仿宋" w:cs="仿宋"/>
          <w:b w:val="0"/>
          <w:bCs/>
          <w:color w:val="auto"/>
          <w:sz w:val="24"/>
          <w:szCs w:val="24"/>
          <w:highlight w:val="none"/>
        </w:rPr>
        <w:t>进行的本次采购活动参考《中华人民共和国政府采购法》及医院的采购制度。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响应供应商</w:t>
      </w:r>
      <w:r>
        <w:rPr>
          <w:rFonts w:hint="eastAsia" w:ascii="仿宋" w:hAnsi="仿宋" w:eastAsia="仿宋" w:cs="仿宋"/>
          <w:b w:val="0"/>
          <w:bCs/>
          <w:color w:val="auto"/>
          <w:sz w:val="24"/>
          <w:szCs w:val="24"/>
          <w:highlight w:val="none"/>
        </w:rPr>
        <w:t>应仔细阅读本项目</w:t>
      </w:r>
      <w:r>
        <w:rPr>
          <w:rFonts w:hint="eastAsia" w:ascii="仿宋" w:hAnsi="仿宋" w:eastAsia="仿宋" w:cs="仿宋"/>
          <w:b w:val="0"/>
          <w:bCs/>
          <w:color w:val="auto"/>
          <w:sz w:val="24"/>
          <w:szCs w:val="24"/>
          <w:highlight w:val="none"/>
          <w:lang w:val="en-US" w:eastAsia="zh-CN"/>
        </w:rPr>
        <w:t>比选</w:t>
      </w:r>
      <w:r>
        <w:rPr>
          <w:rFonts w:hint="eastAsia" w:ascii="仿宋" w:hAnsi="仿宋" w:eastAsia="仿宋" w:cs="仿宋"/>
          <w:b w:val="0"/>
          <w:bCs/>
          <w:color w:val="auto"/>
          <w:sz w:val="24"/>
          <w:szCs w:val="24"/>
          <w:highlight w:val="none"/>
        </w:rPr>
        <w:t>公告及</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的所有内容（包括变更、补充、澄清以及修改等，且均为</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的组成部分），按照</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要求以及格式编制</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文件，并保证其真实性，否则一切后果自负。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rPr>
        <w:t>本次</w:t>
      </w:r>
      <w:r>
        <w:rPr>
          <w:rFonts w:hint="eastAsia" w:ascii="仿宋" w:hAnsi="仿宋" w:eastAsia="仿宋" w:cs="仿宋"/>
          <w:b w:val="0"/>
          <w:bCs/>
          <w:color w:val="auto"/>
          <w:sz w:val="24"/>
          <w:szCs w:val="24"/>
          <w:highlight w:val="none"/>
          <w:lang w:eastAsia="zh-CN"/>
        </w:rPr>
        <w:t>院</w:t>
      </w:r>
      <w:r>
        <w:rPr>
          <w:rFonts w:hint="eastAsia" w:ascii="仿宋" w:hAnsi="仿宋" w:eastAsia="仿宋" w:cs="仿宋"/>
          <w:bCs/>
          <w:color w:val="auto"/>
          <w:sz w:val="24"/>
          <w:szCs w:val="24"/>
          <w:highlight w:val="none"/>
          <w:lang w:eastAsia="zh-CN"/>
        </w:rPr>
        <w:t>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w:t>
      </w:r>
      <w:r>
        <w:rPr>
          <w:rFonts w:hint="eastAsia" w:ascii="仿宋" w:hAnsi="仿宋" w:eastAsia="仿宋" w:cs="仿宋"/>
          <w:bCs/>
          <w:color w:val="auto"/>
          <w:sz w:val="24"/>
          <w:szCs w:val="24"/>
          <w:highlight w:val="none"/>
        </w:rPr>
        <w:t>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含新疆生产建设兵团</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出具的属于监狱企业的证明文件，不再提供《中小企业声明函》。</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监狱企业视同小型、微型企业，享受评审中价格扣除。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根据财库〔2017〕141号《财政部 民政部 中国残疾人联合会关于促进残疾人就业政府采购政策的通知》，在政府采购活动中，残疾人福利性单位视同小型、微型企业，享</w:t>
      </w:r>
      <w:r>
        <w:rPr>
          <w:rFonts w:hint="eastAsia" w:ascii="仿宋" w:hAnsi="仿宋" w:eastAsia="仿宋" w:cs="仿宋"/>
          <w:b w:val="0"/>
          <w:bCs/>
          <w:color w:val="auto"/>
          <w:sz w:val="24"/>
          <w:szCs w:val="24"/>
          <w:highlight w:val="none"/>
        </w:rPr>
        <w:t>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 w:val="0"/>
          <w:bCs/>
          <w:color w:val="auto"/>
          <w:sz w:val="24"/>
          <w:szCs w:val="24"/>
          <w:highlight w:val="none"/>
        </w:rPr>
        <w:t>残</w:t>
      </w:r>
      <w:r>
        <w:rPr>
          <w:rFonts w:hint="eastAsia" w:ascii="仿宋" w:hAnsi="仿宋" w:eastAsia="仿宋" w:cs="仿宋"/>
          <w:bCs/>
          <w:color w:val="auto"/>
          <w:sz w:val="24"/>
          <w:szCs w:val="24"/>
          <w:highlight w:val="none"/>
          <w:lang w:eastAsia="zh-CN"/>
        </w:rPr>
        <w:t>疾人福利性单位视同小型、微型企业，享受评审中价格扣除。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）同时为小型、微型企业、监狱企业、残疾人福利性单位任两种或以上情况的，评审</w:t>
      </w:r>
      <w:r>
        <w:rPr>
          <w:rFonts w:hint="eastAsia" w:ascii="仿宋" w:hAnsi="仿宋" w:eastAsia="仿宋" w:cs="仿宋"/>
          <w:b w:val="0"/>
          <w:bCs/>
          <w:color w:val="auto"/>
          <w:sz w:val="24"/>
          <w:szCs w:val="24"/>
          <w:highlight w:val="none"/>
        </w:rPr>
        <w:t>中只享受一次价格扣除，不重复进行价格扣除。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8.以下情形，采购人有权拒收响应文件：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（1）响应文件未经响应单位盖章和法人或单位负责人签字；</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（2）响应联合体没有提交共同响应协议；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（3）同一响应供应商提交两个以上不同的响应文件或者响应报价，比选文件要求提交备选响应的除外；</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（4）响应报价低于成本或者高于比选最高响应限价的；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strike w:val="0"/>
          <w:color w:val="auto"/>
          <w:sz w:val="24"/>
          <w:szCs w:val="24"/>
          <w:highlight w:val="none"/>
        </w:rPr>
        <w:t>（5）响应文件没有对</w:t>
      </w:r>
      <w:r>
        <w:rPr>
          <w:rFonts w:hint="eastAsia" w:ascii="仿宋" w:hAnsi="仿宋" w:eastAsia="仿宋" w:cs="仿宋"/>
          <w:bCs/>
          <w:color w:val="auto"/>
          <w:sz w:val="24"/>
          <w:szCs w:val="24"/>
          <w:highlight w:val="none"/>
        </w:rPr>
        <w:t>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按评审综合得分由高到低确定成交供应商。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宣读评审纪律</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推荐评审小组组长</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响应文件的资格性、符合性审查</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4"/>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或④出具承诺函，格式自拟；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比选截止时间近12个月内任意一个月的依法缴纳税收证明材料（如依法免税，则须提供相应文件证明其依法免税），或出具承诺函，格式自拟；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要缴纳），或出具承诺函，格式自拟</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P51</w:t>
            </w:r>
            <w:r>
              <w:rPr>
                <w:rFonts w:hint="eastAsia" w:ascii="仿宋" w:hAnsi="仿宋" w:eastAsia="仿宋" w:cs="仿宋"/>
                <w:color w:val="auto"/>
                <w:szCs w:val="21"/>
                <w:highlight w:val="none"/>
              </w:rPr>
              <w:t>中小企业声明函，未按要求提供声明函的将导致响应无效）。本项目中小企业划分标准</w:t>
            </w:r>
            <w:r>
              <w:rPr>
                <w:rFonts w:hint="eastAsia" w:ascii="仿宋" w:hAnsi="仿宋" w:eastAsia="仿宋" w:cs="仿宋"/>
                <w:b/>
                <w:bCs/>
                <w:color w:val="auto"/>
                <w:szCs w:val="21"/>
                <w:highlight w:val="none"/>
              </w:rPr>
              <w:t>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①</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②评审小组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③评审小组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4"/>
        <w:tblW w:w="5000" w:type="pct"/>
        <w:jc w:val="center"/>
        <w:tblLayout w:type="autofit"/>
        <w:tblCellMar>
          <w:top w:w="0" w:type="dxa"/>
          <w:left w:w="108" w:type="dxa"/>
          <w:bottom w:w="0" w:type="dxa"/>
          <w:right w:w="108" w:type="dxa"/>
        </w:tblCellMar>
      </w:tblPr>
      <w:tblGrid>
        <w:gridCol w:w="727"/>
        <w:gridCol w:w="1190"/>
        <w:gridCol w:w="1253"/>
        <w:gridCol w:w="5352"/>
      </w:tblGrid>
      <w:tr>
        <w:tblPrEx>
          <w:tblCellMar>
            <w:top w:w="0" w:type="dxa"/>
            <w:left w:w="108" w:type="dxa"/>
            <w:bottom w:w="0" w:type="dxa"/>
            <w:right w:w="108" w:type="dxa"/>
          </w:tblCellMar>
        </w:tblPrEx>
        <w:trPr>
          <w:trHeight w:val="43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对“服务要求及内容”的响应程度</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完全满足“服务要求及内容”中不带▲号的一般技术参数，得16分；有一项不带▲号条款负偏离，得1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分；有二项不带▲号条款负偏离，得1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 有三项不带▲号条款负偏离，得1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分；有四项不带▲号条款负偏离，得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分；有五项不带▲号条款负偏离，得</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分；以此类推，当不带▲号条款负偏离达到</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项（含）以上时，视为严重偏离此评分项不得分。招标文件未要求提供证明材料的技术参数，以投标文件格式技术和服务要求响应表为准。</w:t>
            </w:r>
            <w:bookmarkStart w:id="0" w:name="_GoBack"/>
            <w:bookmarkEnd w:id="0"/>
          </w:p>
        </w:tc>
      </w:tr>
      <w:tr>
        <w:tblPrEx>
          <w:tblCellMar>
            <w:top w:w="0" w:type="dxa"/>
            <w:left w:w="108" w:type="dxa"/>
            <w:bottom w:w="0" w:type="dxa"/>
            <w:right w:w="108" w:type="dxa"/>
          </w:tblCellMar>
        </w:tblPrEx>
        <w:trPr>
          <w:trHeight w:val="90"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对本项目的熟悉程度</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根据供应商对本项目的熟悉程度（包括但不限于对本项目维护系统的</w:t>
            </w:r>
            <w:r>
              <w:rPr>
                <w:rFonts w:hint="eastAsia" w:ascii="仿宋" w:hAnsi="仿宋" w:eastAsia="仿宋" w:cs="仿宋"/>
                <w:color w:val="auto"/>
                <w:sz w:val="24"/>
                <w:highlight w:val="none"/>
                <w:lang w:eastAsia="zh-CN"/>
              </w:rPr>
              <w:t>代码</w:t>
            </w:r>
            <w:r>
              <w:rPr>
                <w:rFonts w:hint="eastAsia" w:ascii="仿宋" w:hAnsi="仿宋" w:eastAsia="仿宋" w:cs="仿宋"/>
                <w:color w:val="auto"/>
                <w:sz w:val="24"/>
                <w:szCs w:val="24"/>
                <w:highlight w:val="none"/>
                <w:lang w:val="en-US" w:eastAsia="zh-CN"/>
              </w:rPr>
              <w:t>熟悉程度、技术要点的了解和</w:t>
            </w:r>
            <w:r>
              <w:rPr>
                <w:rFonts w:hint="eastAsia" w:ascii="仿宋" w:hAnsi="仿宋" w:eastAsia="仿宋" w:cs="仿宋"/>
                <w:color w:val="auto"/>
                <w:sz w:val="24"/>
                <w:highlight w:val="none"/>
                <w:lang w:eastAsia="zh-CN"/>
              </w:rPr>
              <w:t>院内工作流程</w:t>
            </w:r>
            <w:r>
              <w:rPr>
                <w:rFonts w:hint="eastAsia" w:ascii="仿宋" w:hAnsi="仿宋" w:eastAsia="仿宋" w:cs="仿宋"/>
                <w:color w:val="auto"/>
                <w:sz w:val="24"/>
                <w:szCs w:val="24"/>
                <w:highlight w:val="none"/>
                <w:lang w:val="en-US" w:eastAsia="zh-CN"/>
              </w:rPr>
              <w:t>等）进行评分：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1.对本项目维护系统的熟悉程度高、技术要点的了解程度高、工作思路清晰的，得10分；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2.对本项目维护系统的熟悉程度中等、技术要点的了解程度中等、工作思路较清晰的，得7分；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3.对本项目维护系统的熟悉程度一般、技术要点的了解程度一般、工作思路基本清晰的，得4分；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4.无提供不得分。</w:t>
            </w:r>
          </w:p>
        </w:tc>
      </w:tr>
      <w:tr>
        <w:tblPrEx>
          <w:tblCellMar>
            <w:top w:w="0" w:type="dxa"/>
            <w:left w:w="108" w:type="dxa"/>
            <w:bottom w:w="0" w:type="dxa"/>
            <w:right w:w="108" w:type="dxa"/>
          </w:tblCellMar>
        </w:tblPrEx>
        <w:trPr>
          <w:trHeight w:val="90"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项目组织计划</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w:t>
            </w:r>
            <w:r>
              <w:rPr>
                <w:rFonts w:hint="eastAsia" w:ascii="仿宋" w:hAnsi="仿宋" w:eastAsia="仿宋" w:cs="仿宋"/>
                <w:color w:val="auto"/>
                <w:sz w:val="24"/>
                <w:highlight w:val="none"/>
                <w:lang w:eastAsia="zh-CN"/>
              </w:rPr>
              <w:t>项目组织计划</w:t>
            </w:r>
            <w:r>
              <w:rPr>
                <w:rFonts w:hint="eastAsia" w:ascii="仿宋" w:hAnsi="仿宋" w:eastAsia="仿宋" w:cs="仿宋"/>
                <w:color w:val="auto"/>
                <w:sz w:val="24"/>
                <w:szCs w:val="24"/>
                <w:highlight w:val="none"/>
                <w:lang w:val="en-US" w:eastAsia="zh-CN"/>
              </w:rPr>
              <w:t>（包括但不限于技术人员安排、流程规定等因素）进行评分：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1.提供优质的服务，制定的项目组织计划非常合理完整的，得10分；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2.提供良好的服务，制定的</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szCs w:val="24"/>
                <w:highlight w:val="none"/>
                <w:lang w:val="en-US" w:eastAsia="zh-CN"/>
              </w:rPr>
              <w:t>组织计划合理完整的，得7分；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3.提供一般的服务，制定的</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szCs w:val="24"/>
                <w:highlight w:val="none"/>
                <w:lang w:val="en-US" w:eastAsia="zh-CN"/>
              </w:rPr>
              <w:t>组织计划较合理完整的，得4分；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4.无提供不得分</w:t>
            </w:r>
            <w:r>
              <w:rPr>
                <w:rFonts w:hint="eastAsia" w:ascii="仿宋" w:hAnsi="仿宋" w:eastAsia="仿宋" w:cs="仿宋"/>
                <w:color w:val="auto"/>
                <w:sz w:val="24"/>
                <w:szCs w:val="24"/>
                <w:highlight w:val="none"/>
                <w:lang w:val="en-GB" w:eastAsia="zh-CN"/>
              </w:rPr>
              <w:t>。</w:t>
            </w:r>
          </w:p>
        </w:tc>
      </w:tr>
      <w:tr>
        <w:tblPrEx>
          <w:tblCellMar>
            <w:top w:w="0" w:type="dxa"/>
            <w:left w:w="108" w:type="dxa"/>
            <w:bottom w:w="0" w:type="dxa"/>
            <w:right w:w="108" w:type="dxa"/>
          </w:tblCellMar>
        </w:tblPrEx>
        <w:trPr>
          <w:trHeight w:val="90"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保证措施</w:t>
            </w:r>
            <w:r>
              <w:rPr>
                <w:rFonts w:hint="eastAsia" w:ascii="仿宋" w:hAnsi="仿宋" w:eastAsia="仿宋" w:cs="仿宋"/>
                <w:color w:val="auto"/>
                <w:sz w:val="24"/>
                <w:szCs w:val="24"/>
                <w:highlight w:val="none"/>
                <w:lang w:val="en-US" w:eastAsia="zh-CN"/>
              </w:rPr>
              <w:t>方案</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根据供应商提供的保证措施方案（</w:t>
            </w:r>
            <w:r>
              <w:rPr>
                <w:rFonts w:hint="eastAsia" w:ascii="仿宋" w:hAnsi="仿宋" w:eastAsia="仿宋" w:cs="仿宋"/>
                <w:color w:val="auto"/>
                <w:sz w:val="24"/>
                <w:highlight w:val="none"/>
                <w:lang w:val="en-US" w:eastAsia="zh-CN"/>
              </w:rPr>
              <w:t>包括但不限于</w:t>
            </w:r>
            <w:r>
              <w:rPr>
                <w:rFonts w:hint="eastAsia" w:ascii="仿宋" w:hAnsi="仿宋" w:eastAsia="仿宋" w:cs="仿宋"/>
                <w:color w:val="auto"/>
                <w:sz w:val="24"/>
                <w:highlight w:val="none"/>
                <w:lang w:val="en-GB" w:eastAsia="zh-CN"/>
              </w:rPr>
              <w:t>总体质量控制、项目进度控制、服务过程中质量管理、服务过程中质量管理制度、安全保证措施等</w:t>
            </w:r>
            <w:r>
              <w:rPr>
                <w:rFonts w:hint="eastAsia" w:ascii="仿宋" w:hAnsi="仿宋" w:eastAsia="仿宋" w:cs="仿宋"/>
                <w:color w:val="auto"/>
                <w:sz w:val="24"/>
                <w:szCs w:val="24"/>
                <w:highlight w:val="none"/>
                <w:lang w:val="en-US" w:eastAsia="zh-CN"/>
              </w:rPr>
              <w:t>）进行评分：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1.保证措施详细、具体、可行性强，得10分；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2.保证措施较详细、较具体、具有可行性，得7分；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3.保证措施一般，可行性一般，得4分；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4.无提供不得分。</w:t>
            </w:r>
          </w:p>
        </w:tc>
      </w:tr>
      <w:tr>
        <w:tblPrEx>
          <w:tblCellMar>
            <w:top w:w="0" w:type="dxa"/>
            <w:left w:w="108" w:type="dxa"/>
            <w:bottom w:w="0" w:type="dxa"/>
            <w:right w:w="108" w:type="dxa"/>
          </w:tblCellMar>
        </w:tblPrEx>
        <w:trPr>
          <w:trHeight w:val="377"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Hans"/>
              </w:rPr>
              <w:t>培训方案</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根据供应商针对本项目提供的培训方案（包含但不限于培训计划、培训方式、培训内容）进行评分：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 xml:space="preserve">1.培训方案详细、全面、可行，能够对项目的使用对象提供全面的培训，得10分；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 xml:space="preserve">2.培训方案较详细，基本可行的，基本能满足采购需求的，得7分；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 xml:space="preserve">3.培训方案较粗略，可行性较差，不能完全满足采购需求的，得4分； </w:t>
            </w:r>
          </w:p>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bidi="ar-SA"/>
              </w:rPr>
              <w:t>4.未提供不得分</w:t>
            </w:r>
            <w:r>
              <w:rPr>
                <w:rFonts w:hint="eastAsia" w:ascii="仿宋" w:hAnsi="仿宋" w:eastAsia="仿宋" w:cs="仿宋"/>
                <w:color w:val="auto"/>
                <w:sz w:val="24"/>
                <w:szCs w:val="24"/>
                <w:highlight w:val="none"/>
                <w:lang w:val="en-GB" w:eastAsia="zh-CN"/>
              </w:rPr>
              <w:t>。</w:t>
            </w:r>
          </w:p>
        </w:tc>
      </w:tr>
      <w:tr>
        <w:tblPrEx>
          <w:tblCellMar>
            <w:top w:w="0" w:type="dxa"/>
            <w:left w:w="108" w:type="dxa"/>
            <w:bottom w:w="0" w:type="dxa"/>
            <w:right w:w="108" w:type="dxa"/>
          </w:tblCellMar>
        </w:tblPrEx>
        <w:trPr>
          <w:trHeight w:val="692"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售后服务方案</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根据</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eastAsia="zh-CN"/>
              </w:rPr>
              <w:t xml:space="preserve">提供的维保服务方案（包含但不限于响应时间、服务能力、故障修复等）进行综合评审：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 xml:space="preserve">1.内容全面完善，服务流程清晰，可行性高，完全满足且优于采购需求的，得8分；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 xml:space="preserve">2.内容基本完善，服务流程基本较清晰，可行性较高，基本满足采购需求的，得5分；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3.内容片面简略，可行性较低，不能完全满足采购需求的，得2分；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GB" w:eastAsia="zh-CN"/>
              </w:rPr>
              <w:t>4.未提供或其它不符合评审要求的，得0分</w:t>
            </w:r>
            <w:r>
              <w:rPr>
                <w:rFonts w:hint="eastAsia" w:ascii="仿宋" w:hAnsi="仿宋" w:eastAsia="仿宋" w:cs="仿宋"/>
                <w:color w:val="auto"/>
                <w:sz w:val="24"/>
                <w:szCs w:val="24"/>
                <w:highlight w:val="none"/>
                <w:lang w:val="en-GB" w:eastAsia="zh-Hans"/>
              </w:rPr>
              <w:t>。</w:t>
            </w:r>
          </w:p>
        </w:tc>
      </w:tr>
      <w:tr>
        <w:tblPrEx>
          <w:tblCellMar>
            <w:top w:w="0" w:type="dxa"/>
            <w:left w:w="108" w:type="dxa"/>
            <w:bottom w:w="0" w:type="dxa"/>
            <w:right w:w="108" w:type="dxa"/>
          </w:tblCellMar>
        </w:tblPrEx>
        <w:trPr>
          <w:trHeight w:val="90"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同类业绩</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根据供应商提供2022年1月1日至今承担过的同类业绩情况进行评分，每提供一个，得2分，本项最高6分。不提供或未按要求提供均不得分。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注1：同类业绩证明文件：指中标/成交通知书或合同关键页的复印件或扫描件.</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注2：合同关键页要素包括以下清晰可辩的页面：①合同项目名称及服务内容；②签订合同双方的单位名称；③合同双方的签章、单位公章及能够判断业绩时间的日期）。</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3：业绩时间认定：中标/成交通知书以落款时间为准；合同以其中载明的签订日期或生效时间为准。如合同双方载明日期不一致，以较晚的日期为准，如仅一方载明日期，则以该日期为准。无法判断时间的证明文件无效。</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highlight w:val="none"/>
              </w:rPr>
              <w:t>注4：同一项目不同年份的合同按一份业绩计算，不重复计算业绩分数。同一业主在同一招标/采购项目中续签的合同，不重复计分。</w:t>
            </w:r>
          </w:p>
        </w:tc>
      </w:tr>
      <w:tr>
        <w:tblPrEx>
          <w:tblCellMar>
            <w:top w:w="0" w:type="dxa"/>
            <w:left w:w="108" w:type="dxa"/>
            <w:bottom w:w="0" w:type="dxa"/>
            <w:right w:w="108" w:type="dxa"/>
          </w:tblCellMar>
        </w:tblPrEx>
        <w:trPr>
          <w:trHeight w:val="676" w:hRule="atLeast"/>
          <w:jc w:val="center"/>
        </w:trPr>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报价得分</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3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 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（七）供应商捏造事实、提供虚假材料或者以非法手段取得证明材料进行质疑或投诉的，予以驳回，并列入黑名单。</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jc w:val="right"/>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4"/>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9"/>
              <w:spacing w:line="800" w:lineRule="exact"/>
              <w:jc w:val="left"/>
              <w:rPr>
                <w:rFonts w:hAnsi="宋体"/>
                <w:b/>
                <w:color w:val="auto"/>
                <w:sz w:val="30"/>
                <w:szCs w:val="30"/>
                <w:highlight w:val="none"/>
              </w:rPr>
            </w:pP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采购编号：</w:t>
            </w: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项目名称：</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乙方：</w:t>
            </w:r>
          </w:p>
          <w:p>
            <w:pPr>
              <w:tabs>
                <w:tab w:val="left" w:pos="720"/>
              </w:tabs>
              <w:spacing w:line="360" w:lineRule="auto"/>
              <w:rPr>
                <w:rFonts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）的</w:t>
      </w:r>
      <w:r>
        <w:rPr>
          <w:rFonts w:hint="eastAsia" w:ascii="宋体" w:hAnsi="宋体"/>
          <w:color w:val="auto"/>
          <w:sz w:val="24"/>
          <w:highlight w:val="none"/>
          <w:lang w:eastAsia="zh-CN"/>
        </w:rPr>
        <w:t>成交</w:t>
      </w:r>
      <w:r>
        <w:rPr>
          <w:rFonts w:hint="eastAsia" w:ascii="宋体" w:hAnsi="宋体"/>
          <w:color w:val="auto"/>
          <w:sz w:val="24"/>
          <w:highlight w:val="none"/>
        </w:rPr>
        <w:t>结果，按照《中华人民共和国政府采购法》《中华人民共和国民法典》的规定，经双方协商，本着平等互利和诚实信用的原则，一致同意签订本合同如下。</w:t>
      </w:r>
    </w:p>
    <w:p>
      <w:pPr>
        <w:numPr>
          <w:ilvl w:val="0"/>
          <w:numId w:val="0"/>
        </w:num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b w:val="0"/>
          <w:bCs w:val="0"/>
          <w:color w:val="auto"/>
          <w:sz w:val="24"/>
          <w:highlight w:val="none"/>
          <w:lang w:val="en-US" w:eastAsia="zh-CN"/>
        </w:rPr>
        <w:t>一、服务内容</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598"/>
        <w:gridCol w:w="13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40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698"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项目名称</w:t>
            </w:r>
          </w:p>
        </w:tc>
        <w:tc>
          <w:tcPr>
            <w:tcW w:w="812"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数量（项）</w:t>
            </w:r>
          </w:p>
        </w:tc>
        <w:tc>
          <w:tcPr>
            <w:tcW w:w="1081"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价格</w:t>
            </w:r>
            <w:r>
              <w:rPr>
                <w:rFonts w:hint="eastAsia" w:ascii="宋体" w:hAnsi="宋体" w:eastAsia="宋体" w:cs="宋体"/>
                <w:color w:val="auto"/>
                <w:sz w:val="21"/>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0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698"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消毒供应追溯管理系统接口开发与维保服务</w:t>
            </w:r>
          </w:p>
        </w:tc>
        <w:tc>
          <w:tcPr>
            <w:tcW w:w="81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081"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二、合同金额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1.本项目为整体项目包干价。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合同总额</w:t>
      </w:r>
      <w:r>
        <w:rPr>
          <w:rFonts w:hint="eastAsia" w:ascii="宋体" w:hAnsi="宋体"/>
          <w:color w:val="auto"/>
          <w:sz w:val="24"/>
          <w:highlight w:val="none"/>
          <w:lang w:eastAsia="zh-CN"/>
        </w:rPr>
        <w:t>包括服务过程产生的但不限于人工、工具使用、各项税费及合同实施过程中的应预见和不可预见费用等完成合同规定责任和义务、达到合同目的的一切费用及企业利润。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ascii="宋体" w:hAnsi="宋体"/>
          <w:color w:val="auto"/>
          <w:sz w:val="24"/>
          <w:highlight w:val="none"/>
          <w:lang w:val="en-US" w:eastAsia="zh-CN"/>
        </w:rPr>
        <w:t>3.乙方</w:t>
      </w:r>
      <w:r>
        <w:rPr>
          <w:rFonts w:hint="eastAsia" w:ascii="宋体" w:hAnsi="宋体"/>
          <w:color w:val="auto"/>
          <w:sz w:val="24"/>
          <w:highlight w:val="none"/>
          <w:lang w:eastAsia="zh-CN"/>
        </w:rPr>
        <w:t>必须自行考虑本项目在实施期间的一切可能产生的费用。在本项目合同执行过程中，</w:t>
      </w:r>
      <w:r>
        <w:rPr>
          <w:rFonts w:hint="eastAsia" w:ascii="宋体" w:hAnsi="宋体"/>
          <w:color w:val="auto"/>
          <w:sz w:val="24"/>
          <w:highlight w:val="none"/>
          <w:lang w:val="en-US" w:eastAsia="zh-CN"/>
        </w:rPr>
        <w:t>甲方</w:t>
      </w:r>
      <w:r>
        <w:rPr>
          <w:rFonts w:hint="eastAsia" w:ascii="宋体" w:hAnsi="宋体"/>
          <w:color w:val="auto"/>
          <w:sz w:val="24"/>
          <w:highlight w:val="none"/>
          <w:lang w:eastAsia="zh-CN"/>
        </w:rPr>
        <w:t>将不再另行支付与本项目相关的任何费用（非本项目要求的其他内容除外）。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三、服务要求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1.服务内容</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921"/>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序号</w:t>
            </w:r>
          </w:p>
        </w:tc>
        <w:tc>
          <w:tcPr>
            <w:tcW w:w="1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服务内容</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w:t>
            </w:r>
          </w:p>
        </w:tc>
        <w:tc>
          <w:tcPr>
            <w:tcW w:w="1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保障消毒供应追溯管理信息系统正常使用</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使用条码扫描技术，实现对各类无菌包及医院消毒供应中心要求的其他非追溯物品在回收、清洗、清洗检测、包装、核包、灭菌、无菌储存、发放、使用等全生命周期闭环流程的全面质量追溯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w:t>
            </w:r>
          </w:p>
        </w:tc>
        <w:tc>
          <w:tcPr>
            <w:tcW w:w="112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提供维护与技术支持服务</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协助医院解决问题，处理用户在使用过程中的系统日常问题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做好系统业务数据的备份（恢复）服务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4</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协助检查数据库运行情况，及时处理数据库故障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协助定期对数据库进行优化，提高数据库运行效率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6</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接受医院信息科数据维护申请，在医院的授权下及时进行数据维护处理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7</w:t>
            </w:r>
          </w:p>
        </w:tc>
        <w:tc>
          <w:tcPr>
            <w:tcW w:w="112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接受系统使用科室的维护申请，对应用软件进行程序BUG修改调整等完善性修改，处理应用软件存在的问题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w:t>
            </w:r>
          </w:p>
        </w:tc>
        <w:tc>
          <w:tcPr>
            <w:tcW w:w="1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接口开发</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对接医院信息管理系统（HIS）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在线服务：为甲方提供及时、方便的维护服务，乙方通过Web浏览器、即时通工具(如QQ，微信)等在线工具为用户提供的提交问题、查询问题、解答问题的在线式服务方式；在线服务能够为甲方提供及时、方便的维护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（2）热线服务：乙方维护服务人员通过热线电话为甲方解答技术问题的过程。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（3）远程维护服务：乙方通过远程维护系统对软件系统进行远程调试的过程。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（4）现场服务：乙方派遣技术人员到软件使用现场解决问题，并对软件系统进行系统保障的过程。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（5）乙方应选派具有二年以上相关开发经验的技术人员负责维护工作。在维护期间，将为甲方设立技术档案，用于记录系统维护记录。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（6）提供运维开发团队后端支持，对于巡检人员在维护过程遇到不能解决的问题，巡检人员将通过电话、网络等各种实时通信方式，及时与运维开发团队进行沟通解决。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（7）为保证软件修改后的稳定性，在软件做了较大变更后，必须经模拟测试环境通过后，才能发布给甲方。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cs="宋体"/>
          <w:b w:val="0"/>
          <w:bCs w:val="0"/>
          <w:color w:val="auto"/>
          <w:sz w:val="24"/>
          <w:szCs w:val="24"/>
          <w:highlight w:val="none"/>
          <w:lang w:val="en-US" w:eastAsia="zh-CN"/>
        </w:rPr>
        <w:t>（8）建立沟通服务群（如微信或qq群），每天在沟通服务群进行解答或解决系统存在问题和需求。主动回访，定期对甲方使用系统情况进行总结，通过对甲方的满意度调查，可以获取甲方对软件系统和维护服务的需求和评价，了解软件和服务在哪些方面亟待改进，从而采取针对性的改进措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四、服务期限和服务地点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服务期限：自合同签订后一年。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服务地点：惠州市第一妇幼保健院</w:t>
      </w:r>
      <w:r>
        <w:rPr>
          <w:rFonts w:hint="eastAsia" w:ascii="宋体" w:hAnsi="宋体"/>
          <w:color w:val="auto"/>
          <w:sz w:val="24"/>
          <w:highlight w:val="none"/>
          <w:lang w:val="en-US" w:eastAsia="zh-CN"/>
        </w:rPr>
        <w:t>甲方</w:t>
      </w:r>
      <w:r>
        <w:rPr>
          <w:rFonts w:hint="eastAsia" w:ascii="宋体" w:hAnsi="宋体"/>
          <w:color w:val="auto"/>
          <w:sz w:val="24"/>
          <w:highlight w:val="none"/>
        </w:rPr>
        <w:t>指定地点。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1.合同签订后5个工作日内，支付本合同中费用总额的30%；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2.接口开发完成验收后20个工作日内，支付接口开发服务费用总额的70%</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本期金额为维护服务费用总额的70%。维护服务期结束，按考核结果，20个工作日内支付当期金额。具体如下：90分及以上，不扣除服务费用；低于90分但高于等于60分，扣除当期服务费用20％；低于60分，扣除当期服务费用50%</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4.支付方式采用银行转账方式；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5.乙方必须向甲方出具合法有效完整的完税发票及凭证进行支付结算</w:t>
      </w:r>
      <w:r>
        <w:rPr>
          <w:rFonts w:hint="eastAsia" w:ascii="宋体" w:hAnsi="宋体"/>
          <w:color w:val="auto"/>
          <w:sz w:val="24"/>
          <w:highlight w:val="none"/>
        </w:rPr>
        <w:t>。</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乙方账户信息如下：</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highlight w:val="none"/>
          <w:lang w:eastAsia="zh-CN"/>
        </w:rPr>
      </w:pPr>
      <w:r>
        <w:rPr>
          <w:rFonts w:hint="eastAsia" w:ascii="宋体" w:hAnsi="宋体"/>
          <w:b/>
          <w:bCs/>
          <w:color w:val="auto"/>
          <w:sz w:val="24"/>
          <w:highlight w:val="none"/>
        </w:rPr>
        <w:t>六、</w:t>
      </w:r>
      <w:r>
        <w:rPr>
          <w:rFonts w:hint="eastAsia" w:ascii="宋体" w:hAnsi="宋体"/>
          <w:b/>
          <w:bCs/>
          <w:color w:val="auto"/>
          <w:sz w:val="24"/>
          <w:highlight w:val="none"/>
          <w:lang w:val="en-US" w:eastAsia="zh-CN"/>
        </w:rPr>
        <w:t>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验收标准：主要依据包括本项目的比选文件、响应文件、合同等。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总体验收：</w:t>
      </w:r>
      <w:r>
        <w:rPr>
          <w:rFonts w:hint="eastAsia" w:ascii="宋体" w:hAnsi="宋体"/>
          <w:color w:val="auto"/>
          <w:sz w:val="24"/>
          <w:highlight w:val="none"/>
          <w:lang w:val="en-US" w:eastAsia="zh-CN"/>
        </w:rPr>
        <w:t>乙方</w:t>
      </w:r>
      <w:r>
        <w:rPr>
          <w:rFonts w:hint="eastAsia" w:ascii="宋体" w:hAnsi="宋体"/>
          <w:color w:val="auto"/>
          <w:sz w:val="24"/>
          <w:highlight w:val="none"/>
        </w:rPr>
        <w:t>须为验收提供必需的一切条件及相关费用，服务期届满后，当项目所有工作内容完成以后，由</w:t>
      </w:r>
      <w:r>
        <w:rPr>
          <w:rFonts w:hint="eastAsia" w:ascii="宋体" w:hAnsi="宋体"/>
          <w:color w:val="auto"/>
          <w:sz w:val="24"/>
          <w:highlight w:val="none"/>
          <w:lang w:val="en-US" w:eastAsia="zh-CN"/>
        </w:rPr>
        <w:t>乙方</w:t>
      </w:r>
      <w:r>
        <w:rPr>
          <w:rFonts w:hint="eastAsia" w:ascii="宋体" w:hAnsi="宋体"/>
          <w:color w:val="auto"/>
          <w:sz w:val="24"/>
          <w:highlight w:val="none"/>
        </w:rPr>
        <w:t>提交验收申请，</w:t>
      </w:r>
      <w:r>
        <w:rPr>
          <w:rFonts w:hint="eastAsia" w:ascii="宋体" w:hAnsi="宋体"/>
          <w:color w:val="auto"/>
          <w:sz w:val="24"/>
          <w:highlight w:val="none"/>
          <w:lang w:val="en-US" w:eastAsia="zh-CN"/>
        </w:rPr>
        <w:t>甲方</w:t>
      </w:r>
      <w:r>
        <w:rPr>
          <w:rFonts w:hint="eastAsia" w:ascii="宋体" w:hAnsi="宋体"/>
          <w:color w:val="auto"/>
          <w:sz w:val="24"/>
          <w:highlight w:val="none"/>
        </w:rPr>
        <w:t>组织验收小组，负责对项目进行全面验收。</w:t>
      </w:r>
      <w:r>
        <w:rPr>
          <w:rFonts w:hint="eastAsia" w:ascii="宋体" w:hAnsi="宋体"/>
          <w:color w:val="auto"/>
          <w:sz w:val="24"/>
          <w:highlight w:val="none"/>
          <w:lang w:val="en-US" w:eastAsia="zh-CN"/>
        </w:rPr>
        <w:t>乙方</w:t>
      </w:r>
      <w:r>
        <w:rPr>
          <w:rFonts w:hint="eastAsia" w:ascii="宋体" w:hAnsi="宋体"/>
          <w:color w:val="auto"/>
          <w:sz w:val="24"/>
          <w:highlight w:val="none"/>
        </w:rPr>
        <w:t>必须提供本项目的相关文档和报告，并积极配合</w:t>
      </w:r>
      <w:r>
        <w:rPr>
          <w:rFonts w:hint="eastAsia" w:ascii="宋体" w:hAnsi="宋体"/>
          <w:color w:val="auto"/>
          <w:sz w:val="24"/>
          <w:highlight w:val="none"/>
          <w:lang w:val="en-US" w:eastAsia="zh-CN"/>
        </w:rPr>
        <w:t>甲方</w:t>
      </w:r>
      <w:r>
        <w:rPr>
          <w:rFonts w:hint="eastAsia" w:ascii="宋体" w:hAnsi="宋体"/>
          <w:color w:val="auto"/>
          <w:sz w:val="24"/>
          <w:highlight w:val="none"/>
        </w:rPr>
        <w:t>进行完工验收工作，如果验收发现与详细业务需求不符或达不到规定的要求，</w:t>
      </w:r>
      <w:r>
        <w:rPr>
          <w:rFonts w:hint="eastAsia" w:ascii="宋体" w:hAnsi="宋体"/>
          <w:color w:val="auto"/>
          <w:sz w:val="24"/>
          <w:highlight w:val="none"/>
          <w:lang w:val="en-US" w:eastAsia="zh-CN"/>
        </w:rPr>
        <w:t>甲方</w:t>
      </w:r>
      <w:r>
        <w:rPr>
          <w:rFonts w:hint="eastAsia" w:ascii="宋体" w:hAnsi="宋体"/>
          <w:color w:val="auto"/>
          <w:sz w:val="24"/>
          <w:highlight w:val="none"/>
        </w:rPr>
        <w:t>有权提出索赔。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val="en-US" w:eastAsia="zh-CN"/>
        </w:rPr>
        <w:t>甲方</w:t>
      </w:r>
      <w:r>
        <w:rPr>
          <w:rFonts w:hint="eastAsia" w:ascii="宋体" w:hAnsi="宋体"/>
          <w:color w:val="auto"/>
          <w:sz w:val="24"/>
          <w:highlight w:val="none"/>
        </w:rPr>
        <w:t>的监督下，服务过程中的各项工作和文档，须达到</w:t>
      </w:r>
      <w:r>
        <w:rPr>
          <w:rFonts w:hint="eastAsia" w:ascii="宋体" w:hAnsi="宋体"/>
          <w:color w:val="auto"/>
          <w:sz w:val="24"/>
          <w:highlight w:val="none"/>
          <w:lang w:val="en-US" w:eastAsia="zh-CN"/>
        </w:rPr>
        <w:t>合同</w:t>
      </w:r>
      <w:r>
        <w:rPr>
          <w:rFonts w:hint="eastAsia" w:ascii="宋体" w:hAnsi="宋体"/>
          <w:color w:val="auto"/>
          <w:sz w:val="24"/>
          <w:highlight w:val="none"/>
        </w:rPr>
        <w:t>中</w:t>
      </w:r>
      <w:r>
        <w:rPr>
          <w:rFonts w:hint="eastAsia" w:ascii="宋体" w:hAnsi="宋体"/>
          <w:color w:val="auto"/>
          <w:sz w:val="24"/>
          <w:highlight w:val="none"/>
          <w:lang w:val="en-US" w:eastAsia="zh-CN"/>
        </w:rPr>
        <w:t>服务</w:t>
      </w:r>
      <w:r>
        <w:rPr>
          <w:rFonts w:hint="eastAsia" w:ascii="宋体" w:hAnsi="宋体"/>
          <w:color w:val="auto"/>
          <w:sz w:val="24"/>
          <w:highlight w:val="none"/>
        </w:rPr>
        <w:t>要求的标准。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七、</w:t>
      </w:r>
      <w:r>
        <w:rPr>
          <w:rFonts w:hint="eastAsia" w:ascii="宋体" w:hAnsi="宋体"/>
          <w:b/>
          <w:bCs/>
          <w:color w:val="auto"/>
          <w:sz w:val="24"/>
          <w:highlight w:val="none"/>
          <w:lang w:val="en-US" w:eastAsia="zh-CN"/>
        </w:rPr>
        <w:t>考核方式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每半年进行一次项目评估，评估不合格可要求更换技术人员或终止合作。</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042"/>
        <w:gridCol w:w="1042"/>
        <w:gridCol w:w="3373"/>
        <w:gridCol w:w="934"/>
        <w:gridCol w:w="57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0" w:type="auto"/>
            <w:noWrap w:val="0"/>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0" w:type="auto"/>
            <w:noWrap w:val="0"/>
            <w:vAlign w:val="center"/>
          </w:tcPr>
          <w:p>
            <w:pPr>
              <w:spacing w:line="240" w:lineRule="auto"/>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评价项</w:t>
            </w:r>
          </w:p>
        </w:tc>
        <w:tc>
          <w:tcPr>
            <w:tcW w:w="0" w:type="auto"/>
            <w:noWrap w:val="0"/>
            <w:vAlign w:val="center"/>
          </w:tcPr>
          <w:p>
            <w:pPr>
              <w:spacing w:line="240" w:lineRule="auto"/>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明细项</w:t>
            </w:r>
          </w:p>
        </w:tc>
        <w:tc>
          <w:tcPr>
            <w:tcW w:w="0" w:type="auto"/>
            <w:noWrap w:val="0"/>
            <w:vAlign w:val="center"/>
          </w:tcPr>
          <w:p>
            <w:pPr>
              <w:spacing w:line="240" w:lineRule="auto"/>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0" w:type="auto"/>
            <w:noWrap w:val="0"/>
            <w:vAlign w:val="center"/>
          </w:tcPr>
          <w:p>
            <w:pPr>
              <w:spacing w:line="240" w:lineRule="auto"/>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评分权重（上限）</w:t>
            </w:r>
          </w:p>
        </w:tc>
        <w:tc>
          <w:tcPr>
            <w:tcW w:w="0" w:type="auto"/>
            <w:noWrap w:val="0"/>
            <w:vAlign w:val="center"/>
          </w:tcPr>
          <w:p>
            <w:pPr>
              <w:spacing w:line="240" w:lineRule="auto"/>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最终评分</w:t>
            </w:r>
          </w:p>
        </w:tc>
        <w:tc>
          <w:tcPr>
            <w:tcW w:w="0" w:type="auto"/>
            <w:noWrap w:val="0"/>
            <w:vAlign w:val="center"/>
          </w:tcPr>
          <w:p>
            <w:pPr>
              <w:spacing w:line="240" w:lineRule="auto"/>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0" w:type="auto"/>
            <w:vMerge w:val="restar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质量水平评价（50分）</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安全合规</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避免引起系统故障、部分功能失常等情况，不得违反实时政策要求、院内管理规定等。</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0" w:type="auto"/>
            <w:vMerge w:val="continue"/>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与服务要求的一致性</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按合同及</w:t>
            </w:r>
            <w:r>
              <w:rPr>
                <w:rFonts w:hint="eastAsia" w:ascii="宋体" w:hAnsi="宋体" w:eastAsia="宋体" w:cs="宋体"/>
                <w:sz w:val="21"/>
                <w:szCs w:val="21"/>
                <w:lang w:eastAsia="zh-CN"/>
              </w:rPr>
              <w:t>采购人</w:t>
            </w:r>
            <w:r>
              <w:rPr>
                <w:rFonts w:hint="eastAsia" w:ascii="宋体" w:hAnsi="宋体" w:eastAsia="宋体" w:cs="宋体"/>
                <w:sz w:val="21"/>
                <w:szCs w:val="21"/>
              </w:rPr>
              <w:t>要求提供服务。</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15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0" w:type="auto"/>
            <w:vMerge w:val="continue"/>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质量保证</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提供的服务有效，即故障处理后不会反复出现，功能实现后不因</w:t>
            </w:r>
            <w:r>
              <w:rPr>
                <w:rFonts w:hint="eastAsia" w:ascii="宋体" w:hAnsi="宋体" w:eastAsia="宋体" w:cs="宋体"/>
                <w:sz w:val="21"/>
                <w:szCs w:val="21"/>
                <w:lang w:eastAsia="zh-CN"/>
              </w:rPr>
              <w:t>供应商</w:t>
            </w:r>
            <w:r>
              <w:rPr>
                <w:rFonts w:hint="eastAsia" w:ascii="宋体" w:hAnsi="宋体" w:eastAsia="宋体" w:cs="宋体"/>
                <w:sz w:val="21"/>
                <w:szCs w:val="21"/>
              </w:rPr>
              <w:t>原因反复修改等。</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25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0" w:type="auto"/>
            <w:vMerge w:val="restar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响应能力评价（20分）</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服务及时性/工程进度把控能力</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接到服务要求后及时相应，快速安排工作进行处理。</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0" w:type="auto"/>
            <w:vMerge w:val="continue"/>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故障或应急检修完成的效率</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及时完成故障处理及功能需求更新。</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0" w:type="auto"/>
            <w:vMerge w:val="restar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服务能力评价（15分）</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文档记录详实</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在服务过程中准确记录时间、事件经过、处理方法及对接人员，以便事后进行查验。如资料未能按约定的时间提交，即扣2分。</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0" w:type="auto"/>
            <w:vMerge w:val="continue"/>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沟通协调有效</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在服务过程中积极进行沟通与协调，如遇科室投诉即扣2分（不重复扣分）。</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有效投诉是经双方确认。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0" w:type="auto"/>
            <w:vMerge w:val="continue"/>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服务态度良好</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在服务过程中态度友好，如遇科室投诉即扣2分（不重复扣分）。</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有效投诉是经双方确认。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0" w:type="auto"/>
            <w:vMerge w:val="restart"/>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履约合作评价（15分）</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合同签订的即时性</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及时跟进合同签订，提供发票及支付凭证等材料。</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0" w:type="auto"/>
            <w:noWrap/>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0" w:type="auto"/>
            <w:vMerge w:val="continue"/>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合同履约的全面性</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合同内的各项工作要求均有效实现。</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 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0"/>
            <w:vAlign w:val="center"/>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gridSpan w:val="4"/>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0" w:type="auto"/>
            <w:noWrap w:val="0"/>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100分</w:t>
            </w:r>
          </w:p>
        </w:tc>
        <w:tc>
          <w:tcPr>
            <w:tcW w:w="0" w:type="auto"/>
            <w:noWrap w:val="0"/>
            <w:vAlign w:val="center"/>
          </w:tcPr>
          <w:p>
            <w:pPr>
              <w:spacing w:line="240" w:lineRule="auto"/>
              <w:jc w:val="center"/>
              <w:rPr>
                <w:rFonts w:hint="eastAsia" w:ascii="宋体" w:hAnsi="宋体" w:eastAsia="宋体" w:cs="宋体"/>
                <w:sz w:val="21"/>
                <w:szCs w:val="21"/>
              </w:rPr>
            </w:pPr>
          </w:p>
        </w:tc>
        <w:tc>
          <w:tcPr>
            <w:tcW w:w="0" w:type="auto"/>
            <w:noWrap/>
            <w:vAlign w:val="center"/>
          </w:tcPr>
          <w:p>
            <w:pPr>
              <w:spacing w:line="240" w:lineRule="auto"/>
              <w:jc w:val="center"/>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ascii="宋体" w:hAnsi="宋体"/>
          <w:color w:val="auto"/>
          <w:sz w:val="24"/>
          <w:highlight w:val="none"/>
        </w:rPr>
        <w:t>90分及以上，不扣除服务费用；低于90分但高于等于60分，扣除当期服务费用20％；低于60分，扣除当期服务费用50%。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乙方交付的货物、工程、提供的服务不符合采购文件、报价文件或本合同规定的，甲方有权拒收，乙方应在甲方规定的时间内重新交付，并且乙方须向甲方支付本合同金额5%的违约金。若再次交付的货物、工程、提供的服务不符合采购文件、报价文件或本合同规定的，甲方有权单方解除合同，乙方应退还甲方所支付的所有款项，并支付合同总价款30%的违约金，若违约金不足以弥补甲方全部损失的，应当赔偿甲方的全部损失，包括但是不限于第三方替代履行费用、业务中断所致可得利益损失、为维权产生的合理费用如律师费、诉讼费、保全费、鉴定费、差旅费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乙方未能按本合同规定的交货时间交付货物、工程、提供服务，从逾期之日起每日按本合同金额万分之三的数额向甲方支付违约金；逾期半个月（15日）以上的，甲方有权终止合同，乙方应退还甲方所支付的所有款项，并支付合同总价款30%的违约金，由此造成的甲方全部经济损失由乙方承担，若违约金不足以弥补甲方全部损失的，应当赔偿甲方的全部损失，包括但是不限于第三方替代履行费用、业务中断所致可得利益损失、为维权产生的合理费用如律师费、诉讼费、保全费、鉴定费、差旅费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甲方无正当理由拒收货物、接受服务，到期拒付货物、工程、提供服务款项的，甲方向乙方偿付本合同金额的5%的违约金。甲方逾期付款，则按照违约之日一年期银行贷款市场报价利率（LPR）的标准向乙方偿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未经甲方书面同意，乙方擅自将本合同项下的义务转包或分包给第三方完成的，视为根本违约，甲方有权单方解除合同，乙方应退还甲方所支付的所有款项，并支付合同总价款30%的违约金，由此造成的甲方全部经济损失由乙方承担，若违约金不足以弥补甲方全部损失的，应当赔偿甲方的全部损失，包括但是不限于第三方替代履行费用、业务中断所致可得利益损失、为维权产生的合理费用如律师费、诉讼费、保全费、鉴定费、差旅费等费用</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九、争议的解决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（1）发生不可抗力；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（4）出现了本合同规定的或法定的解除事由。</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因履行本合同引起的或者与本合同有关的争议，甲乙双方应当通过友好协商方式解决；如协商不能解决的，双方均可向甲方所在地惠州市惠城区人民法院提起诉讼。本合同项下纠纷通过诉讼解决的，败诉方应当赔偿胜诉方为维权支出的一切合理费用，包括但不限于律师费、诉讼费、保全费、鉴定费、差旅费等费用</w:t>
      </w:r>
      <w:r>
        <w:rPr>
          <w:rFonts w:ascii="宋体" w:hAnsi="宋体"/>
          <w:color w:val="auto"/>
          <w:sz w:val="24"/>
          <w:highlight w:val="none"/>
        </w:rPr>
        <w:t>。</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2" w:firstLineChars="200"/>
        <w:textAlignment w:val="auto"/>
        <w:rPr>
          <w:color w:val="auto"/>
          <w:highlight w:val="none"/>
        </w:rPr>
      </w:pPr>
      <w:r>
        <w:rPr>
          <w:rFonts w:hint="eastAsia" w:ascii="宋体" w:hAnsi="宋体"/>
          <w:b/>
          <w:bCs/>
          <w:color w:val="auto"/>
          <w:sz w:val="24"/>
          <w:highlight w:val="none"/>
        </w:rPr>
        <w:t>十、保密条款</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olor w:val="auto"/>
          <w:sz w:val="24"/>
          <w:highlight w:val="none"/>
        </w:rPr>
        <w:t xml:space="preserve">3.除不可抗力事件，任何一方不得违反本合同条款。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十二、税费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十三、其它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color w:val="auto"/>
          <w:sz w:val="24"/>
          <w:highlight w:val="none"/>
        </w:rPr>
      </w:pPr>
      <w:r>
        <w:rPr>
          <w:rFonts w:hint="eastAsia" w:ascii="宋体" w:hAnsi="宋体"/>
          <w:color w:val="auto"/>
          <w:sz w:val="24"/>
          <w:highlight w:val="none"/>
        </w:rPr>
        <w:t>1.本合同所有附件、</w:t>
      </w:r>
      <w:r>
        <w:rPr>
          <w:rFonts w:hint="eastAsia" w:ascii="宋体" w:hAnsi="宋体"/>
          <w:color w:val="auto"/>
          <w:sz w:val="24"/>
          <w:highlight w:val="none"/>
          <w:lang w:eastAsia="zh-CN"/>
        </w:rPr>
        <w:t>比选</w:t>
      </w:r>
      <w:r>
        <w:rPr>
          <w:rFonts w:hint="eastAsia" w:ascii="宋体" w:hAnsi="宋体"/>
          <w:color w:val="auto"/>
          <w:sz w:val="24"/>
          <w:highlight w:val="none"/>
        </w:rPr>
        <w:t>文件、</w:t>
      </w:r>
      <w:r>
        <w:rPr>
          <w:rFonts w:hint="eastAsia" w:ascii="宋体" w:hAnsi="宋体"/>
          <w:color w:val="auto"/>
          <w:sz w:val="24"/>
          <w:highlight w:val="none"/>
          <w:lang w:eastAsia="zh-CN"/>
        </w:rPr>
        <w:t>响应</w:t>
      </w:r>
      <w:r>
        <w:rPr>
          <w:rFonts w:hint="eastAsia" w:ascii="宋体" w:hAnsi="宋体"/>
          <w:color w:val="auto"/>
          <w:sz w:val="24"/>
          <w:highlight w:val="none"/>
        </w:rPr>
        <w:t>文件、</w:t>
      </w:r>
      <w:r>
        <w:rPr>
          <w:rFonts w:hint="eastAsia" w:ascii="宋体" w:hAnsi="宋体"/>
          <w:color w:val="auto"/>
          <w:sz w:val="24"/>
          <w:highlight w:val="none"/>
          <w:lang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w:t>
      </w:r>
      <w:r>
        <w:rPr>
          <w:rFonts w:hint="eastAsia" w:ascii="宋体" w:hAnsi="宋体"/>
          <w:color w:val="auto"/>
          <w:sz w:val="24"/>
          <w:highlight w:val="none"/>
          <w:lang w:eastAsia="zh-CN"/>
        </w:rPr>
        <w:t>“消毒供应追溯管理系统接口开发与维保服务”</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十四、廉洁自律及其他条款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eastAsia="宋体" w:cs="Times New Roman"/>
          <w:b/>
          <w:color w:val="auto"/>
          <w:kern w:val="2"/>
          <w:sz w:val="24"/>
          <w:szCs w:val="24"/>
          <w:lang w:val="en-US" w:eastAsia="zh-CN" w:bidi="ar-SA"/>
        </w:rPr>
        <w:t>十五、</w:t>
      </w:r>
      <w:r>
        <w:rPr>
          <w:rFonts w:hint="eastAsia" w:ascii="宋体" w:hAnsi="宋体"/>
          <w:b/>
          <w:color w:val="auto"/>
          <w:sz w:val="24"/>
          <w:highlight w:val="none"/>
        </w:rPr>
        <w:t>双方联系人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（1）对整个项目的进程负责。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（3）定时、及时的向对方汇报，交流项目的进展情况。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十六、合同生效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pStyle w:val="8"/>
        <w:ind w:left="0" w:leftChars="0" w:firstLine="0" w:firstLineChars="0"/>
        <w:jc w:val="center"/>
        <w:rPr>
          <w:rFonts w:ascii="宋体" w:hAnsi="宋体" w:eastAsia="宋体" w:cs="宋体"/>
          <w:color w:val="auto"/>
          <w:sz w:val="24"/>
          <w:szCs w:val="24"/>
          <w:highlight w:val="none"/>
        </w:rPr>
      </w:pPr>
    </w:p>
    <w:p>
      <w:pPr>
        <w:pStyle w:val="8"/>
        <w:ind w:left="0" w:leftChars="0" w:firstLine="0" w:firstLineChars="0"/>
        <w:jc w:val="center"/>
        <w:rPr>
          <w:rFonts w:hint="eastAsia" w:ascii="宋体" w:hAnsi="宋体" w:cs="宋体"/>
          <w:color w:val="auto"/>
          <w:sz w:val="24"/>
          <w:highlight w:val="none"/>
        </w:rPr>
      </w:pPr>
      <w:r>
        <w:rPr>
          <w:rFonts w:ascii="宋体" w:hAnsi="宋体" w:eastAsia="宋体" w:cs="宋体"/>
          <w:color w:val="auto"/>
          <w:sz w:val="24"/>
          <w:szCs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甲方：惠州市第一妇幼保健院            乙方：</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color w:val="auto"/>
          <w:sz w:val="24"/>
          <w:highlight w:val="none"/>
        </w:rPr>
      </w:pPr>
      <w:r>
        <w:rPr>
          <w:rFonts w:hint="eastAsia" w:ascii="宋体" w:hAnsi="宋体"/>
          <w:color w:val="auto"/>
          <w:sz w:val="24"/>
          <w:highlight w:val="none"/>
        </w:rPr>
        <w:t>授权代表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授权代表</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cs="宋体"/>
          <w:color w:val="auto"/>
          <w:sz w:val="24"/>
          <w:highlight w:val="none"/>
        </w:rPr>
      </w:pPr>
      <w:r>
        <w:rPr>
          <w:rFonts w:hint="eastAsia" w:ascii="宋体" w:hAnsi="宋体" w:cs="宋体"/>
          <w:color w:val="auto"/>
          <w:sz w:val="24"/>
          <w:highlight w:val="none"/>
        </w:rPr>
        <w:t>日期：   年    月   日                日期：    年    月    日</w:t>
      </w:r>
    </w:p>
    <w:p>
      <w:pPr>
        <w:rPr>
          <w:rFonts w:hint="eastAsia" w:ascii="仿宋" w:hAnsi="仿宋" w:eastAsia="仿宋" w:cs="仿宋"/>
          <w:b/>
          <w:color w:val="auto"/>
          <w:kern w:val="0"/>
          <w:sz w:val="28"/>
          <w:szCs w:val="28"/>
          <w:highlight w:val="none"/>
        </w:rPr>
      </w:pPr>
      <w:r>
        <w:rPr>
          <w:rFonts w:hint="eastAsia" w:ascii="宋体" w:hAnsi="宋体" w:cs="宋体"/>
          <w:color w:val="auto"/>
          <w:sz w:val="24"/>
          <w:highlight w:val="none"/>
        </w:rPr>
        <w:br w:type="page"/>
      </w:r>
    </w:p>
    <w:p>
      <w:pPr>
        <w:pStyle w:val="9"/>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9"/>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b/>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bCs/>
          <w:color w:val="auto"/>
          <w:sz w:val="24"/>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bCs/>
          <w:color w:val="auto"/>
          <w:sz w:val="24"/>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1446" w:firstLineChars="200"/>
        <w:jc w:val="both"/>
        <w:textAlignment w:val="auto"/>
        <w:rPr>
          <w:rFonts w:hint="eastAsia" w:ascii="仿宋" w:hAnsi="仿宋" w:eastAsia="仿宋" w:cs="仿宋"/>
          <w:b/>
          <w:color w:val="auto"/>
          <w:kern w:val="0"/>
          <w:sz w:val="72"/>
          <w:szCs w:val="72"/>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ind w:left="0" w:firstLine="1446" w:firstLineChars="200"/>
        <w:textAlignment w:val="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9"/>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9"/>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9"/>
        <w:adjustRightInd w:val="0"/>
        <w:snapToGrid w:val="0"/>
        <w:spacing w:line="360" w:lineRule="auto"/>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9"/>
        <w:spacing w:line="360" w:lineRule="auto"/>
        <w:rPr>
          <w:rFonts w:hint="eastAsia" w:ascii="仿宋" w:hAnsi="仿宋" w:eastAsia="仿宋" w:cs="仿宋"/>
          <w:b/>
          <w:color w:val="auto"/>
          <w:sz w:val="28"/>
          <w:szCs w:val="28"/>
          <w:highlight w:val="none"/>
        </w:rPr>
      </w:pPr>
    </w:p>
    <w:p>
      <w:pPr>
        <w:pStyle w:val="9"/>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046"/>
        <w:gridCol w:w="3870"/>
        <w:gridCol w:w="170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gridSpan w:val="2"/>
            <w:noWrap w:val="0"/>
            <w:vAlign w:val="top"/>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评审内容</w:t>
            </w:r>
          </w:p>
        </w:tc>
        <w:tc>
          <w:tcPr>
            <w:tcW w:w="2271"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采购文件要求</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自查结论</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458" w:type="pct"/>
            <w:vMerge w:val="restar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资格性审查</w:t>
            </w: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或④出具承诺函，格式自拟；</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比选截止时间近12个月内任意一个月的依法缴纳税收证明材料（如依法免税，则须提供相应文件证明其依法免税），或出具承诺函，格式自拟；</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比选截止时间近12个月内任意一个月的依法缴纳社会保险凭据（如依法不需要缴纳社保，则须提供相应文件证明其依法不需要缴纳），或出具承诺函，格式自拟；</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P51</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w:t>
            </w:r>
            <w:r>
              <w:rPr>
                <w:rFonts w:hint="eastAsia" w:ascii="仿宋" w:hAnsi="仿宋" w:eastAsia="仿宋" w:cs="仿宋"/>
                <w:b/>
                <w:bCs/>
                <w:color w:val="auto"/>
                <w:szCs w:val="21"/>
                <w:highlight w:val="none"/>
              </w:rPr>
              <w:t>所属行业为</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软件和信息技术服务业</w:t>
            </w:r>
            <w:r>
              <w:rPr>
                <w:rFonts w:hint="eastAsia" w:ascii="仿宋" w:hAnsi="仿宋" w:eastAsia="仿宋" w:cs="仿宋"/>
                <w:color w:val="auto"/>
                <w:szCs w:val="21"/>
                <w:highlight w:val="none"/>
                <w:lang w:val="en-US" w:eastAsia="zh-CN"/>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12.报名</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color w:val="auto"/>
                <w:highlight w:val="none"/>
              </w:rPr>
            </w:pPr>
            <w:r>
              <w:rPr>
                <w:rFonts w:hint="eastAsia" w:ascii="仿宋" w:hAnsi="仿宋" w:eastAsia="仿宋" w:cs="仿宋"/>
                <w:color w:val="auto"/>
                <w:szCs w:val="21"/>
                <w:highlight w:val="none"/>
              </w:rPr>
              <w:t>符合性审查</w:t>
            </w: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实质性（“★”项）商务条款是否全部完全响应；</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实质性（“★”项）技术要求条款是否全部完全响应；</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2 评审项目响应资料表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5476"/>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48" w:type="pct"/>
            <w:noWrap w:val="0"/>
            <w:vAlign w:val="center"/>
          </w:tcPr>
          <w:p>
            <w:pPr>
              <w:pStyle w:val="19"/>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19"/>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3213" w:type="pct"/>
            <w:noWrap w:val="0"/>
            <w:vAlign w:val="center"/>
          </w:tcPr>
          <w:p>
            <w:pPr>
              <w:pStyle w:val="19"/>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937" w:type="pct"/>
            <w:noWrap w:val="0"/>
            <w:vAlign w:val="center"/>
          </w:tcPr>
          <w:p>
            <w:pPr>
              <w:pStyle w:val="19"/>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8"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对“服务要求及内容”的响应程度</w:t>
            </w:r>
          </w:p>
        </w:tc>
        <w:tc>
          <w:tcPr>
            <w:tcW w:w="3213" w:type="pc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完全满足“服务要求及内容”中不带▲号的一般技术参数，得16分； 有一项不带▲号条款负偏离，得1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 有二项不带▲号条款负偏离，得1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 有三项不带▲号条款负偏离，得1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 有四项不带▲号条款负偏离，得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lang w:eastAsia="zh-CN"/>
              </w:rPr>
              <w:t>分；有五项不带▲号条款负偏离，得</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lang w:eastAsia="zh-CN"/>
              </w:rPr>
              <w:t>分； 以此类推，当不带▲号条款负偏离达到</w:t>
            </w: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lang w:eastAsia="zh-CN"/>
              </w:rPr>
              <w:t>项（含）以上时，视为严重偏离此评分项不得分。 招标文件未要求提供证明材料的技术参数，以投标文件格式技术和服务要求响应表为准。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8"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对本项目的熟悉程度</w:t>
            </w:r>
          </w:p>
        </w:tc>
        <w:tc>
          <w:tcPr>
            <w:tcW w:w="3213" w:type="pct"/>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根据供应商对本项目的熟悉程度（包括但不限于对本项目维护系统的</w:t>
            </w:r>
            <w:r>
              <w:rPr>
                <w:rFonts w:hint="eastAsia" w:ascii="仿宋" w:hAnsi="仿宋" w:eastAsia="仿宋" w:cs="仿宋"/>
                <w:color w:val="auto"/>
                <w:sz w:val="21"/>
                <w:szCs w:val="21"/>
                <w:highlight w:val="none"/>
                <w:lang w:eastAsia="zh-CN"/>
              </w:rPr>
              <w:t>代码</w:t>
            </w:r>
            <w:r>
              <w:rPr>
                <w:rFonts w:hint="eastAsia" w:ascii="仿宋" w:hAnsi="仿宋" w:eastAsia="仿宋" w:cs="仿宋"/>
                <w:color w:val="auto"/>
                <w:sz w:val="21"/>
                <w:szCs w:val="21"/>
                <w:highlight w:val="none"/>
                <w:lang w:val="en-US" w:eastAsia="zh-CN"/>
              </w:rPr>
              <w:t>熟悉程度、技术要点的了解和</w:t>
            </w:r>
            <w:r>
              <w:rPr>
                <w:rFonts w:hint="eastAsia" w:ascii="仿宋" w:hAnsi="仿宋" w:eastAsia="仿宋" w:cs="仿宋"/>
                <w:color w:val="auto"/>
                <w:sz w:val="21"/>
                <w:szCs w:val="21"/>
                <w:highlight w:val="none"/>
                <w:lang w:eastAsia="zh-CN"/>
              </w:rPr>
              <w:t>院内工作流程</w:t>
            </w:r>
            <w:r>
              <w:rPr>
                <w:rFonts w:hint="eastAsia" w:ascii="仿宋" w:hAnsi="仿宋" w:eastAsia="仿宋" w:cs="仿宋"/>
                <w:color w:val="auto"/>
                <w:sz w:val="21"/>
                <w:szCs w:val="21"/>
                <w:highlight w:val="none"/>
                <w:lang w:val="en-US" w:eastAsia="zh-CN"/>
              </w:rPr>
              <w:t>等）进行评分：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1.对本项目维护系统的熟悉程度高、技术要点的了解程度高、工作思路清晰的，得10分；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2.对本项目维护系统的熟悉程度中等、技术要点的了解程度中等、工作思路较清晰的，得7分；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3.对本项目维护系统的熟悉程度一般、技术要点的了解程度一般、工作思路基本清晰的，得4分；</w:t>
            </w:r>
          </w:p>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4.无提供不得分。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8"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项目组织计划</w:t>
            </w:r>
          </w:p>
        </w:tc>
        <w:tc>
          <w:tcPr>
            <w:tcW w:w="3213" w:type="pct"/>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w:t>
            </w:r>
            <w:r>
              <w:rPr>
                <w:rFonts w:hint="eastAsia" w:ascii="仿宋" w:hAnsi="仿宋" w:eastAsia="仿宋" w:cs="仿宋"/>
                <w:color w:val="auto"/>
                <w:sz w:val="21"/>
                <w:szCs w:val="21"/>
                <w:highlight w:val="none"/>
                <w:lang w:eastAsia="zh-CN"/>
              </w:rPr>
              <w:t>项目组织计划</w:t>
            </w:r>
            <w:r>
              <w:rPr>
                <w:rFonts w:hint="eastAsia" w:ascii="仿宋" w:hAnsi="仿宋" w:eastAsia="仿宋" w:cs="仿宋"/>
                <w:color w:val="auto"/>
                <w:sz w:val="21"/>
                <w:szCs w:val="21"/>
                <w:highlight w:val="none"/>
                <w:lang w:val="en-US" w:eastAsia="zh-CN"/>
              </w:rPr>
              <w:t>（包括但不限于技术人员安排、流程规定等因素）进行评分：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1.提供优质的服务，制定的项目组织计划非常合理完整的，得10分；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2.提供良好的服务，制定的</w:t>
            </w:r>
            <w:r>
              <w:rPr>
                <w:rFonts w:hint="eastAsia" w:ascii="仿宋" w:hAnsi="仿宋" w:eastAsia="仿宋" w:cs="仿宋"/>
                <w:color w:val="auto"/>
                <w:sz w:val="21"/>
                <w:szCs w:val="21"/>
                <w:highlight w:val="none"/>
                <w:lang w:eastAsia="zh-CN"/>
              </w:rPr>
              <w:t>项目</w:t>
            </w:r>
            <w:r>
              <w:rPr>
                <w:rFonts w:hint="eastAsia" w:ascii="仿宋" w:hAnsi="仿宋" w:eastAsia="仿宋" w:cs="仿宋"/>
                <w:color w:val="auto"/>
                <w:sz w:val="21"/>
                <w:szCs w:val="21"/>
                <w:highlight w:val="none"/>
                <w:lang w:val="en-US" w:eastAsia="zh-CN"/>
              </w:rPr>
              <w:t>组织计划合理完整的，得7分；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3.提供一般的服务，制定的</w:t>
            </w:r>
            <w:r>
              <w:rPr>
                <w:rFonts w:hint="eastAsia" w:ascii="仿宋" w:hAnsi="仿宋" w:eastAsia="仿宋" w:cs="仿宋"/>
                <w:color w:val="auto"/>
                <w:sz w:val="21"/>
                <w:szCs w:val="21"/>
                <w:highlight w:val="none"/>
                <w:lang w:eastAsia="zh-CN"/>
              </w:rPr>
              <w:t>项目</w:t>
            </w:r>
            <w:r>
              <w:rPr>
                <w:rFonts w:hint="eastAsia" w:ascii="仿宋" w:hAnsi="仿宋" w:eastAsia="仿宋" w:cs="仿宋"/>
                <w:color w:val="auto"/>
                <w:sz w:val="21"/>
                <w:szCs w:val="21"/>
                <w:highlight w:val="none"/>
                <w:lang w:val="en-US" w:eastAsia="zh-CN"/>
              </w:rPr>
              <w:t>组织计划较合理完整的，得4分；</w:t>
            </w:r>
          </w:p>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4.无提供不得分</w:t>
            </w:r>
            <w:r>
              <w:rPr>
                <w:rFonts w:hint="eastAsia" w:ascii="仿宋" w:hAnsi="仿宋" w:eastAsia="仿宋" w:cs="仿宋"/>
                <w:color w:val="auto"/>
                <w:sz w:val="21"/>
                <w:szCs w:val="21"/>
                <w:highlight w:val="none"/>
                <w:lang w:val="en-GB" w:eastAsia="zh-CN"/>
              </w:rPr>
              <w:t>。</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保证措施</w:t>
            </w:r>
            <w:r>
              <w:rPr>
                <w:rFonts w:hint="eastAsia" w:ascii="仿宋" w:hAnsi="仿宋" w:eastAsia="仿宋" w:cs="仿宋"/>
                <w:color w:val="auto"/>
                <w:sz w:val="21"/>
                <w:szCs w:val="21"/>
                <w:highlight w:val="none"/>
                <w:lang w:val="en-US" w:eastAsia="zh-CN"/>
              </w:rPr>
              <w:t>方案</w:t>
            </w:r>
          </w:p>
        </w:tc>
        <w:tc>
          <w:tcPr>
            <w:tcW w:w="3213" w:type="pct"/>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根据供应商提供的保证措施方案（包括但不限于总体质量控制、项目进度控制、服务过程中质量管理、服务过程中质量管理制度、安全保证措施等）进行评分：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1.保证措施详细、具体、可行性强，得10分；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2.保证措施较详细、较具体、具有可行性，得7分；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3.保证措施一般，可行性一般，得4分；</w:t>
            </w:r>
          </w:p>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4.无提供不得分。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Hans"/>
              </w:rPr>
              <w:t>培训方案</w:t>
            </w:r>
          </w:p>
        </w:tc>
        <w:tc>
          <w:tcPr>
            <w:tcW w:w="3213" w:type="pct"/>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US" w:eastAsia="zh-CN" w:bidi="ar-SA"/>
              </w:rPr>
              <w:t>根据供应商针对本项目提供的培训方案（包含但不限于培训计划、培训方式、培训内容）进行评分：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US" w:eastAsia="zh-CN" w:bidi="ar-SA"/>
              </w:rPr>
              <w:t xml:space="preserve">1.培训方案详细、全面、可行，能够对项目的使用对象提供全面的培训，得10分；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US" w:eastAsia="zh-CN" w:bidi="ar-SA"/>
              </w:rPr>
              <w:t xml:space="preserve">2.培训方案较详细，基本可行的，基本能满足采购需求的，得7分；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US" w:eastAsia="zh-CN" w:bidi="ar-SA"/>
              </w:rPr>
              <w:t xml:space="preserve">3.培训方案较粗略，可行性较差，不能完全满足采购需求的，得4分； </w:t>
            </w:r>
          </w:p>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u w:val="none"/>
                <w:lang w:val="en-US" w:eastAsia="zh-CN" w:bidi="ar-SA"/>
              </w:rPr>
              <w:t>4.未提供不得分</w:t>
            </w:r>
            <w:r>
              <w:rPr>
                <w:rFonts w:hint="eastAsia" w:ascii="仿宋" w:hAnsi="仿宋" w:eastAsia="仿宋" w:cs="仿宋"/>
                <w:color w:val="auto"/>
                <w:sz w:val="21"/>
                <w:szCs w:val="21"/>
                <w:highlight w:val="none"/>
                <w:lang w:val="en-GB" w:eastAsia="zh-CN"/>
              </w:rPr>
              <w:t>。</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GB" w:eastAsia="zh-CN"/>
              </w:rPr>
              <w:t>售后服务方案</w:t>
            </w:r>
          </w:p>
        </w:tc>
        <w:tc>
          <w:tcPr>
            <w:tcW w:w="3213" w:type="pct"/>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根据</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GB" w:eastAsia="zh-CN"/>
              </w:rPr>
              <w:t xml:space="preserve">提供的维保服务方案（包含但不限于响应时间、服务能力、故障修复等）进行综合评审：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 xml:space="preserve">1.内容全面完善，服务流程清晰，可行性高，完全满足且优于采购需求的，得8分；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 xml:space="preserve">2.内容基本完善，服务流程基本较清晰，可行性较高，基本满足采购需求的，得5分； </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3.内容片面简略，可行性较低，不能完全满足采购需求的，得2分；</w:t>
            </w:r>
          </w:p>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GB" w:eastAsia="zh-CN"/>
              </w:rPr>
              <w:t>4.未提供或其它不符合评审要求的，得0分</w:t>
            </w:r>
            <w:r>
              <w:rPr>
                <w:rFonts w:hint="eastAsia" w:ascii="仿宋" w:hAnsi="仿宋" w:eastAsia="仿宋" w:cs="仿宋"/>
                <w:color w:val="auto"/>
                <w:sz w:val="21"/>
                <w:szCs w:val="21"/>
                <w:highlight w:val="none"/>
                <w:lang w:val="en-GB" w:eastAsia="zh-Hans"/>
              </w:rPr>
              <w:t>。</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同类业绩</w:t>
            </w:r>
          </w:p>
        </w:tc>
        <w:tc>
          <w:tcPr>
            <w:tcW w:w="3213" w:type="pct"/>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根据供应商提供2022年1月1日至今承担过的同类业绩情况进行评分，每提供一个，得2分，本项最高6分。不提供或未按要求提供均不得分。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注1：同类业绩证明文件：指中标/成交通知书或合同关键页的复印件或扫描件.</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注2：合同关键页要素包括以下清晰可辩的页面：①合同项目名称及服务内容；②签订合同双方的单位名称；③合同双方的签章、单位公章及能够判断业绩时间的日期）。</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3：业绩时间认定：中标/成交通知书以落款时间为准；合同以其中载明的签订日期或生效时间为准。如合同双方载明日期不一致，以较晚的日期为准，如仅一方载明日期，则以该日期为准。无法判断时间的证明文件无效。</w:t>
            </w:r>
          </w:p>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注4：同一项目不同年份的合同按一份业绩计算，不重复计算业绩分数。同一业主在同一招标/采购项目中续签的合同，不重复计分。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报价得分</w:t>
            </w:r>
          </w:p>
        </w:tc>
        <w:tc>
          <w:tcPr>
            <w:tcW w:w="3213" w:type="pc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keepNext w:val="0"/>
        <w:keepLines w:val="0"/>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color w:val="auto"/>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0"/>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0"/>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0"/>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0"/>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0"/>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pPr>
        <w:pStyle w:val="20"/>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pPr>
        <w:pStyle w:val="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pPr>
        <w:pStyle w:val="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U+UN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GFMFUITAgAAEg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L7AHWAAAACAEAAA8AAAAAAAAA&#10;AQAgAAAAIgAAAGRycy9kb3ducmV2LnhtbFBLAQIUABQAAAAIAIdO4kBhTBVCEwIAABIEAAAOAAAA&#10;AAAAAAEAIAAAACU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f8yJ1wAAAAk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20" name="流程图: 可选过程 2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vn2l1wAAAAkBAAAPAAAAAAAA&#10;AAEAIAAAACIAAABkcnMvZG93bnJldi54bWxQSwECFAAUAAAACACHTuJA4Pug8hMCAAASBAAADgAA&#10;AAAAAAABACAAAAAmAQAAZHJzL2Uyb0RvYy54bWxQSwUGAAAAAAYABgBZAQAAqw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1" name="流程图: 可选过程 2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1wyx7ZAAAADQEAAA8AAAAA&#10;AAAAAQAgAAAAIgAAAGRycy9kb3ducmV2LnhtbFBLAQIUABQAAAAIAIdO4kB3Skm/EwIAABIEAAAO&#10;AAAAAAAAAAEAIAAAACgBAABkcnMvZTJvRG9jLnhtbFBLBQYAAAAABgAGAFkBAACt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出具的资信证明（复印件）；或④出具承诺函，格式自拟；</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（3）比选截止时间前一年内任意一个月的依法缴纳税收证明材料（如依法免税，则须提供相应文件证明其依法免税），或出具承诺函，格式自拟；</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（4）比选截止时间前一年内任意一个月的依法缴纳社会保险凭据（如依法不需要缴纳社保，则须提供相应文件证明其依法不需要缴纳），或出具承诺函，格式自拟；</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6.本项目是专门面向中小企业采购的项目。（提供《中小企业声明函》，具体格式文件见比选文件</w:t>
      </w:r>
      <w:r>
        <w:rPr>
          <w:rFonts w:hint="eastAsia" w:ascii="仿宋" w:hAnsi="仿宋" w:eastAsia="仿宋" w:cs="仿宋"/>
          <w:b/>
          <w:bCs/>
          <w:color w:val="auto"/>
          <w:sz w:val="24"/>
          <w:highlight w:val="none"/>
          <w:lang w:val="en-US" w:eastAsia="zh-CN"/>
        </w:rPr>
        <w:t>P51</w:t>
      </w:r>
      <w:r>
        <w:rPr>
          <w:rFonts w:hint="eastAsia" w:ascii="仿宋" w:hAnsi="仿宋" w:eastAsia="仿宋" w:cs="仿宋"/>
          <w:color w:val="auto"/>
          <w:sz w:val="24"/>
          <w:highlight w:val="none"/>
          <w:lang w:val="en-US" w:eastAsia="zh-CN"/>
        </w:rPr>
        <w:t>中小企业声明函（工程、服务）</w:t>
      </w:r>
      <w:r>
        <w:rPr>
          <w:rFonts w:hint="eastAsia" w:ascii="仿宋" w:hAnsi="仿宋" w:eastAsia="仿宋" w:cs="仿宋"/>
          <w:color w:val="auto"/>
          <w:sz w:val="24"/>
          <w:highlight w:val="none"/>
          <w:lang w:val="hr-HR" w:eastAsia="zh-CN"/>
        </w:rPr>
        <w:t>，未按要求提供声明函的将导致响应无效</w:t>
      </w:r>
      <w:r>
        <w:rPr>
          <w:rFonts w:hint="eastAsia" w:ascii="仿宋" w:hAnsi="仿宋" w:eastAsia="仿宋" w:cs="仿宋"/>
          <w:color w:val="auto"/>
          <w:sz w:val="24"/>
          <w:highlight w:val="none"/>
          <w:lang w:val="en-US" w:eastAsia="zh-CN"/>
        </w:rPr>
        <w:t>）。本项目中小企业划分标准</w:t>
      </w:r>
      <w:r>
        <w:rPr>
          <w:rFonts w:hint="eastAsia" w:ascii="仿宋" w:hAnsi="仿宋" w:eastAsia="仿宋" w:cs="仿宋"/>
          <w:b/>
          <w:bCs/>
          <w:color w:val="auto"/>
          <w:sz w:val="24"/>
          <w:highlight w:val="none"/>
          <w:lang w:val="en-US" w:eastAsia="zh-CN"/>
        </w:rPr>
        <w:t>所属行业为：软件和信息技术服务业</w:t>
      </w:r>
      <w:r>
        <w:rPr>
          <w:rFonts w:hint="eastAsia" w:ascii="仿宋" w:hAnsi="仿宋" w:eastAsia="仿宋" w:cs="仿宋"/>
          <w:color w:val="auto"/>
          <w:sz w:val="24"/>
          <w:highlight w:val="none"/>
          <w:lang w:val="en-US" w:eastAsia="zh-CN"/>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ind w:left="0" w:leftChars="0" w:firstLine="0" w:firstLineChars="0"/>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w:t>
      </w:r>
      <w:r>
        <w:rPr>
          <w:rFonts w:hint="eastAsia" w:ascii="仿宋" w:hAnsi="仿宋" w:eastAsia="仿宋" w:cs="仿宋"/>
          <w:b/>
          <w:color w:val="auto"/>
          <w:sz w:val="24"/>
          <w:highlight w:val="none"/>
          <w:lang w:val="en-GB" w:eastAsia="zh-CN"/>
        </w:rPr>
        <w:t>（</w:t>
      </w:r>
      <w:r>
        <w:rPr>
          <w:rFonts w:hint="eastAsia" w:ascii="仿宋" w:hAnsi="仿宋" w:eastAsia="仿宋" w:cs="仿宋"/>
          <w:b/>
          <w:color w:val="auto"/>
          <w:sz w:val="24"/>
          <w:highlight w:val="none"/>
          <w:lang w:val="en-GB"/>
        </w:rPr>
        <w:t>单页</w:t>
      </w:r>
      <w:r>
        <w:rPr>
          <w:rFonts w:hint="eastAsia" w:ascii="仿宋" w:hAnsi="仿宋" w:eastAsia="仿宋" w:cs="仿宋"/>
          <w:b/>
          <w:color w:val="auto"/>
          <w:sz w:val="24"/>
          <w:highlight w:val="none"/>
          <w:lang w:val="en-GB" w:eastAsia="zh-CN"/>
        </w:rPr>
        <w:t>）</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w:t>
      </w:r>
      <w:r>
        <w:rPr>
          <w:rFonts w:hint="eastAsia" w:ascii="仿宋" w:hAnsi="仿宋" w:eastAsia="仿宋" w:cs="仿宋"/>
          <w:b/>
          <w:color w:val="auto"/>
          <w:sz w:val="30"/>
          <w:szCs w:val="30"/>
          <w:highlight w:val="none"/>
          <w:lang w:val="hr-HR" w:eastAsia="zh-CN"/>
        </w:rPr>
        <w:t>（</w:t>
      </w:r>
      <w:r>
        <w:rPr>
          <w:rFonts w:hint="eastAsia" w:ascii="仿宋" w:hAnsi="仿宋" w:eastAsia="仿宋" w:cs="仿宋"/>
          <w:b/>
          <w:color w:val="auto"/>
          <w:sz w:val="30"/>
          <w:szCs w:val="30"/>
          <w:highlight w:val="none"/>
          <w:lang w:val="hr-HR"/>
        </w:rPr>
        <w:t>单页</w:t>
      </w:r>
      <w:r>
        <w:rPr>
          <w:rFonts w:hint="eastAsia" w:ascii="仿宋" w:hAnsi="仿宋" w:eastAsia="仿宋" w:cs="仿宋"/>
          <w:b/>
          <w:color w:val="auto"/>
          <w:sz w:val="30"/>
          <w:szCs w:val="30"/>
          <w:highlight w:val="none"/>
          <w:lang w:val="hr-HR" w:eastAsia="zh-CN"/>
        </w:rPr>
        <w:t>）</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numPr>
          <w:ilvl w:val="0"/>
          <w:numId w:val="0"/>
        </w:numPr>
        <w:rPr>
          <w:rFonts w:hint="eastAsia" w:ascii="仿宋" w:hAnsi="仿宋" w:eastAsia="仿宋" w:cs="仿宋"/>
          <w:color w:val="auto"/>
          <w:sz w:val="24"/>
        </w:rPr>
      </w:pPr>
      <w:r>
        <w:rPr>
          <w:rFonts w:hint="eastAsia" w:ascii="仿宋" w:hAnsi="仿宋" w:eastAsia="仿宋" w:cs="仿宋"/>
          <w:color w:val="auto"/>
          <w:highlight w:val="none"/>
        </w:rPr>
        <w:br w:type="page"/>
      </w: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rPr>
        <w:t>中小企业声明函。</w:t>
      </w:r>
    </w:p>
    <w:p>
      <w:pPr>
        <w:pStyle w:val="8"/>
        <w:ind w:left="0" w:leftChars="0" w:firstLine="0" w:firstLineChars="0"/>
        <w:rPr>
          <w:rFonts w:hint="eastAsia"/>
          <w:color w:val="auto"/>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pStyle w:val="8"/>
        <w:numPr>
          <w:ilvl w:val="0"/>
          <w:numId w:val="0"/>
        </w:num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spacing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4.2商务条款响应</w:t>
      </w:r>
    </w:p>
    <w:p>
      <w:pP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4.2.1 实质性响应商务条款</w:t>
      </w:r>
      <w:r>
        <w:rPr>
          <w:rFonts w:hint="eastAsia" w:ascii="仿宋" w:hAnsi="仿宋" w:eastAsia="仿宋" w:cs="仿宋"/>
          <w:b/>
          <w:color w:val="auto"/>
          <w:sz w:val="24"/>
          <w:highlight w:val="none"/>
          <w:lang w:eastAsia="zh-CN"/>
        </w:rPr>
        <w:t>（单页填写）</w:t>
      </w:r>
    </w:p>
    <w:p>
      <w:pPr>
        <w:rPr>
          <w:rFonts w:hint="eastAsia" w:ascii="仿宋" w:hAnsi="仿宋" w:eastAsia="仿宋" w:cs="仿宋"/>
          <w:b/>
          <w:color w:val="auto"/>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075"/>
        <w:gridCol w:w="3651"/>
        <w:gridCol w:w="735"/>
        <w:gridCol w:w="1430"/>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6"/>
            <w:noWrap w:val="0"/>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49"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631"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142"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431"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39"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605"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631" w:type="pct"/>
            <w:noWrap w:val="0"/>
            <w:vAlign w:val="center"/>
          </w:tcPr>
          <w:p>
            <w:pPr>
              <w:spacing w:line="380" w:lineRule="exact"/>
              <w:jc w:val="center"/>
              <w:rPr>
                <w:rFonts w:hint="eastAsia" w:ascii="仿宋" w:hAnsi="仿宋" w:eastAsia="仿宋" w:cs="仿宋"/>
                <w:color w:val="auto"/>
                <w:sz w:val="21"/>
                <w:szCs w:val="21"/>
                <w:highlight w:val="none"/>
                <w:lang w:val="en-US" w:eastAsia="zh-CN"/>
              </w:rPr>
            </w:pPr>
          </w:p>
        </w:tc>
        <w:tc>
          <w:tcPr>
            <w:tcW w:w="2142" w:type="pct"/>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p>
        </w:tc>
        <w:tc>
          <w:tcPr>
            <w:tcW w:w="431"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839"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605"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49" w:type="pct"/>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631" w:type="pct"/>
            <w:noWrap w:val="0"/>
            <w:vAlign w:val="center"/>
          </w:tcPr>
          <w:p>
            <w:pPr>
              <w:jc w:val="center"/>
              <w:rPr>
                <w:rFonts w:hint="eastAsia" w:ascii="仿宋" w:hAnsi="仿宋" w:eastAsia="仿宋" w:cs="仿宋"/>
                <w:color w:val="auto"/>
                <w:sz w:val="21"/>
                <w:szCs w:val="21"/>
                <w:highlight w:val="none"/>
              </w:rPr>
            </w:pPr>
          </w:p>
        </w:tc>
        <w:tc>
          <w:tcPr>
            <w:tcW w:w="2142" w:type="pct"/>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p>
        </w:tc>
        <w:tc>
          <w:tcPr>
            <w:tcW w:w="431" w:type="pct"/>
            <w:noWrap w:val="0"/>
            <w:vAlign w:val="top"/>
          </w:tcPr>
          <w:p>
            <w:pPr>
              <w:rPr>
                <w:rFonts w:hint="eastAsia" w:ascii="仿宋" w:hAnsi="仿宋" w:eastAsia="仿宋" w:cs="仿宋"/>
                <w:color w:val="auto"/>
                <w:szCs w:val="21"/>
                <w:highlight w:val="none"/>
              </w:rPr>
            </w:pPr>
          </w:p>
        </w:tc>
        <w:tc>
          <w:tcPr>
            <w:tcW w:w="839" w:type="pct"/>
            <w:noWrap w:val="0"/>
            <w:vAlign w:val="top"/>
          </w:tcPr>
          <w:p>
            <w:pPr>
              <w:rPr>
                <w:rFonts w:hint="eastAsia" w:ascii="仿宋" w:hAnsi="仿宋" w:eastAsia="仿宋" w:cs="仿宋"/>
                <w:color w:val="auto"/>
                <w:szCs w:val="21"/>
                <w:highlight w:val="none"/>
              </w:rPr>
            </w:pPr>
          </w:p>
        </w:tc>
        <w:tc>
          <w:tcPr>
            <w:tcW w:w="605" w:type="pct"/>
            <w:noWrap w:val="0"/>
            <w:vAlign w:val="top"/>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9" w:type="pct"/>
            <w:noWrap w:val="0"/>
            <w:vAlign w:val="center"/>
          </w:tcPr>
          <w:p>
            <w:pPr>
              <w:jc w:val="center"/>
              <w:rPr>
                <w:rFonts w:hint="eastAsia" w:ascii="仿宋" w:hAnsi="仿宋" w:eastAsia="仿宋" w:cs="仿宋"/>
                <w:color w:val="auto"/>
                <w:szCs w:val="21"/>
                <w:highlight w:val="none"/>
                <w:lang w:val="en-US" w:eastAsia="zh-CN"/>
              </w:rPr>
            </w:pPr>
          </w:p>
        </w:tc>
        <w:tc>
          <w:tcPr>
            <w:tcW w:w="631" w:type="pct"/>
            <w:noWrap w:val="0"/>
            <w:vAlign w:val="center"/>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2142" w:type="pct"/>
            <w:noWrap w:val="0"/>
            <w:vAlign w:val="top"/>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431" w:type="pct"/>
            <w:noWrap w:val="0"/>
            <w:vAlign w:val="top"/>
          </w:tcPr>
          <w:p>
            <w:pPr>
              <w:rPr>
                <w:rFonts w:hint="eastAsia" w:ascii="仿宋" w:hAnsi="仿宋" w:eastAsia="仿宋" w:cs="仿宋"/>
                <w:color w:val="auto"/>
                <w:szCs w:val="21"/>
                <w:highlight w:val="none"/>
              </w:rPr>
            </w:pPr>
          </w:p>
        </w:tc>
        <w:tc>
          <w:tcPr>
            <w:tcW w:w="839" w:type="pct"/>
            <w:noWrap w:val="0"/>
            <w:vAlign w:val="top"/>
          </w:tcPr>
          <w:p>
            <w:pPr>
              <w:rPr>
                <w:rFonts w:hint="eastAsia" w:ascii="仿宋" w:hAnsi="仿宋" w:eastAsia="仿宋" w:cs="仿宋"/>
                <w:color w:val="auto"/>
                <w:szCs w:val="21"/>
                <w:highlight w:val="none"/>
              </w:rPr>
            </w:pPr>
          </w:p>
        </w:tc>
        <w:tc>
          <w:tcPr>
            <w:tcW w:w="605" w:type="pct"/>
            <w:noWrap w:val="0"/>
            <w:vAlign w:val="top"/>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szCs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3"/>
        <w:spacing w:before="0" w:after="0"/>
        <w:jc w:val="left"/>
        <w:rPr>
          <w:rFonts w:hint="eastAsia" w:ascii="仿宋" w:hAnsi="仿宋" w:eastAsia="仿宋" w:cs="仿宋"/>
          <w:color w:val="auto"/>
          <w:highlight w:val="none"/>
        </w:rPr>
      </w:pPr>
      <w:r>
        <w:rPr>
          <w:rFonts w:hint="eastAsia" w:ascii="仿宋" w:hAnsi="仿宋" w:eastAsia="仿宋" w:cs="仿宋"/>
          <w:color w:val="auto"/>
          <w:sz w:val="24"/>
          <w:szCs w:val="24"/>
          <w:lang w:val="en-US" w:eastAsia="zh-CN"/>
        </w:rPr>
        <w:t>4.2.2</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3930"/>
        <w:gridCol w:w="1374"/>
        <w:gridCol w:w="131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06"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806"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772"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812"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806" w:type="pct"/>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772" w:type="pct"/>
            <w:noWrap w:val="0"/>
            <w:vAlign w:val="center"/>
          </w:tcPr>
          <w:p>
            <w:pPr>
              <w:jc w:val="center"/>
              <w:rPr>
                <w:rFonts w:hint="eastAsia" w:ascii="仿宋" w:hAnsi="仿宋" w:eastAsia="仿宋" w:cs="仿宋"/>
                <w:color w:val="auto"/>
                <w:szCs w:val="21"/>
                <w:highlight w:val="none"/>
              </w:rPr>
            </w:pPr>
          </w:p>
        </w:tc>
        <w:tc>
          <w:tcPr>
            <w:tcW w:w="812"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完全理解并接受对合格响应供应商、合格的货物、工程和服务要求</w:t>
            </w:r>
          </w:p>
        </w:tc>
        <w:tc>
          <w:tcPr>
            <w:tcW w:w="806" w:type="pct"/>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772" w:type="pct"/>
            <w:noWrap w:val="0"/>
            <w:vAlign w:val="center"/>
          </w:tcPr>
          <w:p>
            <w:pPr>
              <w:jc w:val="center"/>
              <w:rPr>
                <w:rFonts w:hint="eastAsia" w:ascii="仿宋" w:hAnsi="仿宋" w:eastAsia="仿宋" w:cs="仿宋"/>
                <w:color w:val="auto"/>
                <w:szCs w:val="21"/>
                <w:highlight w:val="none"/>
              </w:rPr>
            </w:pPr>
          </w:p>
        </w:tc>
        <w:tc>
          <w:tcPr>
            <w:tcW w:w="812"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完全理解并接受对响应供应商的各项须知、规约要求和责任义务</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306" w:type="pct"/>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报价内容均涵盖报价要求之一切费用和伴随服务</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306" w:type="pct"/>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2306" w:type="pct"/>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同意按本项目要求缴付相关款项</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2306" w:type="pct"/>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GB"/>
              </w:rPr>
              <w:t>同意</w:t>
            </w:r>
            <w:r>
              <w:rPr>
                <w:rFonts w:hint="eastAsia" w:ascii="仿宋" w:hAnsi="仿宋" w:eastAsia="仿宋" w:cs="仿宋"/>
                <w:color w:val="auto"/>
                <w:szCs w:val="21"/>
                <w:highlight w:val="none"/>
                <w:lang w:val="en-GB" w:eastAsia="zh-CN"/>
              </w:rPr>
              <w:t>采购人</w:t>
            </w:r>
            <w:r>
              <w:rPr>
                <w:rFonts w:hint="eastAsia" w:ascii="仿宋" w:hAnsi="仿宋" w:eastAsia="仿宋" w:cs="仿宋"/>
                <w:color w:val="auto"/>
                <w:szCs w:val="21"/>
                <w:highlight w:val="none"/>
                <w:lang w:val="en-GB"/>
              </w:rPr>
              <w:t>以任何形式对我方响应文件内容的真实性和有效性进行审查、验证</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2306" w:type="pct"/>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US" w:eastAsia="zh-CN"/>
              </w:rPr>
              <w:t>满足对服务的各项要求</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1"/>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3885" w:type="pct"/>
            <w:gridSpan w:val="3"/>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812" w:type="pct"/>
            <w:noWrap w:val="0"/>
            <w:vAlign w:val="center"/>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848"/>
        <w:gridCol w:w="2749"/>
        <w:gridCol w:w="1512"/>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6"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084"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采购人</w:t>
            </w:r>
            <w:r>
              <w:rPr>
                <w:rFonts w:hint="eastAsia" w:ascii="仿宋" w:hAnsi="仿宋" w:eastAsia="仿宋" w:cs="仿宋"/>
                <w:b/>
                <w:bCs/>
                <w:color w:val="auto"/>
                <w:szCs w:val="21"/>
                <w:highlight w:val="none"/>
              </w:rPr>
              <w:t>名称</w:t>
            </w:r>
          </w:p>
        </w:tc>
        <w:tc>
          <w:tcPr>
            <w:tcW w:w="1613"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887" w:type="pct"/>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878"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pStyle w:val="22"/>
              <w:rPr>
                <w:rFonts w:hint="eastAsia" w:ascii="仿宋" w:hAnsi="仿宋" w:eastAsia="仿宋" w:cs="仿宋"/>
                <w:color w:val="auto"/>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adjustRightInd w:val="0"/>
        <w:snapToGrid w:val="0"/>
        <w:spacing w:line="30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5 </w:t>
      </w:r>
      <w:r>
        <w:rPr>
          <w:rFonts w:hint="eastAsia" w:ascii="仿宋" w:hAnsi="仿宋" w:eastAsia="仿宋" w:cs="仿宋"/>
          <w:b/>
          <w:bCs/>
          <w:color w:val="auto"/>
          <w:sz w:val="32"/>
          <w:szCs w:val="32"/>
          <w:highlight w:val="none"/>
          <w:lang w:eastAsia="zh-CN"/>
        </w:rPr>
        <w:t>技术</w:t>
      </w:r>
      <w:r>
        <w:rPr>
          <w:rFonts w:hint="eastAsia" w:ascii="仿宋" w:hAnsi="仿宋" w:eastAsia="仿宋" w:cs="仿宋"/>
          <w:b/>
          <w:bCs/>
          <w:color w:val="auto"/>
          <w:sz w:val="32"/>
          <w:szCs w:val="32"/>
          <w:highlight w:val="none"/>
        </w:rPr>
        <w:t>部分</w:t>
      </w:r>
    </w:p>
    <w:p>
      <w:pPr>
        <w:pStyle w:val="9"/>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9"/>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70"/>
        <w:gridCol w:w="2241"/>
        <w:gridCol w:w="1578"/>
        <w:gridCol w:w="808"/>
        <w:gridCol w:w="845"/>
        <w:gridCol w:w="71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00" w:type="pct"/>
            <w:gridSpan w:val="8"/>
            <w:noWrap w:val="0"/>
            <w:vAlign w:val="top"/>
          </w:tcPr>
          <w:p>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349"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393"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315"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926"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474"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496"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421"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623"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1</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9"/>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9"/>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9"/>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885"/>
        <w:gridCol w:w="2645"/>
        <w:gridCol w:w="1399"/>
        <w:gridCol w:w="643"/>
        <w:gridCol w:w="712"/>
        <w:gridCol w:w="569"/>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000" w:type="pct"/>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519"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552"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821"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377"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418"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334"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687" w:type="pct"/>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19"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552"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519"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552"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800"/>
        <w:gridCol w:w="1080"/>
        <w:gridCol w:w="1452"/>
        <w:gridCol w:w="1805"/>
        <w:gridCol w:w="13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jc w:val="center"/>
        </w:trPr>
        <w:tc>
          <w:tcPr>
            <w:tcW w:w="164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633"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852"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059"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810"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64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消毒供应追溯管理系统接口开发与维保服务</w:t>
            </w:r>
          </w:p>
        </w:tc>
        <w:tc>
          <w:tcPr>
            <w:tcW w:w="63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w:t>
            </w:r>
          </w:p>
        </w:tc>
        <w:tc>
          <w:tcPr>
            <w:tcW w:w="852" w:type="pct"/>
            <w:noWrap w:val="0"/>
            <w:vAlign w:val="center"/>
          </w:tcPr>
          <w:p>
            <w:pPr>
              <w:pStyle w:val="13"/>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059"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c>
          <w:tcPr>
            <w:tcW w:w="810"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2277" w:type="pct"/>
            <w:gridSpan w:val="2"/>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722" w:type="pct"/>
            <w:gridSpan w:val="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r>
        <w:rPr>
          <w:rFonts w:hint="eastAsia" w:ascii="仿宋" w:hAnsi="仿宋" w:eastAsia="仿宋" w:cs="仿宋"/>
          <w:color w:val="auto"/>
          <w:sz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65DF1F-9FC8-4CC5-89A4-60F463ACDF26}"/>
  </w:font>
  <w:font w:name="黑体">
    <w:panose1 w:val="02010609060101010101"/>
    <w:charset w:val="86"/>
    <w:family w:val="auto"/>
    <w:pitch w:val="default"/>
    <w:sig w:usb0="800002BF" w:usb1="38CF7CFA" w:usb2="00000016" w:usb3="00000000" w:csb0="00040001" w:csb1="00000000"/>
    <w:embedRegular r:id="rId2" w:fontKey="{9B47A7C6-DE41-43E1-B3C6-8CFFB17A8A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28EE227-1E03-4737-A3C7-28E6B08E814E}"/>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B230E276-CD79-4C8B-A783-F1424EC5ED02}"/>
  </w:font>
  <w:font w:name="方正仿宋_GBK">
    <w:panose1 w:val="02000000000000000000"/>
    <w:charset w:val="86"/>
    <w:family w:val="auto"/>
    <w:pitch w:val="default"/>
    <w:sig w:usb0="A00002BF" w:usb1="38CF7CFA" w:usb2="00082016" w:usb3="00000000" w:csb0="00040001" w:csb1="00000000"/>
    <w:embedRegular r:id="rId5" w:fontKey="{E821ACAA-6BE4-430D-98C9-CCDA7797841A}"/>
  </w:font>
  <w:font w:name="FangSong_GB2312-Identity-H">
    <w:altName w:val="宋体"/>
    <w:panose1 w:val="00000000000000000000"/>
    <w:charset w:val="86"/>
    <w:family w:val="auto"/>
    <w:pitch w:val="default"/>
    <w:sig w:usb0="00000000" w:usb1="00000000" w:usb2="00000010" w:usb3="00000000" w:csb0="00040000" w:csb1="00000000"/>
    <w:embedRegular r:id="rId6" w:fontKey="{1B5FDD63-086D-4E57-BFAB-A7AF3A5EB0FE}"/>
  </w:font>
  <w:font w:name="仿宋_GB2312">
    <w:altName w:val="仿宋"/>
    <w:panose1 w:val="02010609030101010101"/>
    <w:charset w:val="86"/>
    <w:family w:val="modern"/>
    <w:pitch w:val="default"/>
    <w:sig w:usb0="00000000" w:usb1="00000000" w:usb2="00000000" w:usb3="00000000" w:csb0="00040000" w:csb1="00000000"/>
    <w:embedRegular r:id="rId7" w:fontKey="{3B3DD15F-AD4A-4034-932B-BED7DEF1E3C6}"/>
  </w:font>
  <w:font w:name="Wingdings 2">
    <w:panose1 w:val="05020102010507070707"/>
    <w:charset w:val="02"/>
    <w:family w:val="auto"/>
    <w:pitch w:val="default"/>
    <w:sig w:usb0="00000000" w:usb1="00000000" w:usb2="00000000" w:usb3="00000000" w:csb0="00000000" w:csb1="00000000"/>
    <w:embedRegular r:id="rId8" w:fontKey="{FD3A79D9-EA49-4ABE-A116-AA019A34F1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KZlMbAgAAIw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r99ip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wKZlMbAgAAIwQAAA4A&#10;AAAAAAAAAQAgAAAAHwEAAGRycy9lMm9Eb2MueG1sUEsFBgAAAAAGAAYAWQEAAKw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uZwaAgAAIw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T9y5nBoCAAAjBAAADgAA&#10;AAAAAAABACAAAAAfAQAAZHJzL2Uyb0RvYy54bWxQSwUGAAAAAAYABgBZAQAAq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OTg4ZDZiNGRhZDU3NjAyY2FlZGQzMmI1OGRiNzgifQ=="/>
  </w:docVars>
  <w:rsids>
    <w:rsidRoot w:val="00000000"/>
    <w:rsid w:val="009D66E9"/>
    <w:rsid w:val="01254F08"/>
    <w:rsid w:val="017422FC"/>
    <w:rsid w:val="028B3D21"/>
    <w:rsid w:val="036F4C72"/>
    <w:rsid w:val="098A312B"/>
    <w:rsid w:val="10A45CE3"/>
    <w:rsid w:val="125A2D2B"/>
    <w:rsid w:val="1408773F"/>
    <w:rsid w:val="1B6346EB"/>
    <w:rsid w:val="1B912C7C"/>
    <w:rsid w:val="1BC7781B"/>
    <w:rsid w:val="20BB5295"/>
    <w:rsid w:val="23594FFD"/>
    <w:rsid w:val="23BD3A2A"/>
    <w:rsid w:val="250B1941"/>
    <w:rsid w:val="27EE6148"/>
    <w:rsid w:val="2BD51362"/>
    <w:rsid w:val="2C01137D"/>
    <w:rsid w:val="2D555EDA"/>
    <w:rsid w:val="2D5704E4"/>
    <w:rsid w:val="30FF58E4"/>
    <w:rsid w:val="3BC734D0"/>
    <w:rsid w:val="3CF26A36"/>
    <w:rsid w:val="3E14337A"/>
    <w:rsid w:val="3ED32C9E"/>
    <w:rsid w:val="3F110A54"/>
    <w:rsid w:val="462151D2"/>
    <w:rsid w:val="48F66AF6"/>
    <w:rsid w:val="4B485CC2"/>
    <w:rsid w:val="4E282247"/>
    <w:rsid w:val="4E7E2CA3"/>
    <w:rsid w:val="54CA0155"/>
    <w:rsid w:val="55D771B1"/>
    <w:rsid w:val="60220163"/>
    <w:rsid w:val="629038EE"/>
    <w:rsid w:val="654620EE"/>
    <w:rsid w:val="67B24642"/>
    <w:rsid w:val="682C160E"/>
    <w:rsid w:val="6CEA35F3"/>
    <w:rsid w:val="6F013324"/>
    <w:rsid w:val="725D089A"/>
    <w:rsid w:val="74CF49F5"/>
    <w:rsid w:val="766B3C18"/>
    <w:rsid w:val="774F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Times New Roman"/>
      <w:sz w:val="20"/>
      <w:szCs w:val="20"/>
    </w:rPr>
  </w:style>
  <w:style w:type="paragraph" w:styleId="5">
    <w:name w:val="annotation text"/>
    <w:basedOn w:val="1"/>
    <w:qFormat/>
    <w:uiPriority w:val="0"/>
    <w:pPr>
      <w:jc w:val="left"/>
    </w:p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after="120"/>
    </w:p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List"/>
    <w:basedOn w:val="1"/>
    <w:qFormat/>
    <w:uiPriority w:val="0"/>
    <w:pPr>
      <w:ind w:firstLine="0" w:firstLineChars="0"/>
      <w:contextualSpacing/>
    </w:p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18">
    <w:name w:val="列出段落1"/>
    <w:basedOn w:val="1"/>
    <w:qFormat/>
    <w:uiPriority w:val="0"/>
    <w:pPr>
      <w:ind w:firstLine="420" w:firstLineChars="200"/>
    </w:pPr>
    <w:rPr>
      <w:rFonts w:ascii="Calibri" w:hAnsi="Calibri" w:eastAsia="宋体" w:cs="Times New Roman"/>
    </w:rPr>
  </w:style>
  <w:style w:type="paragraph" w:customStyle="1" w:styleId="19">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0">
    <w:name w:val="null3"/>
    <w:qFormat/>
    <w:uiPriority w:val="0"/>
    <w:rPr>
      <w:rFonts w:hint="eastAsia" w:ascii="Calibri" w:hAnsi="Calibri" w:eastAsia="宋体" w:cs="Times New Roman"/>
      <w:lang w:val="en-US" w:eastAsia="zh-Hans"/>
    </w:rPr>
  </w:style>
  <w:style w:type="paragraph" w:customStyle="1" w:styleId="2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
    <w:name w:val="题注4"/>
    <w:basedOn w:val="1"/>
    <w:next w:val="4"/>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30562</Words>
  <Characters>31555</Characters>
  <Lines>0</Lines>
  <Paragraphs>0</Paragraphs>
  <TotalTime>14</TotalTime>
  <ScaleCrop>false</ScaleCrop>
  <LinksUpToDate>false</LinksUpToDate>
  <CharactersWithSpaces>33515</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2025-12-17T07:10:00Z</dcterms:created>
  <dc:creator>Administrator.FY-202211141507</dc:creator>
  <cp:lastModifiedBy>Shadowfang</cp:lastModifiedBy>
  <dcterms:modified xsi:type="dcterms:W3CDTF">2026-06-09T07:14:51Z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6841ADB5EC744998AF597498AC70D736_13</vt:lpwstr>
  </property>
  <property fmtid="{D5CDD505-2E9C-101B-9397-08002B2CF9AE}" pid="4" name="KSOTemplateDocerSaveRecord">
    <vt:lpwstr>eyJoZGlkIjoiZGQ5ZGFmYjUwNjQzMmRhYjA4OTljM2IxNTdiZGEwZWUiLCJ1c2VySWQiOiIxNTY4Mzk3OTE4In0=</vt:lpwstr>
  </property>
</Properties>
</file>