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rPr>
          <w:rFonts w:hint="eastAsia" w:ascii="仿宋" w:hAnsi="仿宋" w:eastAsia="仿宋" w:cs="仿宋"/>
          <w:b/>
          <w:color w:val="auto"/>
          <w:sz w:val="72"/>
          <w:szCs w:val="72"/>
          <w:highlight w:val="none"/>
        </w:rPr>
      </w:pPr>
      <w:bookmarkStart w:id="0" w:name="OLE_LINK4"/>
      <w:bookmarkStart w:id="1" w:name="OLE_LINK1"/>
      <w:bookmarkStart w:id="2" w:name="OLE_LINK2"/>
      <w:r>
        <w:rPr>
          <w:rFonts w:hint="eastAsia" w:ascii="仿宋" w:hAnsi="仿宋" w:eastAsia="仿宋" w:cs="仿宋"/>
          <w:b/>
          <w:color w:val="auto"/>
          <w:sz w:val="72"/>
          <w:szCs w:val="72"/>
          <w:highlight w:val="none"/>
        </w:rPr>
        <w:t xml:space="preserve">  </w:t>
      </w:r>
    </w:p>
    <w:p>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
          <w:color w:val="auto"/>
          <w:sz w:val="28"/>
          <w:szCs w:val="28"/>
          <w:highlight w:val="none"/>
        </w:rPr>
      </w:pPr>
    </w:p>
    <w:p>
      <w:pPr>
        <w:spacing w:line="500" w:lineRule="exact"/>
        <w:jc w:val="center"/>
        <w:rPr>
          <w:rFonts w:hint="eastAsia" w:ascii="仿宋" w:hAnsi="仿宋" w:eastAsia="仿宋" w:cs="仿宋"/>
          <w:bCs/>
          <w:color w:val="auto"/>
          <w:sz w:val="28"/>
          <w:szCs w:val="28"/>
          <w:highlight w:val="none"/>
        </w:rPr>
      </w:pPr>
    </w:p>
    <w:p>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ZCB-YN-2025020</w:t>
      </w:r>
    </w:p>
    <w:p>
      <w:pPr>
        <w:jc w:val="center"/>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惠州市第一妇幼保健院2025年医用冰箱采购项目</w:t>
      </w:r>
    </w:p>
    <w:p>
      <w:pPr>
        <w:jc w:val="both"/>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p>
    <w:p>
      <w:pPr>
        <w:pStyle w:val="3"/>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rPr>
        <w:t>月</w:t>
      </w:r>
    </w:p>
    <w:p>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pPr>
        <w:pStyle w:val="2"/>
        <w:rPr>
          <w:rFonts w:hint="eastAsia"/>
          <w:color w:val="auto"/>
          <w:highlight w:val="none"/>
          <w:lang w:eastAsia="zh-CN"/>
        </w:rPr>
      </w:pPr>
    </w:p>
    <w:p>
      <w:pPr>
        <w:pStyle w:val="11"/>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惠州市第一妇幼保健院2025年医用冰箱采购项目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ZCB-YN-2025020</w:t>
      </w:r>
    </w:p>
    <w:p>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惠州市第一妇幼保健院2025年医用冰箱采购项目</w:t>
      </w:r>
    </w:p>
    <w:p>
      <w:pPr>
        <w:spacing w:line="420" w:lineRule="exact"/>
        <w:ind w:firstLine="504"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5"/>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tblPrEx>
          <w:tblCellMar>
            <w:top w:w="0" w:type="dxa"/>
            <w:left w:w="108" w:type="dxa"/>
            <w:bottom w:w="0" w:type="dxa"/>
            <w:right w:w="108" w:type="dxa"/>
          </w:tblCellMar>
        </w:tblPrEx>
        <w:trPr>
          <w:trHeight w:val="645"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tblPrEx>
          <w:tblCellMar>
            <w:top w:w="0" w:type="dxa"/>
            <w:left w:w="108" w:type="dxa"/>
            <w:bottom w:w="0" w:type="dxa"/>
            <w:right w:w="108" w:type="dxa"/>
          </w:tblCellMar>
        </w:tblPrEx>
        <w:trPr>
          <w:trHeight w:val="971"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惠州市第一妇幼保健院2025年医用冰箱采购项目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套</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70000.00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eastAsia="zh-CN"/>
              </w:rPr>
              <w:t>技术要求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pPr>
        <w:spacing w:line="420" w:lineRule="exact"/>
        <w:ind w:firstLine="504" w:firstLineChars="210"/>
        <w:rPr>
          <w:rFonts w:hint="eastAsia" w:ascii="仿宋" w:hAnsi="仿宋" w:eastAsia="仿宋" w:cs="仿宋"/>
          <w:color w:val="auto"/>
          <w:sz w:val="24"/>
          <w:highlight w:val="none"/>
          <w:lang w:val="zh-CN"/>
        </w:rPr>
      </w:pPr>
    </w:p>
    <w:p>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日起至</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00</w:t>
      </w:r>
      <w:r>
        <w:rPr>
          <w:rFonts w:hint="eastAsia" w:ascii="仿宋" w:hAnsi="仿宋" w:eastAsia="仿宋" w:cs="仿宋"/>
          <w:color w:val="auto"/>
          <w:sz w:val="24"/>
          <w:highlight w:val="none"/>
        </w:rPr>
        <w:t>分（北京时间）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pPr>
        <w:spacing w:line="420" w:lineRule="exact"/>
        <w:rPr>
          <w:rFonts w:hint="eastAsia" w:ascii="仿宋" w:hAnsi="仿宋" w:eastAsia="仿宋" w:cs="仿宋"/>
          <w:color w:val="auto"/>
          <w:sz w:val="24"/>
          <w:highlight w:val="none"/>
        </w:rPr>
      </w:pPr>
    </w:p>
    <w:p>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李工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17"/>
        <w:rPr>
          <w:rFonts w:hint="eastAsia"/>
          <w:color w:val="auto"/>
          <w:highlight w:val="none"/>
          <w:lang w:val="en-US" w:eastAsia="zh-CN"/>
        </w:rPr>
      </w:pPr>
    </w:p>
    <w:p>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420" w:lineRule="exact"/>
        <w:ind w:firstLine="3720" w:firstLineChars="1550"/>
        <w:jc w:val="righ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pPr>
        <w:spacing w:line="420" w:lineRule="exact"/>
        <w:ind w:firstLine="4800" w:firstLineChars="20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2025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日</w:t>
      </w:r>
    </w:p>
    <w:p>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pPr>
        <w:numPr>
          <w:ilvl w:val="0"/>
          <w:numId w:val="1"/>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tabs>
          <w:tab w:val="left" w:pos="0"/>
        </w:tabs>
        <w:wordWrap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内部的财务报表复印件（新成立公司提供成立至今的月或季度财务报表复印件）；或③截至</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文件递交截止日</w:t>
      </w:r>
      <w:r>
        <w:rPr>
          <w:rFonts w:hint="eastAsia" w:ascii="仿宋" w:hAnsi="仿宋" w:eastAsia="仿宋" w:cs="仿宋"/>
          <w:color w:val="auto"/>
          <w:sz w:val="24"/>
          <w:szCs w:val="24"/>
          <w:highlight w:val="none"/>
          <w:lang w:eastAsia="zh-CN"/>
        </w:rPr>
        <w:t>12个月内银行</w:t>
      </w:r>
      <w:r>
        <w:rPr>
          <w:rFonts w:hint="eastAsia" w:ascii="仿宋" w:hAnsi="仿宋" w:eastAsia="仿宋" w:cs="仿宋"/>
          <w:color w:val="auto"/>
          <w:sz w:val="24"/>
          <w:szCs w:val="24"/>
          <w:highlight w:val="none"/>
        </w:rPr>
        <w:t>出具的资信证明（复印件）；</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tabs>
          <w:tab w:val="left" w:pos="0"/>
        </w:tabs>
        <w:wordWrap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b w:val="0"/>
          <w:bCs w:val="0"/>
          <w:color w:val="auto"/>
          <w:sz w:val="24"/>
          <w:highlight w:val="none"/>
          <w:lang w:eastAsia="zh-CN"/>
        </w:rPr>
        <w:t>或书面声明</w:t>
      </w:r>
      <w:r>
        <w:rPr>
          <w:rFonts w:hint="eastAsia" w:ascii="仿宋" w:hAnsi="仿宋" w:eastAsia="仿宋" w:cs="仿宋"/>
          <w:b w:val="0"/>
          <w:bCs w:val="0"/>
          <w:color w:val="auto"/>
          <w:sz w:val="24"/>
          <w:highlight w:val="none"/>
        </w:rPr>
        <w:t>；</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4.为本采购项目提供整体设计、规范编制或者项目管理、监理、检测等服务的供应商，不得再参加本采购项目的采购活动。</w:t>
      </w:r>
      <w:r>
        <w:rPr>
          <w:rFonts w:hint="eastAsia" w:ascii="仿宋" w:hAnsi="仿宋" w:eastAsia="仿宋" w:cs="仿宋"/>
          <w:b/>
          <w:bCs/>
          <w:color w:val="auto"/>
          <w:sz w:val="24"/>
          <w:highlight w:val="none"/>
          <w:lang w:val="zh-CN"/>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p>
      <w:pPr>
        <w:tabs>
          <w:tab w:val="left" w:pos="0"/>
        </w:tabs>
        <w:wordWrap w:val="0"/>
        <w:spacing w:line="360" w:lineRule="auto"/>
        <w:ind w:firstLine="480" w:firstLineChars="200"/>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8.已在医院办公室报名。</w:t>
      </w:r>
    </w:p>
    <w:p>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响应供应商必须满足以上资格要求，如出现对任意一条不满足的，资格性审查将不通过。</w:t>
      </w:r>
    </w:p>
    <w:p>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pPr>
        <w:autoSpaceDE w:val="0"/>
        <w:autoSpaceDN w:val="0"/>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eastAsia="zh-CN"/>
        </w:rPr>
        <w:t>项目概况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我院拟建设生物样本库，需要配备医用冷藏冷冻箱及医用超低温冰箱各1套</w:t>
      </w:r>
      <w:r>
        <w:rPr>
          <w:rFonts w:hint="eastAsia" w:ascii="仿宋" w:hAnsi="仿宋" w:eastAsia="仿宋" w:cs="仿宋"/>
          <w:color w:val="auto"/>
          <w:sz w:val="24"/>
          <w:highlight w:val="none"/>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医美中心申购一套医用冷</w:t>
      </w:r>
      <w:bookmarkStart w:id="34" w:name="_GoBack"/>
      <w:bookmarkEnd w:id="34"/>
      <w:r>
        <w:rPr>
          <w:rFonts w:hint="default" w:ascii="仿宋" w:hAnsi="仿宋" w:eastAsia="仿宋" w:cs="仿宋"/>
          <w:color w:val="auto"/>
          <w:sz w:val="24"/>
          <w:highlight w:val="none"/>
          <w:lang w:val="en-US" w:eastAsia="zh-CN"/>
        </w:rPr>
        <w:t>藏箱，用于肉毒素的存放</w:t>
      </w:r>
      <w:r>
        <w:rPr>
          <w:rFonts w:hint="eastAsia" w:ascii="仿宋" w:hAnsi="仿宋" w:eastAsia="仿宋" w:cs="仿宋"/>
          <w:color w:val="auto"/>
          <w:sz w:val="24"/>
          <w:highlight w:val="none"/>
          <w:lang w:val="en-US" w:eastAsia="zh-CN"/>
        </w:rPr>
        <w:t>；</w:t>
      </w:r>
      <w:r>
        <w:rPr>
          <w:rFonts w:hint="default" w:ascii="仿宋" w:hAnsi="仿宋" w:eastAsia="仿宋" w:cs="仿宋"/>
          <w:color w:val="auto"/>
          <w:sz w:val="24"/>
          <w:highlight w:val="none"/>
          <w:lang w:val="en-US" w:eastAsia="zh-CN"/>
        </w:rPr>
        <w:t>药剂科申购一套医用冷藏箱，用于中药的存放。</w:t>
      </w:r>
    </w:p>
    <w:p>
      <w:pPr>
        <w:numPr>
          <w:ilvl w:val="0"/>
          <w:numId w:val="2"/>
        </w:num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项目内容及技术参数：</w:t>
      </w:r>
    </w:p>
    <w:p>
      <w:pPr>
        <w:numPr>
          <w:ilvl w:val="0"/>
          <w:numId w:val="0"/>
        </w:numPr>
        <w:autoSpaceDE w:val="0"/>
        <w:autoSpaceDN w:val="0"/>
        <w:spacing w:line="360" w:lineRule="auto"/>
        <w:ind w:firstLine="241" w:firstLineChars="1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zh-CN" w:eastAsia="zh-CN"/>
        </w:rPr>
        <w:t>（一）设备清单</w:t>
      </w:r>
    </w:p>
    <w:tbl>
      <w:tblPr>
        <w:tblStyle w:val="15"/>
        <w:tblW w:w="9750" w:type="dxa"/>
        <w:jc w:val="center"/>
        <w:tblLayout w:type="fixed"/>
        <w:tblCellMar>
          <w:top w:w="0" w:type="dxa"/>
          <w:left w:w="0" w:type="dxa"/>
          <w:bottom w:w="0" w:type="dxa"/>
          <w:right w:w="0" w:type="dxa"/>
        </w:tblCellMar>
      </w:tblPr>
      <w:tblGrid>
        <w:gridCol w:w="635"/>
        <w:gridCol w:w="2251"/>
        <w:gridCol w:w="645"/>
        <w:gridCol w:w="1500"/>
        <w:gridCol w:w="1440"/>
        <w:gridCol w:w="1125"/>
        <w:gridCol w:w="837"/>
        <w:gridCol w:w="1317"/>
      </w:tblGrid>
      <w:tr>
        <w:tblPrEx>
          <w:tblCellMar>
            <w:top w:w="0" w:type="dxa"/>
            <w:left w:w="0" w:type="dxa"/>
            <w:bottom w:w="0" w:type="dxa"/>
            <w:right w:w="0" w:type="dxa"/>
          </w:tblCellMar>
        </w:tblPrEx>
        <w:trPr>
          <w:trHeight w:val="90" w:hRule="atLeast"/>
          <w:jc w:val="center"/>
        </w:trPr>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设备名称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数量（套）</w:t>
            </w:r>
          </w:p>
        </w:tc>
        <w:tc>
          <w:tcPr>
            <w:tcW w:w="1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单价最高限价</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（万元）</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总价最高限</w:t>
            </w:r>
          </w:p>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价（万元）</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整机质保（年）</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是否允许进口</w:t>
            </w:r>
          </w:p>
        </w:tc>
        <w:tc>
          <w:tcPr>
            <w:tcW w:w="13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是否核心产品</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医用冷藏冷冻箱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（-80℃）医用超低温冰箱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3.6</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是</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（2-8℃）医用冷藏箱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0.7</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0.7</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r>
        <w:tblPrEx>
          <w:tblCellMar>
            <w:top w:w="0" w:type="dxa"/>
            <w:left w:w="0" w:type="dxa"/>
            <w:bottom w:w="0" w:type="dxa"/>
            <w:right w:w="0" w:type="dxa"/>
          </w:tblCellMar>
        </w:tblPrEx>
        <w:trPr>
          <w:trHeight w:val="433" w:hRule="atLeast"/>
          <w:jc w:val="center"/>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（2-8℃）医用冷藏箱</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14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≥5</w:t>
            </w:r>
          </w:p>
        </w:tc>
        <w:tc>
          <w:tcPr>
            <w:tcW w:w="83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c>
          <w:tcPr>
            <w:tcW w:w="13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否</w:t>
            </w:r>
          </w:p>
        </w:tc>
      </w:tr>
    </w:tbl>
    <w:p>
      <w:pPr>
        <w:numPr>
          <w:ilvl w:val="0"/>
          <w:numId w:val="0"/>
        </w:numPr>
        <w:spacing w:line="380" w:lineRule="exact"/>
        <w:jc w:val="both"/>
        <w:rPr>
          <w:rFonts w:hint="eastAsia" w:ascii="仿宋" w:hAnsi="仿宋" w:eastAsia="仿宋" w:cs="仿宋"/>
          <w:b/>
          <w:color w:val="auto"/>
          <w:sz w:val="24"/>
          <w:szCs w:val="24"/>
          <w:highlight w:val="none"/>
          <w:lang w:val="en-US" w:eastAsia="zh-CN"/>
        </w:rPr>
      </w:pPr>
    </w:p>
    <w:p>
      <w:pPr>
        <w:numPr>
          <w:ilvl w:val="0"/>
          <w:numId w:val="0"/>
        </w:numPr>
        <w:spacing w:line="380" w:lineRule="exact"/>
        <w:ind w:firstLine="241" w:firstLineChars="100"/>
        <w:jc w:val="both"/>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（二）其他要求</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所投产</w:t>
      </w:r>
      <w:r>
        <w:rPr>
          <w:rFonts w:hint="eastAsia" w:ascii="仿宋" w:hAnsi="仿宋" w:eastAsia="仿宋" w:cs="仿宋"/>
          <w:color w:val="auto"/>
        </w:rPr>
        <w:t>品纳入医疗器械管理的，提供以下材料（如国家另有规定，则适用其规定）：第二类或第三类医疗器械产品，须提供产品合法有效的《中华人民共和国医疗器械注册证》扫描件，且所投产品型号必须与医疗器械注册证显示型号一致（注册证过期的，须提供网上可以查询的延期公告，如因其他特殊原因查询不到，须提供监督管理局受理的医疗器械注册延期通知书；涉及型号变更的须提供监督管理部门审核通过的变更文件）。 第一类医疗器械产品，须提供产品《第一类医疗器械备案凭证》。所提供配置必须至少包括注册证结构与组成列明部分，且应符合注册证注册的产品技术要求</w:t>
      </w:r>
      <w:r>
        <w:rPr>
          <w:rFonts w:hint="eastAsia" w:ascii="仿宋" w:hAnsi="仿宋" w:eastAsia="仿宋" w:cs="仿宋"/>
          <w:color w:val="auto"/>
          <w:lang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241" w:firstLineChars="100"/>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（三）技术参数及配置清单</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1.医用冷藏冷冻箱</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▲（1）有效容积：≥300L（冷藏约≥187L、冷冻≥113L）。</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（2）内部结构：冷藏室≥2层钢丝搁架，冷冻室≥3个ABS抽屉。</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（3）箱体底部配四个脚轮，带有锁定装置，便于移动和安放。</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（4） LCD数字温度显示，运行状态一目了然，可根据用户需求设定高低温报警温度点。</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lang w:val="en-US" w:eastAsia="zh-CN"/>
        </w:rPr>
        <w:t>（5）微电脑温度控制系统，冷藏温度2～8℃、冷冻温度-10～-26℃可调，</w:t>
      </w:r>
      <w:r>
        <w:rPr>
          <w:rFonts w:hint="eastAsia" w:ascii="仿宋" w:hAnsi="仿宋" w:eastAsia="仿宋" w:cs="仿宋"/>
          <w:color w:val="auto"/>
          <w:sz w:val="24"/>
          <w:highlight w:val="none"/>
          <w:lang w:val="en-US" w:eastAsia="zh-CN"/>
        </w:rPr>
        <w:t>显示精度1℃。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（6）冷藏温度和冷冻温度同时显示，冷藏室、冷冻室可分别单独关闭。</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▲（7）双压缩机双系统，上冷藏室和下冷冻室可独立控制运行，其中一个出现故障不影响另外一个正常运行使用。</w:t>
      </w:r>
    </w:p>
    <w:p>
      <w:pPr>
        <w:pStyle w:val="2"/>
        <w:ind w:firstLine="480" w:firstLineChars="200"/>
        <w:rPr>
          <w:rFonts w:hint="eastAsia"/>
          <w:color w:val="auto"/>
          <w:lang w:val="en-US" w:eastAsia="zh-CN"/>
        </w:rPr>
      </w:pPr>
      <w:r>
        <w:rPr>
          <w:rFonts w:hint="eastAsia" w:ascii="仿宋" w:hAnsi="仿宋" w:eastAsia="仿宋" w:cs="仿宋"/>
          <w:color w:val="auto"/>
          <w:sz w:val="24"/>
          <w:highlight w:val="none"/>
          <w:lang w:val="en-US" w:eastAsia="zh-CN"/>
        </w:rPr>
        <w:t>（8）带自动化霜功能。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①主机一台</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②搁板≥2个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③抽屉≥3个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2.（-80℃）医用超低温冰箱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▲（1）有效容积≥330L，立式。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（2）微电脑温度控制系统，温度-40℃~-86℃范围内。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▲（3）制冷系统：采用压缩机，低噪音风机。冷凝器散热风机可根据压缩机运行状态智能开停，带自动化霜功能。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（4）万向脚轮：标配四个万向脚轮，方便移动安放。</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（5）屏显功能：高清晰LED数码温度显示，显示精度0.1℃。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（6）制冷工质：无氟环保制冷工艺,制冷剂用量符合国家安全标准，明确制冷剂用量。</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（8）数据存储与导出：标配USB数据导出接口，接入U盘可自动存储当月及上月数据，可保存温度数据≥20年以上。</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（9）≥3层不锈钢搁板，高度可调。</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（10）测试孔：配1个温度测试孔，方便测试温度。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②搁板≥3个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③支架≥2个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3.（2-8℃）医用冷藏箱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（1）有效容积≥300L，立式，单门。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（2）制冷方式:风冷.</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（3）门体带锁设计。</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（4）微电脑温度控制系统，冷藏温度2～8℃</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（5）箱体底部配四个脚轮，带有锁定装置。</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（6）测试孔：配1个温度测试孔，方便测试温度。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（7）自动化霜功能。</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②搁板≥4个</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4.（2-8℃）医用冷藏箱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（1）有效容积≥1000L，立式，双门。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▲（2）微电脑温度控制系统，冷藏温度2～8℃，大屏温度显示，显示精度：0.1℃，调节精度0.1℃；</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（3）风道式强制冷气循环系统，确保箱体内部温度均匀性。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（4）风冷式高效冷凝器，翅片式蒸发器，冷藏内置吸风风扇，制冷迅速；具备自然化霜功能。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（5）报警模式：具备高低温、开门、电压异常、断电报警、传感器故障、冷凝器散热差、系统故障等声光报警功能，物品存储更安全。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（6）当控制/报警传感器发生故障时，压缩机以开机5分钟、停机6分钟规律运作，确保物品存储安全。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（7）门开风扇电机停止运行，门关风扇电机自动开始运行。 </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▲（8）门体带锁设计。</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（9）自锁万向脚轮设计，移动固定方便。</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（10）USB数据导出接口，接入U盘可自动存储当月及上月数据。U盘持续连接可自动持续存储温度数据。蓄电池可提供不少于48小时报警及为温度记录打印机、USB端口供电。</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（11）箱体配1个测试孔，方便测试箱内温度。</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（12）配置清单：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①主机1套</w:t>
      </w:r>
    </w:p>
    <w:p>
      <w:pPr>
        <w:spacing w:line="360" w:lineRule="auto"/>
        <w:ind w:firstLine="504" w:firstLineChars="210"/>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4"/>
          <w:highlight w:val="none"/>
          <w:lang w:val="en-US" w:eastAsia="zh-CN"/>
        </w:rPr>
        <w:t>②搁板≥12个</w:t>
      </w:r>
    </w:p>
    <w:p>
      <w:pPr>
        <w:numPr>
          <w:ilvl w:val="0"/>
          <w:numId w:val="0"/>
        </w:numPr>
        <w:spacing w:line="360" w:lineRule="auto"/>
        <w:ind w:firstLine="281" w:firstLineChars="100"/>
        <w:rPr>
          <w:rFonts w:hint="eastAsia" w:ascii="仿宋" w:hAnsi="仿宋" w:eastAsia="仿宋" w:cs="仿宋"/>
          <w:b/>
          <w:bCs/>
          <w:color w:val="auto"/>
          <w:kern w:val="0"/>
          <w:sz w:val="24"/>
          <w:szCs w:val="24"/>
          <w:highlight w:val="none"/>
          <w:lang w:val="zh-CN" w:eastAsia="zh-CN" w:bidi="ar-SA"/>
        </w:rPr>
      </w:pP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bCs/>
          <w:color w:val="auto"/>
          <w:kern w:val="0"/>
          <w:sz w:val="24"/>
          <w:szCs w:val="24"/>
          <w:highlight w:val="none"/>
          <w:lang w:val="zh-CN" w:eastAsia="zh-CN" w:bidi="ar-SA"/>
        </w:rPr>
        <w:t>五、商务要求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供货要求</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交货期 ：合同签订之日起</w:t>
      </w: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rPr>
        <w:t>天内完成供货、安装与调试，并完成对使用单位相关人员的操作与使用培训。</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2.交货</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lang w:eastAsia="zh-CN"/>
        </w:rPr>
        <w:t>第一妇幼保健院</w:t>
      </w:r>
      <w:r>
        <w:rPr>
          <w:rFonts w:hint="eastAsia" w:ascii="仿宋" w:hAnsi="仿宋" w:eastAsia="仿宋" w:cs="仿宋"/>
          <w:color w:val="auto"/>
          <w:sz w:val="24"/>
          <w:highlight w:val="none"/>
        </w:rPr>
        <w:t>指定地点。</w:t>
      </w:r>
    </w:p>
    <w:p>
      <w:pPr>
        <w:tabs>
          <w:tab w:val="left" w:pos="540"/>
        </w:tabs>
        <w:spacing w:line="360" w:lineRule="auto"/>
        <w:ind w:firstLine="480"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二</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报价方式及要求</w:t>
      </w:r>
    </w:p>
    <w:p>
      <w:pPr>
        <w:spacing w:line="360" w:lineRule="auto"/>
        <w:ind w:firstLine="504" w:firstLineChars="21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响应供应商需提供总报价及单价报价，报价应包括运送到指定地点并完成调试安装交付正常使用的所有费用。包含包装费、仓储费、运输费、保险费、装卸费、随机零配件、标配工具、安装调试费、培训费、保修服务费、商检费、首次检测/计量检定费、税费、设备以及项目实施过程中的应预见或不可预见费用。货物报价不得高于单价最高限价或总价最高限价，否则按响应无效处理。</w:t>
      </w:r>
    </w:p>
    <w:p>
      <w:pPr>
        <w:spacing w:line="360" w:lineRule="auto"/>
        <w:ind w:firstLine="504" w:firstLineChars="21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响应供应商报价明显低于通过符合性审查的其他响应供应商报价或报价低于市场成本价的，响应供应商的响应文件必须提供书面说明和成本清单、成本发票、销售发票等相关证明材料，供评审小组评审，若评审小组评审此材料影响服务质量或者不能诚信履约的（少数服从多数原则），按响应无效处理。</w:t>
      </w:r>
    </w:p>
    <w:p>
      <w:pPr>
        <w:tabs>
          <w:tab w:val="left" w:pos="540"/>
        </w:tabs>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付款期限及方式</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1.合同签订生效后1个月内，采购人向</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支付合同总额的30%预付款；</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2.设备验收合格当天计算1个月内，采购人向</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支付合同总额的70%；</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3.采购人通过银行转账的方式支付给</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，且</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应向采购人出具合法有效完整的完税发票及凭证进行支付结算。</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4.该合同款项（部分）由财政拨付，如非因</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原因，而是因财政资金没有及时拨付到位而导致延期支付的，</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对此予以谅解，不予追究</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任何违约责任。</w:t>
      </w:r>
    </w:p>
    <w:p>
      <w:p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验收标准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1.货物为原制造商制造的全新产品，且设备生产日期不超过半年，整机无污染，无侵权行为、表面无划损、无任何缺陷隐患，在中国境内可依常规安全合法使用。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验收标准以成交供应商的响应文件中所列的指标为准（该指标应不低于比选文件所要求的指标）。验收时如发现成交供应商在响应时存在虚假指标响应情况，采购人将取消合同并依法追究成交供应商的责任，成交供应商必须承担由此给采购人带来的一切经济损失。</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3.货物须为原厂原装的，原厂商未启封全新包装，序列号、包装箱号与出厂批号一致，并可追索查阅。</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成交供应商应将关键应交付产品合格证（或质量证明）、使用说明（纸质版及电子版）、保修手册、保修证明、发票和其他应具有的单证及配备件、随机工具等交付给采购人，使用操作及安全须知等重要资料应附有中文说明。</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5.验收时间：成交供应商按采购人要求，将设备在指定地点安装、调试、培训至正常使用后，由成交供应商方提出验收申请，采购人接到验收申请后壹个月内组织验收。</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6.成交供应商验收时须一并提供所有产品生产商负责售后服务的承诺函并加盖生产商公章。</w:t>
      </w:r>
    </w:p>
    <w:p>
      <w:pPr>
        <w:spacing w:line="360" w:lineRule="auto"/>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质保期及售后服务要求</w:t>
      </w:r>
    </w:p>
    <w:p>
      <w:pPr>
        <w:spacing w:line="360" w:lineRule="auto"/>
        <w:ind w:firstLine="443" w:firstLineChars="21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lang w:val="en-US" w:eastAsia="zh-CN"/>
        </w:rPr>
        <w:t>★</w:t>
      </w:r>
      <w:r>
        <w:rPr>
          <w:rFonts w:hint="eastAsia" w:ascii="仿宋" w:hAnsi="仿宋" w:eastAsia="仿宋" w:cs="仿宋"/>
          <w:b/>
          <w:bCs/>
          <w:color w:val="auto"/>
          <w:sz w:val="24"/>
          <w:highlight w:val="none"/>
          <w:lang w:val="en-US" w:eastAsia="zh-CN"/>
        </w:rPr>
        <w:t>1.质保期：质保期≥5年。</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质保期内非采购人的人为原因而出现产品质量及安装问题，由</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负责包修、包换包退、包维护保养，并承担因此而产生的一切费用。</w:t>
      </w:r>
      <w:r>
        <w:rPr>
          <w:rFonts w:hint="eastAsia" w:ascii="仿宋" w:hAnsi="仿宋" w:eastAsia="仿宋" w:cs="仿宋"/>
          <w:color w:val="auto"/>
          <w:kern w:val="0"/>
          <w:sz w:val="24"/>
          <w:szCs w:val="24"/>
          <w:lang w:val="en-US" w:eastAsia="zh-CN" w:bidi="ar-SA"/>
        </w:rPr>
        <w:t>质保期内至少提供一年两次的上门维保服务，并提供维保报告。成交供应商负责</w:t>
      </w:r>
      <w:r>
        <w:rPr>
          <w:rFonts w:hint="eastAsia" w:ascii="仿宋" w:hAnsi="仿宋" w:eastAsia="仿宋" w:cs="仿宋"/>
          <w:color w:val="auto"/>
          <w:sz w:val="24"/>
          <w:highlight w:val="none"/>
        </w:rPr>
        <w:t>终身维修，质保期过后维修时不收取维修费，只收取零件成本费用。（不得高于同期市场价格）</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质保期内，如设备或零部件因非人为因素出现故障而造成短期停用时，则质保期和维修期相应顺延。如接采购人故障通知后停用时间累计超过60天则质保期重新计算。</w:t>
      </w:r>
    </w:p>
    <w:p>
      <w:pPr>
        <w:spacing w:line="360" w:lineRule="auto"/>
        <w:ind w:firstLine="504" w:firstLineChars="21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对采购人的服务通知，</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接报后2小时内做出回应,并在48小时内派人员到达用户现场实施维修并排除故障。若在48小时内仍未能有效解决，</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须提供同</w:t>
      </w:r>
      <w:r>
        <w:rPr>
          <w:rFonts w:hint="eastAsia" w:ascii="仿宋" w:hAnsi="仿宋" w:eastAsia="仿宋" w:cs="仿宋"/>
          <w:color w:val="auto"/>
          <w:sz w:val="24"/>
          <w:highlight w:val="none"/>
          <w:lang w:eastAsia="zh-CN"/>
        </w:rPr>
        <w:t>类型</w:t>
      </w:r>
      <w:r>
        <w:rPr>
          <w:rFonts w:hint="eastAsia" w:ascii="仿宋" w:hAnsi="仿宋" w:eastAsia="仿宋" w:cs="仿宋"/>
          <w:color w:val="auto"/>
          <w:sz w:val="24"/>
          <w:highlight w:val="none"/>
        </w:rPr>
        <w:t>的设备予采购人临时使用。</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（六）</w:t>
      </w:r>
      <w:r>
        <w:rPr>
          <w:rFonts w:hint="eastAsia" w:ascii="仿宋" w:hAnsi="仿宋" w:eastAsia="仿宋" w:cs="仿宋"/>
          <w:color w:val="auto"/>
          <w:sz w:val="24"/>
          <w:highlight w:val="none"/>
          <w:lang w:val="en-US" w:eastAsia="zh-CN"/>
        </w:rPr>
        <w:t>安装与调试</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lang w:val="en-US" w:eastAsia="zh-CN"/>
        </w:rPr>
        <w:t>必须依照采购文件的要求和报价文件的承诺，将设备、系统安装并调试至正常运行的最佳状态。</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2.按法定要求进行计量检定的设备，采购人验收完成后，当年的《计量检定证》由成交供应商负责办理，以后每年由采购人负责办理。</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（七）其他</w:t>
      </w:r>
    </w:p>
    <w:p>
      <w:pPr>
        <w:spacing w:line="360" w:lineRule="auto"/>
        <w:ind w:firstLine="504"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1.服务要求：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lang w:val="en-US" w:eastAsia="zh-CN"/>
        </w:rPr>
        <w:t>需配备可满足项目正常实施开展的服务团队人员，以及提供内容全面、完善，安排合理的组织实施方案等。</w:t>
      </w:r>
    </w:p>
    <w:p>
      <w:pPr>
        <w:spacing w:line="360" w:lineRule="auto"/>
        <w:ind w:firstLine="504" w:firstLineChars="21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2.经验要求：</w:t>
      </w:r>
      <w:r>
        <w:rPr>
          <w:rFonts w:hint="eastAsia" w:ascii="仿宋" w:hAnsi="仿宋" w:eastAsia="仿宋" w:cs="仿宋"/>
          <w:color w:val="auto"/>
          <w:sz w:val="24"/>
          <w:highlight w:val="none"/>
          <w:lang w:eastAsia="zh-CN"/>
        </w:rPr>
        <w:t>供应商应</w:t>
      </w:r>
      <w:r>
        <w:rPr>
          <w:rFonts w:hint="eastAsia" w:ascii="仿宋" w:hAnsi="仿宋" w:eastAsia="仿宋" w:cs="仿宋"/>
          <w:color w:val="auto"/>
          <w:sz w:val="24"/>
          <w:highlight w:val="none"/>
          <w:lang w:val="en-US" w:eastAsia="zh-CN"/>
        </w:rPr>
        <w:t>具有同类型项目业绩。</w:t>
      </w: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left"/>
        <w:rPr>
          <w:rFonts w:hint="eastAsia" w:ascii="仿宋" w:hAnsi="仿宋" w:eastAsia="仿宋" w:cs="仿宋"/>
          <w:color w:val="auto"/>
          <w:sz w:val="24"/>
          <w:highlight w:val="none"/>
          <w:lang w:val="en-US" w:eastAsia="zh-CN"/>
        </w:rPr>
      </w:pPr>
    </w:p>
    <w:p>
      <w:pPr>
        <w:spacing w:line="360" w:lineRule="auto"/>
        <w:ind w:firstLine="504"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pPr>
        <w:pStyle w:val="8"/>
        <w:adjustRightInd w:val="0"/>
        <w:snapToGrid w:val="0"/>
        <w:spacing w:line="380" w:lineRule="exact"/>
        <w:rPr>
          <w:rFonts w:hint="eastAsia" w:ascii="仿宋" w:hAnsi="仿宋" w:eastAsia="仿宋" w:cs="仿宋"/>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pPr>
        <w:pStyle w:val="8"/>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是采购活动当事人之一，负责项目的整体规划、技术方案可行性设计论证与实施，作为合同采购方（用户）的主体承担质疑回复、履行合同、验收与评价等义务。</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pPr>
        <w:pStyle w:val="8"/>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pPr>
        <w:pStyle w:val="8"/>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pPr>
        <w:pStyle w:val="8"/>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pPr>
        <w:pStyle w:val="8"/>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pPr>
        <w:pStyle w:val="8"/>
        <w:adjustRightInd w:val="0"/>
        <w:snapToGrid w:val="0"/>
        <w:spacing w:line="360" w:lineRule="auto"/>
        <w:ind w:firstLine="480"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pPr>
        <w:pStyle w:val="8"/>
        <w:adjustRightInd w:val="0"/>
        <w:snapToGrid w:val="0"/>
        <w:spacing w:line="360" w:lineRule="auto"/>
        <w:ind w:firstLine="482"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pPr>
        <w:pStyle w:val="8"/>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pPr>
        <w:pStyle w:val="8"/>
        <w:adjustRightInd w:val="0"/>
        <w:snapToGrid w:val="0"/>
        <w:spacing w:line="360" w:lineRule="auto"/>
        <w:ind w:firstLine="482"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3" w:name="_Toc14923_WPSOffice_Level1"/>
      <w:r>
        <w:rPr>
          <w:rFonts w:hint="eastAsia" w:ascii="仿宋" w:hAnsi="仿宋" w:eastAsia="仿宋" w:cs="仿宋"/>
          <w:b w:val="0"/>
          <w:bCs/>
          <w:color w:val="auto"/>
          <w:sz w:val="24"/>
          <w:szCs w:val="24"/>
          <w:highlight w:val="none"/>
        </w:rPr>
        <w:t>同小型、微型</w:t>
      </w:r>
      <w:bookmarkEnd w:id="3"/>
      <w:r>
        <w:rPr>
          <w:rFonts w:hint="eastAsia" w:ascii="仿宋" w:hAnsi="仿宋" w:eastAsia="仿宋" w:cs="仿宋"/>
          <w:b w:val="0"/>
          <w:bCs/>
          <w:color w:val="auto"/>
          <w:sz w:val="24"/>
          <w:szCs w:val="24"/>
          <w:highlight w:val="none"/>
        </w:rPr>
        <w:t>企业，享受评审中价格扣除。</w:t>
      </w:r>
    </w:p>
    <w:p>
      <w:pPr>
        <w:pStyle w:val="8"/>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pPr>
        <w:pStyle w:val="8"/>
        <w:adjustRightInd w:val="0"/>
        <w:snapToGrid w:val="0"/>
        <w:spacing w:line="360" w:lineRule="auto"/>
        <w:ind w:firstLine="482"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pPr>
        <w:pStyle w:val="8"/>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8"/>
        <w:adjustRightInd w:val="0"/>
        <w:snapToGrid w:val="0"/>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pPr>
        <w:pStyle w:val="8"/>
        <w:adjustRightInd w:val="0"/>
        <w:snapToGrid w:val="0"/>
        <w:spacing w:line="360" w:lineRule="auto"/>
        <w:ind w:firstLine="480"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pPr>
        <w:pStyle w:val="8"/>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w:t>
      </w:r>
      <w:r>
        <w:rPr>
          <w:rFonts w:hint="eastAsia" w:ascii="仿宋" w:hAnsi="仿宋" w:eastAsia="仿宋" w:cs="仿宋"/>
          <w:color w:val="auto"/>
          <w:sz w:val="24"/>
          <w:szCs w:val="24"/>
          <w:highlight w:val="none"/>
          <w:lang w:val="en-US" w:eastAsia="zh-CN"/>
        </w:rPr>
        <w:t>部门</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pPr>
        <w:pStyle w:val="8"/>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pPr>
        <w:pStyle w:val="8"/>
        <w:adjustRightInd w:val="0"/>
        <w:snapToGrid w:val="0"/>
        <w:spacing w:line="360" w:lineRule="auto"/>
        <w:ind w:firstLine="482"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pPr>
        <w:pStyle w:val="8"/>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pPr>
        <w:pStyle w:val="8"/>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pPr>
        <w:pStyle w:val="8"/>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pPr>
        <w:pStyle w:val="8"/>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pPr>
        <w:pStyle w:val="8"/>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pPr>
        <w:pStyle w:val="8"/>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pPr>
        <w:pStyle w:val="8"/>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pPr>
        <w:pStyle w:val="8"/>
        <w:widowControl/>
        <w:numPr>
          <w:ilvl w:val="0"/>
          <w:numId w:val="0"/>
        </w:numPr>
        <w:adjustRightInd w:val="0"/>
        <w:snapToGrid w:val="0"/>
        <w:spacing w:line="360" w:lineRule="auto"/>
        <w:ind w:firstLine="482"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pPr>
        <w:pStyle w:val="8"/>
        <w:adjustRightInd w:val="0"/>
        <w:snapToGrid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pPr>
        <w:pStyle w:val="8"/>
        <w:adjustRightInd w:val="0"/>
        <w:snapToGrid w:val="0"/>
        <w:spacing w:line="360" w:lineRule="auto"/>
        <w:ind w:right="32" w:firstLine="482"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pPr>
        <w:pStyle w:val="8"/>
        <w:adjustRightInd w:val="0"/>
        <w:snapToGrid w:val="0"/>
        <w:spacing w:line="360" w:lineRule="auto"/>
        <w:ind w:right="0" w:firstLine="480"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pPr>
        <w:pStyle w:val="8"/>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pPr>
        <w:pStyle w:val="8"/>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pPr>
        <w:pStyle w:val="8"/>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pPr>
        <w:pStyle w:val="8"/>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pPr>
        <w:pStyle w:val="8"/>
        <w:adjustRightInd w:val="0"/>
        <w:snapToGrid w:val="0"/>
        <w:spacing w:line="360" w:lineRule="auto"/>
        <w:ind w:right="32" w:firstLine="460"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pPr>
        <w:pStyle w:val="8"/>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pPr>
        <w:autoSpaceDE w:val="0"/>
        <w:autoSpaceDN w:val="0"/>
        <w:adjustRightInd w:val="0"/>
        <w:snapToGrid w:val="0"/>
        <w:spacing w:line="360" w:lineRule="auto"/>
        <w:ind w:right="32"/>
        <w:rPr>
          <w:rFonts w:hint="eastAsia" w:ascii="仿宋" w:hAnsi="仿宋" w:eastAsia="仿宋" w:cs="仿宋"/>
          <w:b/>
          <w:color w:val="auto"/>
          <w:sz w:val="24"/>
          <w:highlight w:val="none"/>
        </w:rPr>
      </w:pPr>
    </w:p>
    <w:p>
      <w:pPr>
        <w:autoSpaceDE w:val="0"/>
        <w:autoSpaceDN w:val="0"/>
        <w:adjustRightInd w:val="0"/>
        <w:snapToGrid w:val="0"/>
        <w:spacing w:line="360" w:lineRule="auto"/>
        <w:ind w:right="32"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pPr>
        <w:autoSpaceDE w:val="0"/>
        <w:autoSpaceDN w:val="0"/>
        <w:adjustRightInd w:val="0"/>
        <w:snapToGrid w:val="0"/>
        <w:spacing w:line="360" w:lineRule="auto"/>
        <w:ind w:right="32" w:firstLine="458"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pPr>
        <w:pStyle w:val="8"/>
        <w:adjustRightInd w:val="0"/>
        <w:snapToGrid w:val="0"/>
        <w:spacing w:line="360" w:lineRule="auto"/>
        <w:ind w:right="32" w:firstLine="460"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5760" w:type="dxa"/>
            <w:noWrap w:val="0"/>
            <w:vAlign w:val="center"/>
          </w:tcPr>
          <w:p>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7.信用记录</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8.控股关系</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9.不得参加本项目情况</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10.联合体</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11.企业资质</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供应商为生产企业:所投产品为第二、三类医疗器械，提供有效的《医疗器械生产许可证》;供应商为经营企业:所投产品 为第三类医疗器械，提供有效的《医疗器械经营许可证》。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12.落实政府采购政策需满足的资格要求</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1" w:type="dxa"/>
            <w:vMerge w:val="continue"/>
            <w:noWrap w:val="0"/>
            <w:vAlign w:val="center"/>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13.报名</w:t>
            </w:r>
          </w:p>
        </w:tc>
        <w:tc>
          <w:tcPr>
            <w:tcW w:w="57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实质性（“★”项）商务条款是否全部完全响应；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实质性（“★”项）技术要求条款是否全部完全响应；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报价方案是唯一确定、报价合理。分项报价要求，各分项报价不得高于各分项最高预算单价，合计总报价是固定唯一价且无超出采购预算或最高限价；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5760" w:type="dxa"/>
            <w:noWrap w:val="0"/>
            <w:vAlign w:val="center"/>
          </w:tcPr>
          <w:p>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pPr>
        <w:pStyle w:val="8"/>
        <w:adjustRightInd w:val="0"/>
        <w:snapToGrid w:val="0"/>
        <w:spacing w:line="360" w:lineRule="auto"/>
        <w:ind w:right="32"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pPr>
        <w:pStyle w:val="8"/>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pPr>
        <w:pStyle w:val="8"/>
        <w:adjustRightInd w:val="0"/>
        <w:snapToGrid w:val="0"/>
        <w:spacing w:line="360" w:lineRule="auto"/>
        <w:ind w:right="32" w:firstLine="458"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5"/>
        <w:tblW w:w="8729" w:type="dxa"/>
        <w:tblInd w:w="0" w:type="dxa"/>
        <w:tblLayout w:type="fixed"/>
        <w:tblCellMar>
          <w:top w:w="0" w:type="dxa"/>
          <w:left w:w="108" w:type="dxa"/>
          <w:bottom w:w="0" w:type="dxa"/>
          <w:right w:w="108" w:type="dxa"/>
        </w:tblCellMar>
      </w:tblPr>
      <w:tblGrid>
        <w:gridCol w:w="750"/>
        <w:gridCol w:w="1224"/>
        <w:gridCol w:w="1284"/>
        <w:gridCol w:w="5471"/>
      </w:tblGrid>
      <w:tr>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对用户服务需求</w:t>
            </w:r>
            <w:r>
              <w:rPr>
                <w:rFonts w:hint="eastAsia" w:ascii="仿宋" w:hAnsi="仿宋" w:eastAsia="仿宋" w:cs="仿宋"/>
                <w:color w:val="auto"/>
                <w:kern w:val="0"/>
                <w:sz w:val="24"/>
                <w:szCs w:val="24"/>
                <w:highlight w:val="none"/>
                <w:lang w:eastAsia="zh-CN"/>
              </w:rPr>
              <w:t>中</w:t>
            </w:r>
            <w:r>
              <w:rPr>
                <w:rFonts w:hint="eastAsia" w:ascii="仿宋" w:hAnsi="仿宋" w:eastAsia="仿宋" w:cs="仿宋"/>
                <w:color w:val="auto"/>
                <w:kern w:val="0"/>
                <w:sz w:val="24"/>
                <w:szCs w:val="24"/>
                <w:highlight w:val="none"/>
              </w:rPr>
              <w:t>带▲号的响应程度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所投产品参数全部满足用户需求书中带▲的重要技术参数的，得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分；一项不满足得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分；两项不满足得</w:t>
            </w:r>
            <w:r>
              <w:rPr>
                <w:rFonts w:hint="eastAsia" w:ascii="仿宋" w:hAnsi="仿宋" w:eastAsia="仿宋" w:cs="仿宋"/>
                <w:color w:val="auto"/>
                <w:kern w:val="0"/>
                <w:sz w:val="24"/>
                <w:szCs w:val="24"/>
                <w:highlight w:val="none"/>
                <w:lang w:val="en-US" w:eastAsia="zh-CN"/>
              </w:rPr>
              <w:t>12</w:t>
            </w:r>
            <w:r>
              <w:rPr>
                <w:rFonts w:hint="eastAsia" w:ascii="仿宋" w:hAnsi="仿宋" w:eastAsia="仿宋" w:cs="仿宋"/>
                <w:color w:val="auto"/>
                <w:kern w:val="0"/>
                <w:sz w:val="24"/>
                <w:szCs w:val="24"/>
                <w:highlight w:val="none"/>
              </w:rPr>
              <w:t>分；如此类推，每不满足一项带▲的重要技术参数的得分减少3分，当达到</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项或以上时，视为严重偏离本项不得分。</w:t>
            </w:r>
          </w:p>
          <w:p>
            <w:pPr>
              <w:widowControl/>
              <w:jc w:val="left"/>
              <w:rPr>
                <w:rFonts w:hint="eastAsia" w:ascii="仿宋" w:hAnsi="仿宋" w:eastAsia="仿宋" w:cs="仿宋"/>
                <w:color w:val="auto"/>
                <w:kern w:val="0"/>
                <w:sz w:val="24"/>
                <w:szCs w:val="24"/>
                <w:highlight w:val="none"/>
                <w:lang w:eastAsia="zh-CN"/>
              </w:rPr>
            </w:pPr>
            <w:r>
              <w:rPr>
                <w:rFonts w:hint="default"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rPr>
              <w:t>所有</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应提供</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产品技术证明文件如</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有权视相应技术参数响应不符合</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（如厂家的产品使用说明书为英文版，请同时提供中文版）</w:t>
            </w:r>
          </w:p>
        </w:tc>
      </w:tr>
      <w:tr>
        <w:tblPrEx>
          <w:tblCellMar>
            <w:top w:w="0" w:type="dxa"/>
            <w:left w:w="108" w:type="dxa"/>
            <w:bottom w:w="0" w:type="dxa"/>
            <w:right w:w="108" w:type="dxa"/>
          </w:tblCellMar>
        </w:tblPrEx>
        <w:trPr>
          <w:trHeight w:val="362"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对用户服务需求不带▲号的响应程度 </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22</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所提供的服务是否满足用户需求</w:t>
            </w:r>
            <w:r>
              <w:rPr>
                <w:rFonts w:hint="eastAsia" w:ascii="仿宋" w:hAnsi="仿宋" w:eastAsia="仿宋" w:cs="仿宋"/>
                <w:color w:val="auto"/>
                <w:kern w:val="0"/>
                <w:sz w:val="24"/>
                <w:szCs w:val="24"/>
                <w:highlight w:val="none"/>
                <w:lang w:eastAsia="zh-CN"/>
              </w:rPr>
              <w:t>书</w:t>
            </w:r>
            <w:r>
              <w:rPr>
                <w:rFonts w:hint="eastAsia" w:ascii="仿宋" w:hAnsi="仿宋" w:eastAsia="仿宋" w:cs="仿宋"/>
                <w:color w:val="auto"/>
                <w:kern w:val="0"/>
                <w:sz w:val="24"/>
                <w:szCs w:val="24"/>
                <w:highlight w:val="none"/>
              </w:rPr>
              <w:t>响应程度进行评分：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完全满足</w:t>
            </w:r>
            <w:r>
              <w:rPr>
                <w:rFonts w:hint="eastAsia" w:ascii="仿宋" w:hAnsi="仿宋" w:eastAsia="仿宋" w:cs="仿宋"/>
                <w:color w:val="auto"/>
                <w:kern w:val="0"/>
                <w:sz w:val="24"/>
                <w:szCs w:val="24"/>
                <w:highlight w:val="none"/>
              </w:rPr>
              <w:t>不带▲号的一般技术参数，得</w:t>
            </w:r>
            <w:r>
              <w:rPr>
                <w:rFonts w:hint="eastAsia" w:ascii="仿宋" w:hAnsi="仿宋" w:eastAsia="仿宋" w:cs="仿宋"/>
                <w:color w:val="auto"/>
                <w:kern w:val="0"/>
                <w:sz w:val="24"/>
                <w:szCs w:val="24"/>
                <w:highlight w:val="none"/>
                <w:lang w:val="en-US" w:eastAsia="zh-CN"/>
              </w:rPr>
              <w:t>22</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有一项不带▲号条款负偏离，得</w:t>
            </w:r>
            <w:r>
              <w:rPr>
                <w:rFonts w:hint="eastAsia" w:ascii="仿宋" w:hAnsi="仿宋" w:eastAsia="仿宋" w:cs="仿宋"/>
                <w:color w:val="auto"/>
                <w:kern w:val="0"/>
                <w:sz w:val="24"/>
                <w:szCs w:val="24"/>
                <w:highlight w:val="none"/>
                <w:lang w:val="en-US" w:eastAsia="zh-CN"/>
              </w:rPr>
              <w:t>21</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有二项不带▲号条款负偏离，得</w:t>
            </w:r>
            <w:r>
              <w:rPr>
                <w:rFonts w:hint="eastAsia" w:ascii="仿宋" w:hAnsi="仿宋" w:eastAsia="仿宋" w:cs="仿宋"/>
                <w:color w:val="auto"/>
                <w:kern w:val="0"/>
                <w:sz w:val="24"/>
                <w:szCs w:val="24"/>
                <w:highlight w:val="none"/>
                <w:lang w:val="en-US" w:eastAsia="zh-CN"/>
              </w:rPr>
              <w:t>20</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有三项不带▲号条款负偏离，得</w:t>
            </w:r>
            <w:r>
              <w:rPr>
                <w:rFonts w:hint="eastAsia" w:ascii="仿宋" w:hAnsi="仿宋" w:eastAsia="仿宋" w:cs="仿宋"/>
                <w:color w:val="auto"/>
                <w:kern w:val="0"/>
                <w:sz w:val="24"/>
                <w:szCs w:val="24"/>
                <w:highlight w:val="none"/>
                <w:lang w:val="en-US" w:eastAsia="zh-CN"/>
              </w:rPr>
              <w:t>19</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有四项不带▲号条款负偏离，得</w:t>
            </w:r>
            <w:r>
              <w:rPr>
                <w:rFonts w:hint="eastAsia" w:ascii="仿宋" w:hAnsi="仿宋" w:eastAsia="仿宋" w:cs="仿宋"/>
                <w:color w:val="auto"/>
                <w:kern w:val="0"/>
                <w:sz w:val="24"/>
                <w:szCs w:val="24"/>
                <w:highlight w:val="none"/>
                <w:lang w:val="en-US" w:eastAsia="zh-CN"/>
              </w:rPr>
              <w:t>18</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有五项不带▲号条款负偏离，得</w:t>
            </w:r>
            <w:r>
              <w:rPr>
                <w:rFonts w:hint="eastAsia" w:ascii="仿宋" w:hAnsi="仿宋" w:eastAsia="仿宋" w:cs="仿宋"/>
                <w:color w:val="auto"/>
                <w:kern w:val="0"/>
                <w:sz w:val="24"/>
                <w:szCs w:val="24"/>
                <w:highlight w:val="none"/>
                <w:lang w:val="en-US" w:eastAsia="zh-CN"/>
              </w:rPr>
              <w:t>17</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以此类推，当不带▲号条款负偏离达到</w:t>
            </w:r>
            <w:r>
              <w:rPr>
                <w:rFonts w:hint="eastAsia" w:ascii="仿宋" w:hAnsi="仿宋" w:eastAsia="仿宋" w:cs="仿宋"/>
                <w:color w:val="auto"/>
                <w:kern w:val="0"/>
                <w:sz w:val="24"/>
                <w:szCs w:val="24"/>
                <w:highlight w:val="none"/>
                <w:lang w:val="en-US" w:eastAsia="zh-CN"/>
              </w:rPr>
              <w:t>11</w:t>
            </w:r>
            <w:r>
              <w:rPr>
                <w:rFonts w:hint="eastAsia" w:ascii="仿宋" w:hAnsi="仿宋" w:eastAsia="仿宋" w:cs="仿宋"/>
                <w:color w:val="auto"/>
                <w:kern w:val="0"/>
                <w:sz w:val="24"/>
                <w:szCs w:val="24"/>
                <w:highlight w:val="none"/>
              </w:rPr>
              <w:t>项（含）以上时，视为严重偏离此评分项不得分。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color w:val="auto"/>
                <w:kern w:val="0"/>
                <w:sz w:val="24"/>
                <w:szCs w:val="24"/>
                <w:highlight w:val="none"/>
                <w:lang w:eastAsia="zh-CN"/>
              </w:rPr>
              <w:t>采购</w:t>
            </w:r>
            <w:r>
              <w:rPr>
                <w:rFonts w:hint="eastAsia" w:ascii="仿宋" w:hAnsi="仿宋" w:eastAsia="仿宋" w:cs="仿宋"/>
                <w:color w:val="auto"/>
                <w:kern w:val="0"/>
                <w:sz w:val="24"/>
                <w:szCs w:val="24"/>
                <w:highlight w:val="none"/>
              </w:rPr>
              <w:t>文件未要求提供证明材料的技术参数，以</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文件格式技术和服务要求响应表为准。</w:t>
            </w:r>
          </w:p>
        </w:tc>
      </w:tr>
      <w:tr>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项目实施组织情况</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组织实施方案清晰、全面、合理，施工方案科学可操作性强，进度安排合理，组织、实施计划有条理性的，得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组织实施方案较清晰、较全面、较合理，施工方案可行，进度安排较合理，组织、实施计划基本有条理性的，得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组织实施方案简单、基本合理，施工方案科学基本可行，进度安排一般，组织、实施计划欠缺条理性的，得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的履约能力</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根据</w:t>
            </w:r>
            <w:r>
              <w:rPr>
                <w:rFonts w:hint="eastAsia" w:ascii="仿宋" w:hAnsi="仿宋" w:eastAsia="仿宋" w:cs="仿宋"/>
                <w:color w:val="auto"/>
                <w:kern w:val="0"/>
                <w:sz w:val="24"/>
                <w:szCs w:val="24"/>
                <w:highlight w:val="none"/>
                <w:lang w:val="en-GB"/>
              </w:rPr>
              <w:t>各</w:t>
            </w:r>
            <w:r>
              <w:rPr>
                <w:rFonts w:hint="eastAsia" w:ascii="仿宋" w:hAnsi="仿宋" w:eastAsia="仿宋" w:cs="仿宋"/>
                <w:color w:val="auto"/>
                <w:kern w:val="0"/>
                <w:sz w:val="24"/>
                <w:szCs w:val="24"/>
                <w:highlight w:val="none"/>
                <w:lang w:val="en-GB" w:eastAsia="zh-CN"/>
              </w:rPr>
              <w:t xml:space="preserve">响应供应商为本项目投入的项目团队、人员构成、分工及送货时效及培训计划等（包含但不限于团队分组、人员名单、履约进度表、培训计划等内容）进行综合评比：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1.响应供应商为本项目投入的项目团队、人员构成合理且分工明确，培训计划可行，能够安全、快捷地将货物运送至采购人指定地点的，得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2.项目团队、人员构成及分工较为合理且有一定分工，培训计划较可行，能够按规定将货物运送至采购人指定地点的，得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GB" w:eastAsia="zh-CN"/>
              </w:rPr>
              <w:t>分；</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GB" w:eastAsia="zh-CN"/>
              </w:rPr>
              <w:t>3.项目团队、人员构成及分工有缺陷且有分工不明确，培训计划不可行，不能保证货物按时运送至采购人指定地点的，得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GB" w:eastAsia="zh-CN"/>
              </w:rPr>
              <w:t xml:space="preserve">分。 </w:t>
            </w:r>
          </w:p>
          <w:p>
            <w:pPr>
              <w:widowControl/>
              <w:jc w:val="left"/>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en-GB"/>
              </w:rPr>
              <w:t>无提供不得分。</w:t>
            </w:r>
          </w:p>
        </w:tc>
      </w:tr>
      <w:tr>
        <w:tblPrEx>
          <w:tblCellMar>
            <w:top w:w="0" w:type="dxa"/>
            <w:left w:w="108" w:type="dxa"/>
            <w:bottom w:w="0" w:type="dxa"/>
            <w:right w:w="108" w:type="dxa"/>
          </w:tblCellMar>
        </w:tblPrEx>
        <w:trPr>
          <w:trHeight w:val="37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拟投入本项目</w:t>
            </w:r>
            <w:r>
              <w:rPr>
                <w:rFonts w:hint="eastAsia" w:ascii="仿宋" w:hAnsi="仿宋" w:eastAsia="仿宋" w:cs="仿宋"/>
                <w:color w:val="auto"/>
                <w:kern w:val="0"/>
                <w:sz w:val="24"/>
                <w:szCs w:val="24"/>
                <w:highlight w:val="none"/>
                <w:lang w:eastAsia="zh-CN"/>
              </w:rPr>
              <w:t>的项目负责人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根据各</w:t>
            </w: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拟投入本项目的项目负责人进行评分：</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eastAsia="zh-CN"/>
              </w:rPr>
              <w:t>响应供应商</w:t>
            </w:r>
            <w:r>
              <w:rPr>
                <w:rFonts w:hint="eastAsia" w:ascii="仿宋" w:hAnsi="仿宋" w:eastAsia="仿宋" w:cs="仿宋"/>
                <w:color w:val="auto"/>
                <w:kern w:val="0"/>
                <w:sz w:val="24"/>
                <w:szCs w:val="24"/>
                <w:highlight w:val="none"/>
                <w:lang w:val="en-GB"/>
              </w:rPr>
              <w:t>需提供1名项目负责人，负责项目全流程。</w:t>
            </w:r>
          </w:p>
          <w:p>
            <w:pPr>
              <w:widowControl/>
              <w:jc w:val="left"/>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（所投人员需提供近半年内任意一个月的社保缴纳证明文件复印件，无提供不得分。）</w:t>
            </w:r>
          </w:p>
        </w:tc>
      </w:tr>
      <w:tr>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GB"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自2021年1月1日至今，各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每提供一份同类业绩</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 xml:space="preserve">2 分，最多得10分。 </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注：</w:t>
            </w:r>
            <w:r>
              <w:rPr>
                <w:rFonts w:hint="eastAsia" w:ascii="仿宋" w:hAnsi="仿宋" w:eastAsia="仿宋" w:cs="仿宋"/>
                <w:color w:val="auto"/>
                <w:kern w:val="0"/>
                <w:sz w:val="24"/>
                <w:szCs w:val="24"/>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w:t>
            </w:r>
            <w:r>
              <w:rPr>
                <w:rFonts w:hint="eastAsia" w:ascii="仿宋" w:hAnsi="仿宋" w:eastAsia="仿宋" w:cs="仿宋"/>
                <w:color w:val="auto"/>
                <w:kern w:val="0"/>
                <w:sz w:val="24"/>
                <w:szCs w:val="24"/>
                <w:highlight w:val="none"/>
                <w:lang w:val="en-US" w:eastAsia="zh-CN"/>
              </w:rPr>
              <w:t>。</w:t>
            </w:r>
          </w:p>
          <w:p>
            <w:pPr>
              <w:widowControl/>
              <w:jc w:val="left"/>
              <w:rPr>
                <w:rFonts w:hint="eastAsia" w:ascii="仿宋" w:hAnsi="仿宋" w:eastAsia="仿宋" w:cs="仿宋"/>
                <w:color w:val="auto"/>
                <w:kern w:val="0"/>
                <w:sz w:val="24"/>
                <w:szCs w:val="24"/>
                <w:highlight w:val="none"/>
                <w:lang w:val="en-GB" w:eastAsia="zh-Hans"/>
              </w:rPr>
            </w:pPr>
            <w:r>
              <w:rPr>
                <w:rFonts w:hint="eastAsia" w:ascii="仿宋" w:hAnsi="仿宋" w:eastAsia="仿宋" w:cs="仿宋"/>
                <w:color w:val="auto"/>
                <w:kern w:val="0"/>
                <w:sz w:val="24"/>
                <w:szCs w:val="24"/>
                <w:highlight w:val="none"/>
              </w:rPr>
              <w:t>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对各</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kern w:val="0"/>
                <w:sz w:val="24"/>
                <w:szCs w:val="24"/>
                <w:highlight w:val="none"/>
              </w:rPr>
              <w:t>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售后服务方案（包括质保期、维护保养方案、应急维修时间、维修的及时性、安排的合理性等）详细、具体，完全满足</w:t>
            </w:r>
            <w:r>
              <w:rPr>
                <w:rFonts w:hint="eastAsia" w:ascii="仿宋" w:hAnsi="仿宋" w:eastAsia="仿宋" w:cs="仿宋"/>
                <w:color w:val="auto"/>
                <w:kern w:val="0"/>
                <w:sz w:val="24"/>
                <w:szCs w:val="24"/>
                <w:highlight w:val="none"/>
                <w:lang w:eastAsia="zh-CN"/>
              </w:rPr>
              <w:t>且</w:t>
            </w:r>
            <w:r>
              <w:rPr>
                <w:rFonts w:hint="eastAsia" w:ascii="仿宋" w:hAnsi="仿宋" w:eastAsia="仿宋" w:cs="仿宋"/>
                <w:color w:val="auto"/>
                <w:kern w:val="0"/>
                <w:sz w:val="24"/>
                <w:szCs w:val="24"/>
                <w:highlight w:val="none"/>
              </w:rPr>
              <w:t>优于</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周全</w:t>
            </w:r>
            <w:r>
              <w:rPr>
                <w:rFonts w:hint="eastAsia" w:ascii="仿宋" w:hAnsi="仿宋" w:eastAsia="仿宋" w:cs="仿宋"/>
                <w:color w:val="auto"/>
                <w:kern w:val="0"/>
                <w:sz w:val="24"/>
                <w:szCs w:val="24"/>
                <w:highlight w:val="none"/>
              </w:rPr>
              <w:t>详尽，得</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 xml:space="preserve">分； </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售后服务方案（包括质保期、维护保养方案、应急维修时间、维修的及时性、安排的合理性等）基本详细、具体，满足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w:t>
            </w:r>
            <w:r>
              <w:rPr>
                <w:rFonts w:hint="eastAsia" w:ascii="仿宋" w:hAnsi="仿宋" w:eastAsia="仿宋" w:cs="仿宋"/>
                <w:color w:val="auto"/>
                <w:kern w:val="0"/>
                <w:sz w:val="24"/>
                <w:szCs w:val="24"/>
                <w:highlight w:val="none"/>
                <w:lang w:eastAsia="zh-CN"/>
              </w:rPr>
              <w:t>满足</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售后服务方案（包括质保期、维护保养方案、应急维修时间、维修的及时性、安排的合理性等）不详细、具体，基本满足</w:t>
            </w:r>
            <w:r>
              <w:rPr>
                <w:rFonts w:hint="eastAsia" w:ascii="仿宋" w:hAnsi="仿宋" w:eastAsia="仿宋" w:cs="仿宋"/>
                <w:color w:val="auto"/>
                <w:kern w:val="0"/>
                <w:sz w:val="24"/>
                <w:szCs w:val="24"/>
                <w:highlight w:val="none"/>
                <w:lang w:eastAsia="zh-CN"/>
              </w:rPr>
              <w:t>比选文件</w:t>
            </w:r>
            <w:r>
              <w:rPr>
                <w:rFonts w:hint="eastAsia" w:ascii="仿宋" w:hAnsi="仿宋" w:eastAsia="仿宋" w:cs="仿宋"/>
                <w:color w:val="auto"/>
                <w:kern w:val="0"/>
                <w:sz w:val="24"/>
                <w:szCs w:val="24"/>
                <w:highlight w:val="none"/>
              </w:rPr>
              <w:t>要求</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各阶段服务计划不</w:t>
            </w:r>
            <w:r>
              <w:rPr>
                <w:rFonts w:hint="eastAsia" w:ascii="仿宋" w:hAnsi="仿宋" w:eastAsia="仿宋" w:cs="仿宋"/>
                <w:color w:val="auto"/>
                <w:kern w:val="0"/>
                <w:sz w:val="24"/>
                <w:szCs w:val="24"/>
                <w:highlight w:val="none"/>
                <w:lang w:eastAsia="zh-CN"/>
              </w:rPr>
              <w:t>完全</w:t>
            </w:r>
            <w:r>
              <w:rPr>
                <w:rFonts w:hint="eastAsia" w:ascii="仿宋" w:hAnsi="仿宋" w:eastAsia="仿宋" w:cs="仿宋"/>
                <w:color w:val="auto"/>
                <w:kern w:val="0"/>
                <w:sz w:val="24"/>
                <w:szCs w:val="24"/>
                <w:highlight w:val="none"/>
              </w:rPr>
              <w:t>齐全，得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p>
            <w:pPr>
              <w:widowControl/>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4.无提供不得分。</w:t>
            </w:r>
          </w:p>
        </w:tc>
      </w:tr>
      <w:tr>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pPr>
        <w:widowControl/>
        <w:jc w:val="center"/>
        <w:rPr>
          <w:rFonts w:hint="eastAsia" w:ascii="仿宋" w:hAnsi="仿宋" w:eastAsia="仿宋" w:cs="仿宋"/>
          <w:color w:val="auto"/>
          <w:kern w:val="0"/>
          <w:sz w:val="24"/>
          <w:szCs w:val="24"/>
          <w:highlight w:val="none"/>
        </w:rPr>
      </w:pPr>
    </w:p>
    <w:p>
      <w:pPr>
        <w:pStyle w:val="8"/>
        <w:adjustRightInd w:val="0"/>
        <w:snapToGrid w:val="0"/>
        <w:spacing w:line="360" w:lineRule="auto"/>
        <w:ind w:right="32" w:firstLine="458"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pPr>
        <w:autoSpaceDE w:val="0"/>
        <w:autoSpaceDN w:val="0"/>
        <w:adjustRightInd w:val="0"/>
        <w:snapToGrid w:val="0"/>
        <w:spacing w:line="360" w:lineRule="auto"/>
        <w:ind w:right="32" w:firstLine="458"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pPr>
        <w:pStyle w:val="8"/>
        <w:adjustRightInd w:val="0"/>
        <w:snapToGrid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公 示</w:t>
      </w:r>
    </w:p>
    <w:p>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pPr>
        <w:pStyle w:val="8"/>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pPr>
        <w:pStyle w:val="8"/>
        <w:adjustRightInd w:val="0"/>
        <w:snapToGrid w:val="0"/>
        <w:spacing w:line="360" w:lineRule="auto"/>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pPr>
        <w:pStyle w:val="8"/>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pPr>
        <w:pStyle w:val="8"/>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pPr>
        <w:pStyle w:val="8"/>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pPr>
        <w:pStyle w:val="8"/>
        <w:adjustRightInd w:val="0"/>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autoSpaceDE w:val="0"/>
        <w:autoSpaceDN w:val="0"/>
        <w:adjustRightInd w:val="0"/>
        <w:snapToGrid w:val="0"/>
        <w:spacing w:line="360" w:lineRule="auto"/>
        <w:ind w:right="32" w:firstLine="562"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pPr>
        <w:jc w:val="right"/>
        <w:rPr>
          <w:rFonts w:hint="eastAsia" w:ascii="仿宋" w:hAnsi="仿宋" w:eastAsia="仿宋" w:cs="仿宋"/>
          <w:color w:val="auto"/>
          <w:sz w:val="52"/>
          <w:highlight w:val="none"/>
        </w:rPr>
      </w:pPr>
      <w:r>
        <w:rPr>
          <w:rFonts w:hint="eastAsia" w:ascii="仿宋" w:hAnsi="仿宋" w:eastAsia="仿宋" w:cs="仿宋"/>
          <w:b/>
          <w:bCs/>
          <w:color w:val="auto"/>
          <w:sz w:val="24"/>
          <w:highlight w:val="none"/>
        </w:rPr>
        <w:t>合同编号：</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pacing w:before="100" w:beforeAutospacing="1" w:after="100" w:afterAutospacing="1"/>
        <w:ind w:left="2404"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pPr>
        <w:snapToGrid w:val="0"/>
        <w:spacing w:line="500" w:lineRule="exact"/>
        <w:jc w:val="both"/>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tbl>
      <w:tblPr>
        <w:tblStyle w:val="15"/>
        <w:tblpPr w:leftFromText="180" w:rightFromText="180" w:vertAnchor="text" w:horzAnchor="page" w:tblpX="2876" w:tblpY="387"/>
        <w:tblOverlap w:val="never"/>
        <w:tblW w:w="6629" w:type="dxa"/>
        <w:tblInd w:w="0" w:type="dxa"/>
        <w:tblLayout w:type="fixed"/>
        <w:tblCellMar>
          <w:top w:w="0" w:type="dxa"/>
          <w:left w:w="108" w:type="dxa"/>
          <w:bottom w:w="0" w:type="dxa"/>
          <w:right w:w="108" w:type="dxa"/>
        </w:tblCellMar>
      </w:tblPr>
      <w:tblGrid>
        <w:gridCol w:w="6629"/>
      </w:tblGrid>
      <w:tr>
        <w:tblPrEx>
          <w:tblCellMar>
            <w:top w:w="0" w:type="dxa"/>
            <w:left w:w="108" w:type="dxa"/>
            <w:bottom w:w="0" w:type="dxa"/>
            <w:right w:w="108" w:type="dxa"/>
          </w:tblCellMar>
        </w:tblPrEx>
        <w:trPr>
          <w:trHeight w:val="446" w:hRule="atLeast"/>
        </w:trPr>
        <w:tc>
          <w:tcPr>
            <w:tcW w:w="6629" w:type="dxa"/>
            <w:noWrap w:val="0"/>
            <w:vAlign w:val="top"/>
          </w:tcPr>
          <w:p>
            <w:pPr>
              <w:pStyle w:val="8"/>
              <w:spacing w:line="800" w:lineRule="exact"/>
              <w:jc w:val="left"/>
              <w:rPr>
                <w:rFonts w:hint="eastAsia" w:ascii="宋体" w:hAnsi="宋体" w:eastAsia="宋体"/>
                <w:b/>
                <w:color w:val="auto"/>
                <w:sz w:val="30"/>
                <w:szCs w:val="30"/>
                <w:highlight w:val="none"/>
                <w:lang w:eastAsia="zh-CN"/>
              </w:rPr>
            </w:pPr>
          </w:p>
          <w:p>
            <w:pPr>
              <w:pStyle w:val="8"/>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pPr>
              <w:pStyle w:val="8"/>
              <w:spacing w:line="800" w:lineRule="exact"/>
              <w:jc w:val="left"/>
              <w:rPr>
                <w:rFonts w:hint="eastAsia" w:hAnsi="宋体"/>
                <w:b/>
                <w:color w:val="auto"/>
                <w:sz w:val="30"/>
                <w:szCs w:val="30"/>
                <w:highlight w:val="none"/>
              </w:rPr>
            </w:pPr>
            <w:r>
              <w:rPr>
                <w:rFonts w:hint="eastAsia" w:hAnsi="宋体"/>
                <w:b/>
                <w:color w:val="auto"/>
                <w:sz w:val="30"/>
                <w:szCs w:val="30"/>
                <w:highlight w:val="none"/>
              </w:rPr>
              <w:t>项目名称：</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甲</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rPr>
            </w:pPr>
            <w:r>
              <w:rPr>
                <w:rFonts w:hint="eastAsia" w:hAnsi="宋体" w:cs="Times New Roman"/>
                <w:b/>
                <w:bCs/>
                <w:color w:val="auto"/>
                <w:sz w:val="30"/>
                <w:szCs w:val="30"/>
                <w:highlight w:val="none"/>
              </w:rPr>
              <w:t>乙</w:t>
            </w:r>
            <w:r>
              <w:rPr>
                <w:rFonts w:hint="eastAsia" w:hAnsi="宋体" w:cs="Times New Roman"/>
                <w:b/>
                <w:bCs/>
                <w:color w:val="auto"/>
                <w:sz w:val="30"/>
                <w:szCs w:val="30"/>
                <w:highlight w:val="none"/>
                <w:lang w:val="en-US" w:eastAsia="zh-CN"/>
              </w:rPr>
              <w:t xml:space="preserve">    </w:t>
            </w:r>
            <w:r>
              <w:rPr>
                <w:rFonts w:hint="eastAsia" w:hAnsi="宋体" w:cs="Times New Roman"/>
                <w:b/>
                <w:bCs/>
                <w:color w:val="auto"/>
                <w:sz w:val="30"/>
                <w:szCs w:val="30"/>
                <w:highlight w:val="none"/>
              </w:rPr>
              <w:t>方：</w:t>
            </w:r>
          </w:p>
          <w:p>
            <w:pPr>
              <w:pStyle w:val="8"/>
              <w:spacing w:line="800" w:lineRule="exact"/>
              <w:jc w:val="left"/>
              <w:rPr>
                <w:rFonts w:hint="eastAsia" w:hAnsi="宋体" w:cs="Times New Roman"/>
                <w:b/>
                <w:bCs/>
                <w:color w:val="auto"/>
                <w:sz w:val="30"/>
                <w:szCs w:val="30"/>
                <w:highlight w:val="none"/>
                <w:lang w:eastAsia="zh-CN"/>
              </w:rPr>
            </w:pPr>
          </w:p>
          <w:p>
            <w:pPr>
              <w:tabs>
                <w:tab w:val="left" w:pos="720"/>
              </w:tabs>
              <w:spacing w:line="360" w:lineRule="auto"/>
              <w:rPr>
                <w:rFonts w:ascii="宋体"/>
                <w:b/>
                <w:color w:val="auto"/>
                <w:sz w:val="30"/>
                <w:szCs w:val="30"/>
                <w:highlight w:val="none"/>
              </w:rPr>
            </w:pPr>
          </w:p>
        </w:tc>
      </w:tr>
    </w:tbl>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snapToGrid w:val="0"/>
        <w:spacing w:line="500" w:lineRule="exact"/>
        <w:jc w:val="center"/>
        <w:rPr>
          <w:rFonts w:hint="eastAsia" w:ascii="仿宋" w:hAnsi="仿宋" w:eastAsia="仿宋" w:cs="仿宋"/>
          <w:b/>
          <w:bCs/>
          <w:color w:val="auto"/>
          <w:sz w:val="48"/>
          <w:szCs w:val="48"/>
          <w:highlight w:val="none"/>
        </w:rPr>
      </w:pPr>
    </w:p>
    <w:p>
      <w:pPr>
        <w:autoSpaceDE w:val="0"/>
        <w:autoSpaceDN w:val="0"/>
        <w:adjustRightInd w:val="0"/>
        <w:snapToGrid w:val="0"/>
        <w:spacing w:line="440" w:lineRule="exact"/>
        <w:ind w:right="34" w:hanging="238"/>
        <w:jc w:val="center"/>
        <w:rPr>
          <w:rFonts w:hint="eastAsia" w:ascii="仿宋" w:hAnsi="仿宋" w:eastAsia="仿宋" w:cs="仿宋"/>
          <w:b/>
          <w:color w:val="auto"/>
          <w:sz w:val="28"/>
          <w:szCs w:val="28"/>
          <w:highlight w:val="none"/>
        </w:rPr>
      </w:pPr>
      <w:r>
        <w:rPr>
          <w:rFonts w:hint="eastAsia" w:ascii="仿宋" w:hAnsi="仿宋" w:eastAsia="仿宋"/>
          <w:b/>
          <w:color w:val="auto"/>
          <w:sz w:val="24"/>
          <w:highlight w:val="none"/>
        </w:rPr>
        <w:t>注：本合同仅为合同的参考文本，合同签订双方可根据项目的具体要求进行修订。</w:t>
      </w:r>
    </w:p>
    <w:p>
      <w:pPr>
        <w:snapToGrid w:val="0"/>
        <w:spacing w:line="500" w:lineRule="exact"/>
        <w:jc w:val="center"/>
        <w:rPr>
          <w:rFonts w:hint="eastAsia" w:ascii="仿宋" w:hAnsi="仿宋" w:eastAsia="仿宋" w:cs="仿宋"/>
          <w:b/>
          <w:bCs/>
          <w:color w:val="auto"/>
          <w:sz w:val="48"/>
          <w:szCs w:val="48"/>
          <w:highlight w:val="none"/>
        </w:rPr>
      </w:pPr>
    </w:p>
    <w:p>
      <w:pPr>
        <w:spacing w:line="360" w:lineRule="auto"/>
        <w:jc w:val="center"/>
        <w:rPr>
          <w:rFonts w:hint="eastAsia" w:ascii="宋体" w:hAnsi="宋体"/>
          <w:b/>
          <w:color w:val="auto"/>
          <w:sz w:val="44"/>
          <w:szCs w:val="44"/>
          <w:highlight w:val="none"/>
        </w:rPr>
      </w:pPr>
    </w:p>
    <w:p>
      <w:pPr>
        <w:spacing w:line="360" w:lineRule="auto"/>
        <w:jc w:val="center"/>
        <w:rPr>
          <w:rFonts w:ascii="宋体"/>
          <w:b/>
          <w:color w:val="auto"/>
          <w:sz w:val="44"/>
          <w:szCs w:val="44"/>
          <w:highlight w:val="none"/>
        </w:rPr>
      </w:pPr>
      <w:r>
        <w:rPr>
          <w:rFonts w:hint="eastAsia" w:ascii="宋体" w:hAnsi="宋体"/>
          <w:b/>
          <w:color w:val="auto"/>
          <w:sz w:val="44"/>
          <w:szCs w:val="44"/>
          <w:highlight w:val="none"/>
        </w:rPr>
        <w:t>合</w:t>
      </w:r>
      <w:r>
        <w:rPr>
          <w:rFonts w:hint="eastAsia" w:ascii="宋体" w:hAnsi="宋体"/>
          <w:b/>
          <w:color w:val="auto"/>
          <w:sz w:val="44"/>
          <w:szCs w:val="44"/>
          <w:highlight w:val="none"/>
          <w:lang w:val="en-US" w:eastAsia="zh-CN"/>
        </w:rPr>
        <w:t xml:space="preserve"> </w:t>
      </w:r>
      <w:r>
        <w:rPr>
          <w:rFonts w:hint="eastAsia" w:ascii="宋体" w:hAnsi="宋体"/>
          <w:b/>
          <w:color w:val="auto"/>
          <w:sz w:val="44"/>
          <w:szCs w:val="44"/>
          <w:highlight w:val="none"/>
        </w:rPr>
        <w:t>同</w:t>
      </w:r>
    </w:p>
    <w:p>
      <w:pPr>
        <w:spacing w:line="360" w:lineRule="auto"/>
        <w:jc w:val="center"/>
        <w:rPr>
          <w:rFonts w:ascii="宋体"/>
          <w:b/>
          <w:color w:val="auto"/>
          <w:sz w:val="44"/>
          <w:szCs w:val="44"/>
          <w:highlight w:val="none"/>
        </w:rPr>
      </w:pPr>
    </w:p>
    <w:p>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pPr>
        <w:tabs>
          <w:tab w:val="left" w:pos="7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pPr>
        <w:pStyle w:val="18"/>
        <w:numPr>
          <w:ilvl w:val="0"/>
          <w:numId w:val="3"/>
        </w:numPr>
        <w:tabs>
          <w:tab w:val="left" w:pos="960"/>
        </w:tabs>
        <w:spacing w:line="360" w:lineRule="auto"/>
        <w:ind w:firstLine="482" w:firstLineChars="200"/>
        <w:rPr>
          <w:rFonts w:hint="eastAsia" w:ascii="宋体" w:hAnsi="宋体"/>
          <w:b/>
          <w:color w:val="auto"/>
          <w:sz w:val="24"/>
          <w:highlight w:val="none"/>
        </w:rPr>
      </w:pPr>
      <w:r>
        <w:rPr>
          <w:rFonts w:hint="eastAsia" w:ascii="宋体" w:hAnsi="宋体"/>
          <w:b/>
          <w:color w:val="auto"/>
          <w:sz w:val="24"/>
          <w:highlight w:val="none"/>
        </w:rPr>
        <w:t>设备名称及价格</w:t>
      </w:r>
    </w:p>
    <w:tbl>
      <w:tblPr>
        <w:tblStyle w:val="15"/>
        <w:tblpPr w:leftFromText="180" w:rightFromText="180" w:vertAnchor="text" w:horzAnchor="page" w:tblpX="1364" w:tblpY="415"/>
        <w:tblOverlap w:val="never"/>
        <w:tblW w:w="9478"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gridCol w:w="1408"/>
      </w:tblGrid>
      <w:tr>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产品名称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制造商名称</w:t>
            </w:r>
          </w:p>
        </w:tc>
      </w:tr>
      <w:tr>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r>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4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r>
    </w:tbl>
    <w:p>
      <w:pPr>
        <w:pStyle w:val="18"/>
        <w:numPr>
          <w:ilvl w:val="0"/>
          <w:numId w:val="0"/>
        </w:numPr>
        <w:tabs>
          <w:tab w:val="left" w:pos="960"/>
        </w:tabs>
        <w:spacing w:line="360" w:lineRule="auto"/>
        <w:rPr>
          <w:rFonts w:hint="eastAsia" w:ascii="宋体" w:hAnsi="宋体"/>
          <w:b/>
          <w:color w:val="auto"/>
          <w:sz w:val="24"/>
          <w:highlight w:val="none"/>
        </w:rPr>
      </w:pPr>
    </w:p>
    <w:p>
      <w:pPr>
        <w:spacing w:line="360" w:lineRule="auto"/>
        <w:ind w:firstLine="480"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二、合同金额</w:t>
      </w:r>
    </w:p>
    <w:p>
      <w:pPr>
        <w:spacing w:line="360" w:lineRule="auto"/>
        <w:ind w:firstLine="480"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人民币元整；¥</w:t>
      </w:r>
      <w:r>
        <w:rPr>
          <w:rFonts w:hint="eastAsia" w:ascii="宋体" w:hAnsi="宋体" w:cs="宋体"/>
          <w:color w:val="auto"/>
          <w:kern w:val="0"/>
          <w:sz w:val="24"/>
          <w:szCs w:val="21"/>
          <w:highlight w:val="none"/>
          <w:u w:val="single"/>
          <w:lang w:val="en-US" w:eastAsia="zh-CN"/>
        </w:rPr>
        <w:t>.00</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highlight w:val="none"/>
        </w:rPr>
        <w:t>合同总额包含包装费、仓储费、运输费、保险费、装卸费、随机零配件、标配工具、安装调试费、培训费、保修服务费、商检费、首次检测/计量检定费、税费、设备以及项目实施过程中的应预见或不可预见费用。</w:t>
      </w:r>
    </w:p>
    <w:p>
      <w:pPr>
        <w:spacing w:line="360" w:lineRule="auto"/>
        <w:ind w:firstLine="482" w:firstLineChars="200"/>
        <w:rPr>
          <w:rFonts w:ascii="宋体"/>
          <w:b/>
          <w:color w:val="auto"/>
          <w:sz w:val="24"/>
          <w:highlight w:val="none"/>
        </w:rPr>
      </w:pPr>
      <w:r>
        <w:rPr>
          <w:rFonts w:hint="eastAsia" w:ascii="宋体" w:hAnsi="宋体"/>
          <w:b/>
          <w:color w:val="auto"/>
          <w:sz w:val="24"/>
          <w:highlight w:val="none"/>
        </w:rPr>
        <w:t>三、设备要求</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1.货物为原制造商制造的全新产品，整机无污染，无侵权行为、表面无划损、无任何缺陷隐患，在中国境内可依常规安全合法使用。</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2.交付验收标准</w:t>
      </w:r>
      <w:r>
        <w:rPr>
          <w:rFonts w:hint="eastAsia" w:ascii="宋体" w:hAnsi="宋体" w:eastAsia="宋体" w:cs="Times New Roman"/>
          <w:color w:val="auto"/>
          <w:sz w:val="24"/>
          <w:highlight w:val="none"/>
          <w:lang w:val="en-GB" w:eastAsia="zh-CN"/>
        </w:rPr>
        <w:t>依次序对照适用标准为：</w:t>
      </w:r>
      <w:r>
        <w:rPr>
          <w:rFonts w:hint="eastAsia" w:ascii="宋体" w:hAnsi="宋体" w:eastAsia="宋体" w:cs="Times New Roman"/>
          <w:color w:val="auto"/>
          <w:sz w:val="24"/>
          <w:highlight w:val="none"/>
          <w:lang w:val="en-US" w:eastAsia="zh-CN"/>
        </w:rPr>
        <w:t>①符合中华人民共和国国家安全质量标准、环保标准或行业标准；②符合采购文件和响应承诺中甲方认可的合理最佳配置、参数及各项要求；③货物来源国官方标准。</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3.进口产品必须具备原产地证明和商检局的检验证明及合法进货渠道证明。</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4.货物为原厂商未启封全新包装，具出厂合格证，序列号、包装箱号与出厂批号一致，并可追索查阅。</w:t>
      </w:r>
    </w:p>
    <w:p>
      <w:pPr>
        <w:tabs>
          <w:tab w:val="left" w:pos="360"/>
        </w:tabs>
        <w:spacing w:line="460" w:lineRule="exact"/>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5.乙方应将关键主机设备的用户手册、保修手册、有关单证资料及配备件、随机工具等交付给甲方，使用操作及安全须知等重要资料应附有中文说明。</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交货期：合同签订之日起</w:t>
      </w:r>
      <w:r>
        <w:rPr>
          <w:rFonts w:hint="eastAsia" w:ascii="宋体" w:hAnsi="宋体"/>
          <w:color w:val="auto"/>
          <w:sz w:val="24"/>
          <w:highlight w:val="none"/>
          <w:lang w:val="en-US" w:eastAsia="zh-CN"/>
        </w:rPr>
        <w:t>45天内</w:t>
      </w:r>
      <w:r>
        <w:rPr>
          <w:rFonts w:hint="eastAsia" w:ascii="宋体" w:hAnsi="宋体"/>
          <w:color w:val="auto"/>
          <w:sz w:val="24"/>
          <w:highlight w:val="none"/>
        </w:rPr>
        <w:t>完成设备的供货、安装与调试，并完成对使用单位相关人员的操作与使用培训</w:t>
      </w:r>
      <w:r>
        <w:rPr>
          <w:rFonts w:hint="eastAsia" w:ascii="宋体" w:hAnsi="宋体"/>
          <w:color w:val="auto"/>
          <w:sz w:val="24"/>
          <w:highlight w:val="none"/>
          <w:lang w:eastAsia="zh-CN"/>
        </w:rPr>
        <w:t>。</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pPr>
        <w:spacing w:line="460" w:lineRule="exact"/>
        <w:ind w:firstLine="480"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：甲方指定地点</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五、付款方式</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1.合同签订生效后1个月内，</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向</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支付合同总额的30%预付款；</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2.设备验收合格当天计算1个月内，</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向</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支付合同总额的70%；</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3.</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通过银行转账的方式支付给</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，且</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应向</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出具合法有效完整的完税发票及凭证进行支付结算。</w:t>
      </w:r>
    </w:p>
    <w:p>
      <w:pPr>
        <w:spacing w:line="460" w:lineRule="exact"/>
        <w:ind w:firstLine="480" w:firstLineChars="200"/>
        <w:rPr>
          <w:rFonts w:hint="eastAsia" w:ascii="宋体" w:hAnsi="宋体"/>
          <w:color w:val="auto"/>
          <w:sz w:val="24"/>
          <w:highlight w:val="none"/>
          <w:lang w:val="en-US"/>
        </w:rPr>
      </w:pPr>
      <w:r>
        <w:rPr>
          <w:rFonts w:hint="eastAsia" w:ascii="宋体" w:hAnsi="宋体"/>
          <w:color w:val="auto"/>
          <w:sz w:val="24"/>
          <w:highlight w:val="none"/>
          <w:lang w:val="en-US"/>
        </w:rPr>
        <w:t>4.该合同款项（部分）由财政拨付，如非因</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原因，而是因财政资金没有及时拨付到位而导致延期支付的，</w:t>
      </w:r>
      <w:r>
        <w:rPr>
          <w:rFonts w:hint="eastAsia" w:ascii="宋体" w:hAnsi="宋体"/>
          <w:color w:val="auto"/>
          <w:sz w:val="24"/>
          <w:highlight w:val="none"/>
          <w:lang w:val="en-US" w:eastAsia="zh-CN"/>
        </w:rPr>
        <w:t>乙方</w:t>
      </w:r>
      <w:r>
        <w:rPr>
          <w:rFonts w:hint="eastAsia" w:ascii="宋体" w:hAnsi="宋体"/>
          <w:color w:val="auto"/>
          <w:sz w:val="24"/>
          <w:highlight w:val="none"/>
          <w:lang w:val="en-US"/>
        </w:rPr>
        <w:t>对此予以谅解，不予追究</w:t>
      </w:r>
      <w:r>
        <w:rPr>
          <w:rFonts w:hint="eastAsia" w:ascii="宋体" w:hAnsi="宋体"/>
          <w:color w:val="auto"/>
          <w:sz w:val="24"/>
          <w:highlight w:val="none"/>
          <w:lang w:val="en-US" w:eastAsia="zh-CN"/>
        </w:rPr>
        <w:t>甲方</w:t>
      </w:r>
      <w:r>
        <w:rPr>
          <w:rFonts w:hint="eastAsia" w:ascii="宋体" w:hAnsi="宋体"/>
          <w:color w:val="auto"/>
          <w:sz w:val="24"/>
          <w:highlight w:val="none"/>
          <w:lang w:val="en-US"/>
        </w:rPr>
        <w:t>任何违约责任。</w:t>
      </w:r>
    </w:p>
    <w:p>
      <w:pPr>
        <w:spacing w:line="460" w:lineRule="exact"/>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乙方账户信息如下：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p>
    <w:p>
      <w:pPr>
        <w:numPr>
          <w:ilvl w:val="0"/>
          <w:numId w:val="0"/>
        </w:numPr>
        <w:spacing w:line="460" w:lineRule="exact"/>
        <w:ind w:leftChars="0" w:firstLine="482"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合同设备自验收之日起</w:t>
      </w:r>
      <w:r>
        <w:rPr>
          <w:rFonts w:hint="eastAsia" w:ascii="宋体" w:hAnsi="宋体"/>
          <w:color w:val="auto"/>
          <w:sz w:val="24"/>
          <w:highlight w:val="none"/>
          <w:lang w:eastAsia="zh-CN"/>
        </w:rPr>
        <w:t>质保期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eastAsia="zh-CN"/>
        </w:rPr>
        <w:t>。质保期内非甲方的人为原因而出现产品质量及安装问题，由乙方负责包修、包换包退、包</w:t>
      </w:r>
      <w:r>
        <w:rPr>
          <w:rFonts w:hint="eastAsia" w:ascii="宋体" w:hAnsi="宋体"/>
          <w:color w:val="auto"/>
          <w:sz w:val="24"/>
          <w:highlight w:val="none"/>
        </w:rPr>
        <w:t>维护保养，并承担因此而产生的一切费用。</w:t>
      </w:r>
      <w:r>
        <w:rPr>
          <w:rFonts w:hint="eastAsia" w:ascii="宋体" w:hAnsi="宋体"/>
          <w:color w:val="auto"/>
          <w:sz w:val="24"/>
          <w:highlight w:val="none"/>
          <w:lang w:val="en-US" w:eastAsia="zh-CN"/>
        </w:rPr>
        <w:t>终身维修，质保期过后，</w:t>
      </w:r>
      <w:r>
        <w:rPr>
          <w:rFonts w:hint="eastAsia" w:ascii="宋体" w:hAnsi="宋体"/>
          <w:color w:val="auto"/>
          <w:sz w:val="24"/>
          <w:highlight w:val="none"/>
        </w:rPr>
        <w:t>不收取服务费，只收取零件成本费用。</w:t>
      </w:r>
    </w:p>
    <w:p>
      <w:pPr>
        <w:spacing w:line="460" w:lineRule="exact"/>
        <w:ind w:firstLine="480" w:firstLineChars="200"/>
        <w:jc w:val="both"/>
        <w:rPr>
          <w:rFonts w:hint="eastAsia" w:ascii="宋体" w:hAnsi="宋体"/>
          <w:color w:val="auto"/>
          <w:sz w:val="24"/>
          <w:highlight w:val="none"/>
          <w:lang w:eastAsia="zh-CN"/>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质保期内，如设备或零部件因非人为因素出现故障而造成短期停用时，则</w:t>
      </w:r>
      <w:r>
        <w:rPr>
          <w:rFonts w:hint="eastAsia" w:ascii="宋体" w:hAnsi="宋体"/>
          <w:color w:val="auto"/>
          <w:sz w:val="24"/>
          <w:highlight w:val="none"/>
          <w:lang w:eastAsia="zh-CN"/>
        </w:rPr>
        <w:t>质保期和维修期相应顺延。如停用时间累计超过60天则质保期重新计算。</w:t>
      </w:r>
    </w:p>
    <w:p>
      <w:pPr>
        <w:spacing w:line="46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eastAsia="zh-CN"/>
        </w:rPr>
        <w:t>3.对</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的服务通知，</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接报后2小时内做出回应,并在48小时内派人员到达用户现场实施维修并排除故障。若在48小时内仍未能有效解决，</w:t>
      </w:r>
      <w:r>
        <w:rPr>
          <w:rFonts w:hint="eastAsia" w:ascii="宋体" w:hAnsi="宋体"/>
          <w:color w:val="auto"/>
          <w:sz w:val="24"/>
          <w:highlight w:val="none"/>
          <w:lang w:val="en-US" w:eastAsia="zh-CN"/>
        </w:rPr>
        <w:t>乙方</w:t>
      </w:r>
      <w:r>
        <w:rPr>
          <w:rFonts w:hint="eastAsia" w:ascii="宋体" w:hAnsi="宋体"/>
          <w:color w:val="auto"/>
          <w:sz w:val="24"/>
          <w:highlight w:val="none"/>
          <w:lang w:eastAsia="zh-CN"/>
        </w:rPr>
        <w:t>须提供同类型的设备予</w:t>
      </w:r>
      <w:r>
        <w:rPr>
          <w:rFonts w:hint="eastAsia" w:ascii="宋体" w:hAnsi="宋体"/>
          <w:color w:val="auto"/>
          <w:sz w:val="24"/>
          <w:highlight w:val="none"/>
          <w:lang w:val="en-US" w:eastAsia="zh-CN"/>
        </w:rPr>
        <w:t>甲方</w:t>
      </w:r>
      <w:r>
        <w:rPr>
          <w:rFonts w:hint="eastAsia" w:ascii="宋体" w:hAnsi="宋体"/>
          <w:color w:val="auto"/>
          <w:sz w:val="24"/>
          <w:highlight w:val="none"/>
          <w:lang w:eastAsia="zh-CN"/>
        </w:rPr>
        <w:t>临时使用。</w:t>
      </w:r>
    </w:p>
    <w:p>
      <w:pPr>
        <w:spacing w:line="460" w:lineRule="exact"/>
        <w:ind w:firstLine="480" w:firstLineChars="200"/>
        <w:rPr>
          <w:color w:val="auto"/>
          <w:highlight w:val="none"/>
        </w:rPr>
      </w:pPr>
      <w:r>
        <w:rPr>
          <w:rFonts w:hint="eastAsia" w:ascii="宋体" w:hAnsi="宋体"/>
          <w:color w:val="auto"/>
          <w:sz w:val="24"/>
          <w:highlight w:val="none"/>
          <w:lang w:eastAsia="zh-CN"/>
        </w:rPr>
        <w:t>4.乙方未按本合同第六大项第3</w:t>
      </w:r>
      <w:r>
        <w:rPr>
          <w:rFonts w:hint="eastAsia" w:ascii="宋体" w:hAnsi="宋体"/>
          <w:color w:val="auto"/>
          <w:sz w:val="24"/>
          <w:highlight w:val="none"/>
        </w:rPr>
        <w:t>小项进行响应的，甲方可另行委托第三方进行维修，由此产生的费用由乙方承担。</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七、安装与调试</w:t>
      </w:r>
    </w:p>
    <w:p>
      <w:pPr>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rPr>
        <w:t>乙方必须依照采购文件的要求和报价文件的承诺，将设备、系统安装并调试至正常运行的最佳状态。</w:t>
      </w:r>
    </w:p>
    <w:p>
      <w:pPr>
        <w:spacing w:line="460" w:lineRule="exact"/>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rPr>
        <w:t>按法定要求进行计量检定的设备，</w:t>
      </w:r>
      <w:r>
        <w:rPr>
          <w:rFonts w:hint="eastAsia" w:ascii="宋体" w:hAnsi="宋体"/>
          <w:color w:val="auto"/>
          <w:sz w:val="24"/>
          <w:highlight w:val="none"/>
          <w:lang w:val="en-US" w:eastAsia="zh-CN"/>
        </w:rPr>
        <w:t>甲方验收完成后，当年的《计量检定证》由乙方负责办理，以后每年由甲方负责办理。</w:t>
      </w:r>
    </w:p>
    <w:p>
      <w:pPr>
        <w:spacing w:line="46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八、验收</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1</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货物为原制造商制造的全新产品，整机无污染，无侵权行为、表面无划损、无任何缺陷隐患，在中国境内可依常规安全合法使用。</w:t>
      </w:r>
    </w:p>
    <w:p>
      <w:pPr>
        <w:keepNext w:val="0"/>
        <w:keepLines w:val="0"/>
        <w:pageBreakBefore w:val="0"/>
        <w:widowControl w:val="0"/>
        <w:tabs>
          <w:tab w:val="left" w:pos="900"/>
        </w:tabs>
        <w:kinsoku/>
        <w:wordWrap/>
        <w:overflowPunct/>
        <w:topLinePunct w:val="0"/>
        <w:autoSpaceDE/>
        <w:autoSpaceDN/>
        <w:bidi w:val="0"/>
        <w:adjustRightInd/>
        <w:snapToGrid/>
        <w:spacing w:line="460" w:lineRule="exact"/>
        <w:ind w:firstLine="480" w:firstLineChars="200"/>
        <w:textAlignment w:val="auto"/>
        <w:rPr>
          <w:rFonts w:hint="eastAsia" w:ascii="宋体" w:hAnsi="宋体" w:cs="Times New Roman"/>
          <w:color w:val="auto"/>
          <w:sz w:val="24"/>
          <w:highlight w:val="none"/>
        </w:rPr>
      </w:pPr>
      <w:r>
        <w:rPr>
          <w:rFonts w:hint="eastAsia" w:ascii="宋体" w:hAnsi="宋体" w:cs="Times New Roman"/>
          <w:color w:val="auto"/>
          <w:sz w:val="24"/>
          <w:highlight w:val="none"/>
        </w:rPr>
        <w:t>2</w:t>
      </w: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rPr>
        <w:t>交付验收标准依次序对照适用标准为：①符合中华人民共和国国家安全质量标准、环保标准或行业标准；②符合采购文件和响应承诺中甲方认可的合理最佳配置、参数及各项要求；③货物来源国官方标准。</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进口产品必须具备原产地证明和商检局的检验证明及合法进货渠道证明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报关单、完税凭证</w:t>
      </w:r>
      <w:r>
        <w:rPr>
          <w:rFonts w:hint="eastAsia" w:ascii="宋体" w:hAnsi="宋体" w:eastAsia="宋体" w:cs="宋体"/>
          <w:color w:val="auto"/>
          <w:sz w:val="24"/>
          <w:highlight w:val="none"/>
          <w:lang w:eastAsia="zh-CN"/>
        </w:rPr>
        <w:t>等资料</w:t>
      </w:r>
      <w:r>
        <w:rPr>
          <w:rFonts w:hint="eastAsia" w:ascii="宋体" w:hAnsi="宋体" w:eastAsia="宋体" w:cs="宋体"/>
          <w:color w:val="auto"/>
          <w:sz w:val="24"/>
          <w:highlight w:val="none"/>
        </w:rPr>
        <w:t>。</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货物为原厂商未启封全新包装，具出厂合格证，序列号、包装箱号与出厂批号一致，并可追索查阅。</w:t>
      </w:r>
    </w:p>
    <w:p>
      <w:pPr>
        <w:tabs>
          <w:tab w:val="left" w:pos="900"/>
        </w:tabs>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乙方应将关键主机设备的用户手册、保修手册、有关单证资料及配备件、随机工具等交付给甲方，使用操作及安全须知等重要资料应附有中文说明。</w:t>
      </w:r>
    </w:p>
    <w:p>
      <w:pPr>
        <w:tabs>
          <w:tab w:val="left" w:pos="900"/>
        </w:tabs>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6.乙方验收时须一并提供由生产商负责质保期内全部售后服务的承诺函并加盖生产商公章，未能提供则验收不通过。甲方有权追溯乙方的响应文件，视为提供虚假材料。</w:t>
      </w:r>
    </w:p>
    <w:p>
      <w:pPr>
        <w:tabs>
          <w:tab w:val="left" w:pos="900"/>
        </w:tabs>
        <w:spacing w:line="460" w:lineRule="exact"/>
        <w:ind w:firstLine="480" w:firstLineChars="200"/>
        <w:rPr>
          <w:rFonts w:hint="eastAsia" w:ascii="宋体" w:hAnsi="宋体" w:cs="Times New Roman"/>
          <w:color w:val="auto"/>
          <w:sz w:val="24"/>
          <w:highlight w:val="none"/>
        </w:rPr>
      </w:pPr>
      <w:r>
        <w:rPr>
          <w:rFonts w:hint="eastAsia" w:ascii="仿宋" w:hAnsi="仿宋" w:eastAsia="仿宋" w:cs="仿宋"/>
          <w:color w:val="auto"/>
          <w:sz w:val="24"/>
          <w:highlight w:val="none"/>
          <w:lang w:val="en-US" w:eastAsia="zh-CN"/>
        </w:rPr>
        <w:t>7.</w:t>
      </w:r>
      <w:r>
        <w:rPr>
          <w:rFonts w:hint="eastAsia" w:ascii="宋体" w:hAnsi="宋体" w:cs="Times New Roman"/>
          <w:color w:val="auto"/>
          <w:sz w:val="24"/>
          <w:highlight w:val="none"/>
        </w:rPr>
        <w:t>验收时间：</w:t>
      </w:r>
      <w:r>
        <w:rPr>
          <w:rFonts w:hint="eastAsia" w:ascii="宋体" w:hAnsi="宋体" w:cs="Times New Roman"/>
          <w:color w:val="auto"/>
          <w:sz w:val="24"/>
          <w:highlight w:val="none"/>
          <w:lang w:eastAsia="zh-CN"/>
        </w:rPr>
        <w:t>乙方</w:t>
      </w:r>
      <w:r>
        <w:rPr>
          <w:rFonts w:hint="eastAsia" w:ascii="宋体" w:hAnsi="宋体" w:cs="Times New Roman"/>
          <w:color w:val="auto"/>
          <w:sz w:val="24"/>
          <w:highlight w:val="none"/>
        </w:rPr>
        <w:t>按</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要求，将设备在指定地点安装、调试、培训至正常使用后，由</w:t>
      </w:r>
      <w:r>
        <w:rPr>
          <w:rFonts w:hint="eastAsia" w:ascii="宋体" w:hAnsi="宋体" w:cs="Times New Roman"/>
          <w:color w:val="auto"/>
          <w:sz w:val="24"/>
          <w:highlight w:val="none"/>
          <w:lang w:eastAsia="zh-CN"/>
        </w:rPr>
        <w:t>乙</w:t>
      </w:r>
      <w:r>
        <w:rPr>
          <w:rFonts w:hint="eastAsia" w:ascii="宋体" w:hAnsi="宋体" w:cs="Times New Roman"/>
          <w:color w:val="auto"/>
          <w:sz w:val="24"/>
          <w:highlight w:val="none"/>
        </w:rPr>
        <w:t>方提出验收申请，</w:t>
      </w:r>
      <w:r>
        <w:rPr>
          <w:rFonts w:hint="eastAsia" w:ascii="宋体" w:hAnsi="宋体" w:cs="Times New Roman"/>
          <w:color w:val="auto"/>
          <w:sz w:val="24"/>
          <w:highlight w:val="none"/>
          <w:lang w:eastAsia="zh-CN"/>
        </w:rPr>
        <w:t>甲方</w:t>
      </w:r>
      <w:r>
        <w:rPr>
          <w:rFonts w:hint="eastAsia" w:ascii="宋体" w:hAnsi="宋体" w:cs="Times New Roman"/>
          <w:color w:val="auto"/>
          <w:sz w:val="24"/>
          <w:highlight w:val="none"/>
        </w:rPr>
        <w:t>接到验收申请后壹个月内组织验收。</w:t>
      </w:r>
    </w:p>
    <w:p>
      <w:pPr>
        <w:tabs>
          <w:tab w:val="left" w:pos="900"/>
        </w:tabs>
        <w:spacing w:line="460" w:lineRule="exact"/>
        <w:ind w:firstLine="482" w:firstLineChars="200"/>
        <w:rPr>
          <w:rFonts w:ascii="宋体"/>
          <w:b/>
          <w:color w:val="auto"/>
          <w:sz w:val="24"/>
          <w:highlight w:val="none"/>
        </w:rPr>
      </w:pPr>
      <w:r>
        <w:rPr>
          <w:rFonts w:hint="eastAsia" w:ascii="宋体" w:hAnsi="宋体"/>
          <w:b/>
          <w:bCs/>
          <w:color w:val="auto"/>
          <w:sz w:val="24"/>
          <w:highlight w:val="none"/>
        </w:rPr>
        <w:t>九、</w:t>
      </w:r>
      <w:r>
        <w:rPr>
          <w:rFonts w:hint="eastAsia" w:ascii="宋体" w:hAnsi="宋体"/>
          <w:b/>
          <w:color w:val="auto"/>
          <w:sz w:val="24"/>
          <w:highlight w:val="none"/>
        </w:rPr>
        <w:t>违约责任与赔偿损失</w:t>
      </w:r>
    </w:p>
    <w:p>
      <w:pPr>
        <w:tabs>
          <w:tab w:val="left" w:pos="900"/>
        </w:tabs>
        <w:spacing w:line="460" w:lineRule="exact"/>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乙方交付的货物、提供的服务不符合采购文件、报价文件或本合同规定的，甲方有权拒收，并且乙方须向甲方支付本合同总价</w:t>
      </w:r>
      <w:r>
        <w:rPr>
          <w:rFonts w:ascii="宋体" w:hAnsi="宋体"/>
          <w:color w:val="auto"/>
          <w:sz w:val="24"/>
          <w:highlight w:val="none"/>
        </w:rPr>
        <w:t>5%</w:t>
      </w:r>
      <w:r>
        <w:rPr>
          <w:rFonts w:hint="eastAsia" w:ascii="宋体" w:hAnsi="宋体"/>
          <w:color w:val="auto"/>
          <w:sz w:val="24"/>
          <w:highlight w:val="none"/>
        </w:rPr>
        <w:t>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440" w:lineRule="exact"/>
        <w:ind w:right="21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2．乙方未能按本合同规定的交货时间交付货物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提供服务的，从逾期之日起每日按本合同总价</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的数额向甲方支付违约金；逾期半个月以上的，甲方有权终止合同，由此造成的甲方经济损失由乙方承担。</w:t>
      </w:r>
    </w:p>
    <w:p>
      <w:pPr>
        <w:keepNext w:val="0"/>
        <w:keepLines w:val="0"/>
        <w:pageBreakBefore w:val="0"/>
        <w:widowControl w:val="0"/>
        <w:tabs>
          <w:tab w:val="left" w:pos="90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3．甲方无正当理由拒收货物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接受服务，到期拒付货物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服务款项的，甲方向乙方偿付</w:t>
      </w:r>
      <w:r>
        <w:rPr>
          <w:rFonts w:hint="eastAsia" w:ascii="宋体" w:hAnsi="宋体" w:cs="宋体"/>
          <w:color w:val="auto"/>
          <w:sz w:val="24"/>
          <w:highlight w:val="none"/>
        </w:rPr>
        <w:t>拒付款项</w:t>
      </w:r>
      <w:r>
        <w:rPr>
          <w:rFonts w:hint="eastAsia" w:ascii="宋体" w:hAnsi="宋体" w:eastAsia="宋体" w:cs="宋体"/>
          <w:color w:val="auto"/>
          <w:sz w:val="24"/>
          <w:szCs w:val="24"/>
          <w:highlight w:val="none"/>
        </w:rPr>
        <w:t>5%的违约金。甲方逾期付款，则每日按</w:t>
      </w:r>
      <w:r>
        <w:rPr>
          <w:rFonts w:hint="eastAsia" w:ascii="宋体" w:hAnsi="宋体" w:cs="宋体"/>
          <w:color w:val="auto"/>
          <w:sz w:val="24"/>
          <w:szCs w:val="24"/>
          <w:highlight w:val="none"/>
          <w:lang w:eastAsia="zh-CN"/>
        </w:rPr>
        <w:t>应付款</w:t>
      </w:r>
      <w:r>
        <w:rPr>
          <w:rFonts w:hint="eastAsia" w:ascii="宋体" w:hAnsi="宋体" w:eastAsia="宋体" w:cs="宋体"/>
          <w:color w:val="auto"/>
          <w:sz w:val="24"/>
          <w:szCs w:val="24"/>
          <w:highlight w:val="none"/>
        </w:rPr>
        <w:t>的</w:t>
      </w:r>
      <w:r>
        <w:rPr>
          <w:rFonts w:hint="eastAsia" w:ascii="宋体" w:hAnsi="宋体" w:cs="宋体"/>
          <w:color w:val="auto"/>
          <w:sz w:val="24"/>
          <w:szCs w:val="24"/>
          <w:highlight w:val="none"/>
          <w:lang w:eastAsia="zh-CN"/>
        </w:rPr>
        <w:t>万分之五</w:t>
      </w:r>
      <w:r>
        <w:rPr>
          <w:rFonts w:hint="eastAsia" w:ascii="宋体" w:hAnsi="宋体" w:eastAsia="宋体" w:cs="宋体"/>
          <w:color w:val="auto"/>
          <w:sz w:val="24"/>
          <w:szCs w:val="24"/>
          <w:highlight w:val="none"/>
        </w:rPr>
        <w:t>向乙方偿付违约金。</w:t>
      </w:r>
    </w:p>
    <w:p>
      <w:pPr>
        <w:spacing w:line="460" w:lineRule="exact"/>
        <w:ind w:firstLine="600" w:firstLineChars="25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十、争议的解决</w:t>
      </w:r>
    </w:p>
    <w:p>
      <w:pPr>
        <w:tabs>
          <w:tab w:val="left" w:pos="824"/>
        </w:tabs>
        <w:spacing w:line="460" w:lineRule="exact"/>
        <w:ind w:firstLine="480"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pPr>
        <w:tabs>
          <w:tab w:val="left" w:pos="824"/>
        </w:tabs>
        <w:spacing w:line="460" w:lineRule="exact"/>
        <w:ind w:firstLine="482" w:firstLineChars="200"/>
        <w:rPr>
          <w:rFonts w:hint="eastAsia" w:ascii="宋体" w:hAnsi="宋体"/>
          <w:b/>
          <w:color w:val="auto"/>
          <w:sz w:val="24"/>
          <w:highlight w:val="none"/>
        </w:rPr>
      </w:pPr>
      <w:r>
        <w:rPr>
          <w:rFonts w:hint="eastAsia" w:ascii="宋体" w:hAnsi="宋体"/>
          <w:b/>
          <w:bCs/>
          <w:color w:val="auto"/>
          <w:sz w:val="24"/>
          <w:highlight w:val="none"/>
          <w:lang w:eastAsia="zh-CN"/>
        </w:rPr>
        <w:t>十一、</w:t>
      </w:r>
      <w:r>
        <w:rPr>
          <w:rFonts w:hint="eastAsia" w:ascii="宋体" w:hAnsi="宋体"/>
          <w:b/>
          <w:color w:val="auto"/>
          <w:sz w:val="24"/>
          <w:highlight w:val="none"/>
        </w:rPr>
        <w:t>不可抗力</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pPr>
        <w:numPr>
          <w:ilvl w:val="0"/>
          <w:numId w:val="4"/>
        </w:num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税费</w:t>
      </w:r>
    </w:p>
    <w:p>
      <w:pPr>
        <w:numPr>
          <w:ilvl w:val="0"/>
          <w:numId w:val="0"/>
        </w:numPr>
        <w:spacing w:line="460" w:lineRule="exact"/>
        <w:ind w:firstLine="480"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pPr>
        <w:spacing w:line="460" w:lineRule="exact"/>
        <w:ind w:firstLine="482" w:firstLineChars="200"/>
        <w:rPr>
          <w:rFonts w:ascii="宋体"/>
          <w:b/>
          <w:color w:val="auto"/>
          <w:sz w:val="24"/>
          <w:highlight w:val="none"/>
        </w:rPr>
      </w:pPr>
      <w:r>
        <w:rPr>
          <w:rFonts w:hint="eastAsia" w:ascii="宋体" w:hAnsi="宋体"/>
          <w:b/>
          <w:color w:val="auto"/>
          <w:sz w:val="24"/>
          <w:highlight w:val="none"/>
        </w:rPr>
        <w:t>十三、其它</w:t>
      </w:r>
    </w:p>
    <w:p>
      <w:pPr>
        <w:spacing w:line="460" w:lineRule="exact"/>
        <w:ind w:firstLine="480"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通知书均为合同的有效组成部分，与本合同具有同等法律效力。</w:t>
      </w:r>
    </w:p>
    <w:p>
      <w:pPr>
        <w:spacing w:line="460" w:lineRule="exact"/>
        <w:ind w:firstLine="480"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pPr>
        <w:spacing w:line="46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十四、合同生效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w:t>
      </w:r>
      <w:r>
        <w:rPr>
          <w:rFonts w:hint="eastAsia" w:ascii="宋体" w:hAnsi="宋体"/>
          <w:color w:val="auto"/>
          <w:sz w:val="24"/>
          <w:highlight w:val="none"/>
          <w:lang w:eastAsia="zh-CN"/>
        </w:rPr>
        <w:t>法定代表人</w:t>
      </w:r>
      <w:r>
        <w:rPr>
          <w:rFonts w:hint="eastAsia" w:ascii="宋体" w:hAnsi="宋体"/>
          <w:color w:val="auto"/>
          <w:sz w:val="24"/>
          <w:highlight w:val="none"/>
        </w:rPr>
        <w:t>或其授权代表签字盖章后生效。</w:t>
      </w:r>
    </w:p>
    <w:p>
      <w:pPr>
        <w:spacing w:line="460" w:lineRule="exact"/>
        <w:ind w:firstLine="480" w:firstLineChars="200"/>
        <w:rPr>
          <w:rFonts w:ascii="宋体"/>
          <w:color w:val="auto"/>
          <w:sz w:val="24"/>
          <w:highlight w:val="none"/>
        </w:rPr>
      </w:pPr>
      <w:r>
        <w:rPr>
          <w:rFonts w:hint="eastAsia" w:ascii="宋体" w:hAnsi="宋体"/>
          <w:color w:val="auto"/>
          <w:sz w:val="24"/>
          <w:highlight w:val="none"/>
          <w:lang w:val="en-US" w:eastAsia="zh-CN"/>
        </w:rPr>
        <w:t>2.一式伍份，甲方持肆份，乙方持壹份。</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法人代表：</w:t>
      </w:r>
      <w:r>
        <w:rPr>
          <w:rFonts w:hint="eastAsia" w:ascii="宋体" w:hAnsi="Times New Roman" w:eastAsia="宋体" w:cs="Times New Roman"/>
          <w:color w:val="auto"/>
          <w:sz w:val="24"/>
          <w:highlight w:val="none"/>
          <w:lang w:val="en-US" w:eastAsia="zh-CN"/>
        </w:rPr>
        <w:t xml:space="preserve">                           </w:t>
      </w:r>
      <w:r>
        <w:rPr>
          <w:rFonts w:hint="eastAsia" w:ascii="宋体" w:cs="Times New Roman"/>
          <w:color w:val="auto"/>
          <w:sz w:val="24"/>
          <w:highlight w:val="none"/>
          <w:lang w:val="en-US" w:eastAsia="zh-CN"/>
        </w:rPr>
        <w:t xml:space="preserve"> </w:t>
      </w:r>
      <w:r>
        <w:rPr>
          <w:rFonts w:hint="eastAsia" w:ascii="宋体" w:hAnsi="宋体"/>
          <w:color w:val="auto"/>
          <w:sz w:val="24"/>
          <w:highlight w:val="none"/>
          <w:lang w:eastAsia="zh-CN"/>
        </w:rPr>
        <w:t>法定代表人</w:t>
      </w:r>
      <w:r>
        <w:rPr>
          <w:rFonts w:hint="eastAsia" w:ascii="宋体"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left="5520" w:hanging="5520"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地址：</w:t>
      </w:r>
    </w:p>
    <w:p>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电话：0752-7806616</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pPr>
        <w:keepNext w:val="0"/>
        <w:keepLines w:val="0"/>
        <w:pageBreakBefore w:val="0"/>
        <w:widowControl w:val="0"/>
        <w:kinsoku/>
        <w:wordWrap/>
        <w:overflowPunct/>
        <w:topLinePunct w:val="0"/>
        <w:bidi w:val="0"/>
        <w:snapToGrid/>
        <w:spacing w:line="460" w:lineRule="exac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传真：0752-7806733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napToGrid w:val="0"/>
        <w:spacing w:line="500" w:lineRule="exact"/>
        <w:jc w:val="center"/>
        <w:rPr>
          <w:rFonts w:hint="eastAsia" w:ascii="仿宋" w:hAnsi="仿宋" w:eastAsia="仿宋" w:cs="仿宋"/>
          <w:b/>
          <w:bCs/>
          <w:color w:val="auto"/>
          <w:sz w:val="48"/>
          <w:szCs w:val="48"/>
          <w:highlight w:val="none"/>
        </w:rPr>
      </w:pPr>
    </w:p>
    <w:p>
      <w:pPr>
        <w:snapToGrid w:val="0"/>
        <w:spacing w:line="360" w:lineRule="auto"/>
        <w:rPr>
          <w:rFonts w:hint="eastAsia" w:ascii="仿宋" w:hAnsi="仿宋" w:eastAsia="仿宋" w:cs="仿宋"/>
          <w:color w:val="auto"/>
          <w:sz w:val="36"/>
          <w:highlight w:val="none"/>
          <w:u w:val="singl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pPr>
        <w:pStyle w:val="8"/>
        <w:adjustRightInd w:val="0"/>
        <w:snapToGrid w:val="0"/>
        <w:spacing w:line="440" w:lineRule="exact"/>
        <w:jc w:val="center"/>
        <w:rPr>
          <w:rFonts w:hint="eastAsia" w:ascii="仿宋" w:hAnsi="仿宋" w:eastAsia="仿宋" w:cs="仿宋"/>
          <w:b/>
          <w:color w:val="auto"/>
          <w:kern w:val="0"/>
          <w:sz w:val="28"/>
          <w:szCs w:val="28"/>
          <w:highlight w:val="none"/>
        </w:rPr>
      </w:pPr>
    </w:p>
    <w:p>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ascii="仿宋" w:hAnsi="仿宋" w:eastAsia="仿宋" w:cs="仿宋"/>
          <w:b/>
          <w:bCs/>
          <w:color w:val="auto"/>
          <w:sz w:val="24"/>
          <w:highlight w:val="none"/>
          <w:u w:val="single"/>
        </w:rPr>
      </w:pPr>
    </w:p>
    <w:p>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pPr>
        <w:pStyle w:val="8"/>
        <w:adjustRightInd w:val="0"/>
        <w:snapToGrid w:val="0"/>
        <w:spacing w:line="360" w:lineRule="auto"/>
        <w:jc w:val="center"/>
        <w:rPr>
          <w:rFonts w:hint="eastAsia" w:ascii="仿宋" w:hAnsi="仿宋" w:eastAsia="仿宋" w:cs="仿宋"/>
          <w:b/>
          <w:color w:val="auto"/>
          <w:kern w:val="0"/>
          <w:sz w:val="72"/>
          <w:szCs w:val="72"/>
          <w:highlight w:val="none"/>
        </w:rPr>
      </w:pPr>
    </w:p>
    <w:p>
      <w:pPr>
        <w:pStyle w:val="8"/>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pPr>
        <w:pStyle w:val="8"/>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pPr>
        <w:pStyle w:val="8"/>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pPr>
        <w:pStyle w:val="8"/>
        <w:adjustRightInd w:val="0"/>
        <w:snapToGrid w:val="0"/>
        <w:spacing w:line="360" w:lineRule="auto"/>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pPr>
        <w:pStyle w:val="8"/>
        <w:spacing w:line="360" w:lineRule="auto"/>
        <w:rPr>
          <w:rFonts w:hint="eastAsia" w:ascii="仿宋" w:hAnsi="仿宋" w:eastAsia="仿宋" w:cs="仿宋"/>
          <w:b/>
          <w:color w:val="auto"/>
          <w:sz w:val="28"/>
          <w:szCs w:val="28"/>
          <w:highlight w:val="none"/>
        </w:rPr>
      </w:pPr>
    </w:p>
    <w:p>
      <w:pPr>
        <w:pStyle w:val="8"/>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pPr>
        <w:pStyle w:val="8"/>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pPr>
        <w:pStyle w:val="8"/>
        <w:adjustRightInd w:val="0"/>
        <w:snapToGrid w:val="0"/>
        <w:spacing w:line="440" w:lineRule="exact"/>
        <w:rPr>
          <w:rFonts w:hint="eastAsia" w:ascii="仿宋" w:hAnsi="仿宋" w:eastAsia="仿宋" w:cs="仿宋"/>
          <w:b/>
          <w:color w:val="auto"/>
          <w:kern w:val="0"/>
          <w:sz w:val="24"/>
          <w:szCs w:val="24"/>
          <w:highlight w:val="none"/>
        </w:rPr>
      </w:pPr>
    </w:p>
    <w:p>
      <w:pPr>
        <w:pStyle w:val="8"/>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pPr>
        <w:pStyle w:val="8"/>
        <w:adjustRightInd w:val="0"/>
        <w:snapToGrid w:val="0"/>
        <w:spacing w:line="440" w:lineRule="exact"/>
        <w:rPr>
          <w:rFonts w:hint="eastAsia"/>
          <w:color w:val="auto"/>
          <w:highlight w:val="none"/>
        </w:rPr>
      </w:pPr>
      <w:bookmarkStart w:id="4" w:name="_Toc202252033"/>
      <w:bookmarkStart w:id="5" w:name="_Toc202816995"/>
      <w:bookmarkStart w:id="6" w:name="_Toc202251074"/>
      <w:bookmarkStart w:id="7" w:name="_Toc202251699"/>
      <w:bookmarkStart w:id="8" w:name="_Toc202820350"/>
      <w:bookmarkStart w:id="9" w:name="_Toc202819877"/>
      <w:bookmarkStart w:id="10" w:name="_Toc202254104"/>
      <w:r>
        <w:rPr>
          <w:color w:val="auto"/>
          <w:highlight w:val="none"/>
        </w:rPr>
        <w:br w:type="page"/>
      </w:r>
      <w:r>
        <w:rPr>
          <w:rFonts w:hint="eastAsia" w:ascii="仿宋" w:hAnsi="仿宋" w:eastAsia="仿宋" w:cs="仿宋"/>
          <w:b/>
          <w:bCs/>
          <w:color w:val="auto"/>
          <w:sz w:val="28"/>
          <w:highlight w:val="none"/>
        </w:rPr>
        <w:t xml:space="preserve">1 </w:t>
      </w:r>
      <w:bookmarkEnd w:id="4"/>
      <w:bookmarkEnd w:id="5"/>
      <w:bookmarkEnd w:id="6"/>
      <w:bookmarkEnd w:id="7"/>
      <w:bookmarkEnd w:id="8"/>
      <w:bookmarkEnd w:id="9"/>
      <w:bookmarkEnd w:id="10"/>
      <w:r>
        <w:rPr>
          <w:rFonts w:hint="eastAsia" w:ascii="仿宋" w:hAnsi="仿宋" w:eastAsia="仿宋" w:cs="仿宋"/>
          <w:b/>
          <w:bCs/>
          <w:color w:val="auto"/>
          <w:sz w:val="28"/>
          <w:highlight w:val="none"/>
        </w:rPr>
        <w:t>资格性/符合性自查表</w:t>
      </w:r>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846" w:type="dxa"/>
            <w:vMerge w:val="restart"/>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具有独立承担民事责任能力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具有良好的商业信誉和健全的财务会计制度</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3.有</w:t>
            </w:r>
            <w:r>
              <w:rPr>
                <w:rFonts w:hint="eastAsia" w:ascii="仿宋" w:hAnsi="仿宋" w:eastAsia="仿宋" w:cs="仿宋"/>
                <w:color w:val="auto"/>
                <w:highlight w:val="none"/>
              </w:rPr>
              <w:t>依法缴纳税收</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4.有</w:t>
            </w:r>
            <w:r>
              <w:rPr>
                <w:rFonts w:hint="eastAsia" w:ascii="仿宋" w:hAnsi="仿宋" w:eastAsia="仿宋" w:cs="仿宋"/>
                <w:color w:val="auto"/>
                <w:highlight w:val="none"/>
              </w:rPr>
              <w:t>依法缴纳社会保险凭据</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履行合同所必需的设备和专业技术能力</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没有重大违法记录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7.信用记录</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8.控股关系</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9.不得参加本项目情况</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10.联合体</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11.企业资质</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12.落实政府采购政策需满足的资格要求</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本项目不属于专门面向中小企业采购的项目，本项目中小企业划分标准所属行业为：工业</w:t>
            </w:r>
            <w:r>
              <w:rPr>
                <w:rFonts w:hint="eastAsia" w:ascii="仿宋" w:hAnsi="仿宋" w:eastAsia="仿宋" w:cs="仿宋"/>
                <w:color w:val="auto"/>
                <w:szCs w:val="21"/>
                <w:highlight w:val="none"/>
                <w:lang w:eastAsia="zh-CN"/>
              </w:rPr>
              <w:t>。</w:t>
            </w:r>
          </w:p>
        </w:tc>
        <w:tc>
          <w:tcPr>
            <w:tcW w:w="1849" w:type="dxa"/>
            <w:noWrap w:val="0"/>
            <w:vAlign w:val="center"/>
          </w:tcPr>
          <w:p>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46" w:type="dxa"/>
            <w:vMerge w:val="continue"/>
            <w:noWrap w:val="0"/>
            <w:vAlign w:val="center"/>
          </w:tcPr>
          <w:p>
            <w:pPr>
              <w:jc w:val="cente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13.报名</w:t>
            </w:r>
          </w:p>
        </w:tc>
        <w:tc>
          <w:tcPr>
            <w:tcW w:w="4264" w:type="dxa"/>
            <w:noWrap w:val="0"/>
            <w:vAlign w:val="center"/>
          </w:tcPr>
          <w:p>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文件签署</w:t>
            </w:r>
          </w:p>
        </w:tc>
        <w:tc>
          <w:tcPr>
            <w:tcW w:w="4264" w:type="dxa"/>
            <w:noWrap w:val="0"/>
            <w:vAlign w:val="center"/>
          </w:tcPr>
          <w:p>
            <w:pPr>
              <w:spacing w:line="240" w:lineRule="auto"/>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响应有效期</w:t>
            </w:r>
          </w:p>
        </w:tc>
        <w:tc>
          <w:tcPr>
            <w:tcW w:w="4264" w:type="dxa"/>
            <w:noWrap w:val="0"/>
            <w:vAlign w:val="center"/>
          </w:tcPr>
          <w:p>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49" w:type="dxa"/>
            <w:noWrap w:val="0"/>
            <w:vAlign w:val="center"/>
          </w:tcPr>
          <w:p>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color w:val="auto"/>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商务要求评审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实质性（“★”项）商务条款是否全部完全响应；</w:t>
            </w:r>
          </w:p>
        </w:tc>
        <w:tc>
          <w:tcPr>
            <w:tcW w:w="1849" w:type="dxa"/>
            <w:noWrap w:val="0"/>
            <w:vAlign w:val="center"/>
          </w:tcPr>
          <w:p>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技术</w:t>
            </w:r>
            <w:r>
              <w:rPr>
                <w:rFonts w:hint="eastAsia" w:ascii="仿宋" w:hAnsi="仿宋" w:eastAsia="仿宋" w:cs="仿宋"/>
                <w:color w:val="auto"/>
                <w:szCs w:val="21"/>
                <w:highlight w:val="none"/>
              </w:rPr>
              <w:t>要求评审</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实质性（“★”项）技术要求条款是否全部完全响应；</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报价合理性</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pPr>
              <w:rPr>
                <w:rFonts w:hint="eastAsia"/>
                <w:color w:val="auto"/>
                <w:highlight w:val="none"/>
              </w:rPr>
            </w:pPr>
          </w:p>
        </w:tc>
        <w:tc>
          <w:tcPr>
            <w:tcW w:w="1052" w:type="dxa"/>
            <w:noWrap w:val="0"/>
            <w:vAlign w:val="center"/>
          </w:tcPr>
          <w:p>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其他</w:t>
            </w:r>
          </w:p>
        </w:tc>
        <w:tc>
          <w:tcPr>
            <w:tcW w:w="4264" w:type="dxa"/>
            <w:noWrap w:val="0"/>
            <w:vAlign w:val="center"/>
          </w:tcPr>
          <w:p>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49" w:type="dxa"/>
            <w:noWrap w:val="0"/>
            <w:vAlign w:val="center"/>
          </w:tcPr>
          <w:p>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pPr>
        <w:rPr>
          <w:rFonts w:hint="eastAsia"/>
          <w:color w:val="auto"/>
          <w:highlight w:val="none"/>
        </w:rPr>
      </w:pPr>
    </w:p>
    <w:p>
      <w:pPr>
        <w:pStyle w:val="7"/>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adjustRightInd w:val="0"/>
        <w:snapToGrid w:val="0"/>
        <w:spacing w:line="300" w:lineRule="auto"/>
        <w:rPr>
          <w:rFonts w:hint="eastAsia" w:ascii="仿宋" w:hAnsi="仿宋" w:eastAsia="仿宋" w:cs="仿宋"/>
          <w:color w:val="auto"/>
          <w:sz w:val="24"/>
          <w:highlight w:val="none"/>
        </w:rPr>
      </w:pPr>
    </w:p>
    <w:p>
      <w:pPr>
        <w:pStyle w:val="8"/>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32"/>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16" w:type="dxa"/>
            <w:noWrap w:val="0"/>
            <w:vAlign w:val="center"/>
          </w:tcPr>
          <w:p>
            <w:pPr>
              <w:pStyle w:val="19"/>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pPr>
              <w:pStyle w:val="19"/>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32" w:type="dxa"/>
            <w:noWrap w:val="0"/>
            <w:vAlign w:val="center"/>
          </w:tcPr>
          <w:p>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对用户服务需求</w:t>
            </w:r>
            <w:r>
              <w:rPr>
                <w:rFonts w:hint="eastAsia" w:ascii="仿宋" w:hAnsi="仿宋" w:eastAsia="仿宋" w:cs="仿宋"/>
                <w:color w:val="auto"/>
                <w:kern w:val="0"/>
                <w:sz w:val="21"/>
                <w:szCs w:val="21"/>
                <w:highlight w:val="none"/>
                <w:lang w:eastAsia="zh-CN"/>
              </w:rPr>
              <w:t>中</w:t>
            </w:r>
            <w:r>
              <w:rPr>
                <w:rFonts w:hint="eastAsia" w:ascii="仿宋" w:hAnsi="仿宋" w:eastAsia="仿宋" w:cs="仿宋"/>
                <w:color w:val="auto"/>
                <w:kern w:val="0"/>
                <w:sz w:val="21"/>
                <w:szCs w:val="21"/>
                <w:highlight w:val="none"/>
              </w:rPr>
              <w:t>带▲号的响应程度</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所投产品参数全部满足用户需求书中带▲的重要技术参数的，得18分；一项不满足得15分；两项不满足得12分；如此类推，每不满足一项带▲的重要技术参数的得分减少3分，当达到6项或以上时，视为严重偏离本项不得分。</w:t>
            </w:r>
          </w:p>
          <w:p>
            <w:pPr>
              <w:widowControl/>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注：所有供应商应提供响应产品技术证明文件如响应产品彩页或相应技术参数的厂家使用说明书或技术白皮书或厂家公开发布的印刷资料或第三方机构出具的检验报告等作为技术证明文件，否则评审小组有权视相应技术参数响应不符合采购要求。（如厂家的产品使用说明书为英文版，请同时提供中文版）</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xml:space="preserve">对用户服务需求不带▲号的响应程度 </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根据各响应供应商所提供的服务是否满足用户需求书响应程度进行评分：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完全满足不带▲号的一般技术参数，得22分；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有一项不带▲号条款负偏离，得21分；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有二项不带▲号条款负偏离，得20分；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有三项不带▲号条款负偏离，得19分；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有四项不带▲号条款负偏离，得18分；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有五项不带▲号条款负偏离，得17分；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以此类推，当不带▲号条款负偏离达到11项（含）以上时，视为严重偏离此评分项不得分。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注：采购文件未要求提供证明材料的技术参数，以响应文件格式技术和服务要求响应表为准。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项目实施组织情况</w:t>
            </w:r>
          </w:p>
        </w:tc>
        <w:tc>
          <w:tcPr>
            <w:tcW w:w="5232" w:type="dxa"/>
            <w:noWrap w:val="0"/>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根据各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 xml:space="preserve">提供的项目组织实施方案（包括实施方案、供货安装进度安排、组织情况、项目实施计划等内容）进行综合评审：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组织实施方案清晰、全面、合理，施工方案科学可操作性强，进度安排合理，组织、实施计划有条理性的，得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组织实施方案较清晰、较全面、较合理，施工方案可行，进度安排较合理，组织、实施计划基本有条理性的，得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组织实施方案简单、基本合理，施工方案科学基本可行，进度安排一般，组织、实施计划欠缺条理性的，得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16" w:type="dxa"/>
            <w:noWrap w:val="0"/>
            <w:vAlign w:val="center"/>
          </w:tcPr>
          <w:p>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供应商的履约能力</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 xml:space="preserve">根据各响应供应商为本项目投入的项目团队、人员构成、分工及送货时效及培训计划等（包含但不限于团队分组、人员名单、履约进度表、培训计划等内容）进行综合评比： </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1.响应供应商为本项目投入的项目团队、人员构成合理且分工明确，培训计划可行，能够安全、快捷地将货物运送至采购人指定地点的，得5分；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2.项目团队、人员构成及分工较为合理且有一定分工，培训计划较可行，能够按规定将货物运送至采购人指定地点的，得3分；</w:t>
            </w:r>
          </w:p>
          <w:p>
            <w:pPr>
              <w:widowControl/>
              <w:jc w:val="left"/>
              <w:rPr>
                <w:rFonts w:hint="eastAsia" w:ascii="仿宋" w:hAnsi="仿宋" w:eastAsia="仿宋" w:cs="仿宋"/>
                <w:color w:val="auto"/>
                <w:kern w:val="0"/>
                <w:sz w:val="21"/>
                <w:szCs w:val="21"/>
                <w:highlight w:val="none"/>
                <w:lang w:val="en-GB" w:eastAsia="zh-CN"/>
              </w:rPr>
            </w:pPr>
            <w:r>
              <w:rPr>
                <w:rFonts w:hint="eastAsia" w:ascii="仿宋" w:hAnsi="仿宋" w:eastAsia="仿宋" w:cs="仿宋"/>
                <w:color w:val="auto"/>
                <w:kern w:val="0"/>
                <w:sz w:val="21"/>
                <w:szCs w:val="21"/>
                <w:highlight w:val="none"/>
                <w:lang w:val="en-GB" w:eastAsia="zh-CN"/>
              </w:rPr>
              <w:t xml:space="preserve">3.项目团队、人员构成及分工有缺陷且有分工不明确，培训计划不可行，不能保证货物按时运送至采购人指定地点的，得1分。 </w:t>
            </w:r>
          </w:p>
          <w:p>
            <w:pPr>
              <w:widowControl/>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GB" w:eastAsia="zh-CN"/>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拟投入本项目</w:t>
            </w:r>
            <w:r>
              <w:rPr>
                <w:rFonts w:hint="eastAsia" w:ascii="仿宋" w:hAnsi="仿宋" w:eastAsia="仿宋" w:cs="仿宋"/>
                <w:color w:val="auto"/>
                <w:kern w:val="0"/>
                <w:sz w:val="21"/>
                <w:szCs w:val="21"/>
                <w:highlight w:val="none"/>
                <w:lang w:eastAsia="zh-CN"/>
              </w:rPr>
              <w:t>的项目负责人</w:t>
            </w:r>
          </w:p>
        </w:tc>
        <w:tc>
          <w:tcPr>
            <w:tcW w:w="5232" w:type="dxa"/>
            <w:noWrap w:val="0"/>
            <w:vAlign w:val="center"/>
          </w:tcPr>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根据</w:t>
            </w:r>
            <w:r>
              <w:rPr>
                <w:rFonts w:hint="eastAsia" w:ascii="仿宋" w:hAnsi="仿宋" w:eastAsia="仿宋" w:cs="仿宋"/>
                <w:color w:val="auto"/>
                <w:kern w:val="0"/>
                <w:sz w:val="21"/>
                <w:szCs w:val="21"/>
                <w:highlight w:val="none"/>
              </w:rPr>
              <w:t>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lang w:val="en-GB"/>
              </w:rPr>
              <w:t>拟投入本项目的项目负责人进行评分：</w:t>
            </w:r>
          </w:p>
          <w:p>
            <w:pPr>
              <w:widowControl/>
              <w:jc w:val="left"/>
              <w:rPr>
                <w:rFonts w:hint="eastAsia" w:ascii="仿宋" w:hAnsi="仿宋" w:eastAsia="仿宋" w:cs="仿宋"/>
                <w:color w:val="auto"/>
                <w:kern w:val="0"/>
                <w:sz w:val="21"/>
                <w:szCs w:val="21"/>
                <w:highlight w:val="none"/>
                <w:lang w:val="en-GB"/>
              </w:rPr>
            </w:pPr>
            <w:r>
              <w:rPr>
                <w:rFonts w:hint="eastAsia" w:ascii="仿宋" w:hAnsi="仿宋" w:eastAsia="仿宋" w:cs="仿宋"/>
                <w:color w:val="auto"/>
                <w:kern w:val="0"/>
                <w:sz w:val="21"/>
                <w:szCs w:val="21"/>
                <w:highlight w:val="none"/>
                <w:lang w:val="en-GB"/>
              </w:rPr>
              <w:t>响应供应商需提供至少1名项目负责人，负责项目全流程。</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GB"/>
              </w:rPr>
              <w:t>（所投人员需提供近半年内任意一个月的社保缴纳证明文件复印件，无提供不得分。）</w:t>
            </w:r>
          </w:p>
        </w:tc>
        <w:tc>
          <w:tcPr>
            <w:tcW w:w="1535" w:type="dxa"/>
            <w:noWrap w:val="0"/>
            <w:vAlign w:val="center"/>
          </w:tcPr>
          <w:p>
            <w:pPr>
              <w:widowControl/>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同类业绩</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自2021年1月1日至今，各</w:t>
            </w:r>
            <w:r>
              <w:rPr>
                <w:rFonts w:hint="eastAsia" w:ascii="仿宋" w:hAnsi="仿宋" w:eastAsia="仿宋" w:cs="仿宋"/>
                <w:color w:val="auto"/>
                <w:kern w:val="0"/>
                <w:sz w:val="21"/>
                <w:szCs w:val="21"/>
                <w:highlight w:val="none"/>
                <w:lang w:eastAsia="zh-CN"/>
              </w:rPr>
              <w:t>响应供应商</w:t>
            </w:r>
            <w:r>
              <w:rPr>
                <w:rFonts w:hint="eastAsia" w:ascii="仿宋" w:hAnsi="仿宋" w:eastAsia="仿宋" w:cs="仿宋"/>
                <w:color w:val="auto"/>
                <w:kern w:val="0"/>
                <w:sz w:val="21"/>
                <w:szCs w:val="21"/>
                <w:highlight w:val="none"/>
              </w:rPr>
              <w:t>每提供一份同类业绩</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得</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 xml:space="preserve">2 分，最多得10分。 </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注：</w:t>
            </w:r>
            <w:r>
              <w:rPr>
                <w:rFonts w:hint="eastAsia" w:ascii="仿宋" w:hAnsi="仿宋" w:eastAsia="仿宋" w:cs="仿宋"/>
                <w:color w:val="auto"/>
                <w:kern w:val="0"/>
                <w:sz w:val="21"/>
                <w:szCs w:val="21"/>
                <w:highlight w:val="none"/>
              </w:rPr>
              <w:t>同类业绩证明文件是中标/成交通知书或合同关键页的复印件或扫描件（合同关键页是指包括：①能显示设备名称等相关信息；②签订合同双方的单位名称、合同项目名称；③签订合同双方的签章、盖章及签订日期），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售后服务方案</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对各响应供应商提供的售后服务内容（包括质保期、维护保养方案、应急维修时间、维修的及时性、安排的合理性等）是否完善具体，各阶段服务计划是否详尽进行评分：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1.售后服务方案（包括质保期、维护保养方案、应急维修时间、维修的及时性、安排的合理性等）详细、具体，完全满足且优于比选文件要求，各阶段服务计划周全详尽，得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 xml:space="preserve">分； </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2.售后服务方案（包括质保期、维护保养方案、应急维修时间、维修的及时性、安排的合理性等）基本详细、具体，满足比选文件要求，各阶段服务计划满足，得</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3.售后服务方案（包括质保期、维护保养方案、应急维修时间、维修的及时性、安排的合理性等）不详细、具体，基本满足比选文件要求，各阶段服务计划不完全齐全，得</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分；</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4.无提供不得分。</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16" w:type="dxa"/>
            <w:noWrap w:val="0"/>
            <w:vAlign w:val="center"/>
          </w:tcPr>
          <w:p>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p>
        </w:tc>
        <w:tc>
          <w:tcPr>
            <w:tcW w:w="5232" w:type="dxa"/>
            <w:noWrap w:val="0"/>
            <w:vAlign w:val="top"/>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报价得分＝（</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报价）×价格分值</w:t>
            </w:r>
          </w:p>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【注：满足</w:t>
            </w:r>
            <w:r>
              <w:rPr>
                <w:rFonts w:hint="eastAsia" w:ascii="仿宋" w:hAnsi="仿宋" w:eastAsia="仿宋" w:cs="仿宋"/>
                <w:color w:val="auto"/>
                <w:kern w:val="0"/>
                <w:sz w:val="21"/>
                <w:szCs w:val="21"/>
                <w:highlight w:val="none"/>
                <w:lang w:eastAsia="zh-CN"/>
              </w:rPr>
              <w:t>比选</w:t>
            </w:r>
            <w:r>
              <w:rPr>
                <w:rFonts w:hint="eastAsia" w:ascii="仿宋" w:hAnsi="仿宋" w:eastAsia="仿宋" w:cs="仿宋"/>
                <w:color w:val="auto"/>
                <w:kern w:val="0"/>
                <w:sz w:val="21"/>
                <w:szCs w:val="21"/>
                <w:highlight w:val="none"/>
              </w:rPr>
              <w:t>文件要求且</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价格最低的</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报价为</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基准价。】最低报价不是</w:t>
            </w:r>
            <w:r>
              <w:rPr>
                <w:rFonts w:hint="eastAsia" w:ascii="仿宋" w:hAnsi="仿宋" w:eastAsia="仿宋" w:cs="仿宋"/>
                <w:color w:val="auto"/>
                <w:kern w:val="0"/>
                <w:sz w:val="21"/>
                <w:szCs w:val="21"/>
                <w:highlight w:val="none"/>
                <w:lang w:eastAsia="zh-CN"/>
              </w:rPr>
              <w:t>成交</w:t>
            </w:r>
            <w:r>
              <w:rPr>
                <w:rFonts w:hint="eastAsia" w:ascii="仿宋" w:hAnsi="仿宋" w:eastAsia="仿宋" w:cs="仿宋"/>
                <w:color w:val="auto"/>
                <w:kern w:val="0"/>
                <w:sz w:val="21"/>
                <w:szCs w:val="21"/>
                <w:highlight w:val="none"/>
              </w:rPr>
              <w:t>的唯一依据。因落实政府采购政策进行价格调整的，以调整后的价格计算</w:t>
            </w:r>
            <w:r>
              <w:rPr>
                <w:rFonts w:hint="eastAsia" w:ascii="仿宋" w:hAnsi="仿宋" w:eastAsia="仿宋" w:cs="仿宋"/>
                <w:color w:val="auto"/>
                <w:kern w:val="0"/>
                <w:sz w:val="21"/>
                <w:szCs w:val="21"/>
                <w:highlight w:val="none"/>
                <w:lang w:eastAsia="zh-CN"/>
              </w:rPr>
              <w:t>评审</w:t>
            </w:r>
            <w:r>
              <w:rPr>
                <w:rFonts w:hint="eastAsia" w:ascii="仿宋" w:hAnsi="仿宋" w:eastAsia="仿宋" w:cs="仿宋"/>
                <w:color w:val="auto"/>
                <w:kern w:val="0"/>
                <w:sz w:val="21"/>
                <w:szCs w:val="21"/>
                <w:highlight w:val="none"/>
              </w:rPr>
              <w:t>基准价和</w:t>
            </w:r>
            <w:r>
              <w:rPr>
                <w:rFonts w:hint="eastAsia" w:ascii="仿宋" w:hAnsi="仿宋" w:eastAsia="仿宋" w:cs="仿宋"/>
                <w:color w:val="auto"/>
                <w:kern w:val="0"/>
                <w:sz w:val="21"/>
                <w:szCs w:val="21"/>
                <w:highlight w:val="none"/>
                <w:lang w:eastAsia="zh-CN"/>
              </w:rPr>
              <w:t>响应</w:t>
            </w:r>
            <w:r>
              <w:rPr>
                <w:rFonts w:hint="eastAsia" w:ascii="仿宋" w:hAnsi="仿宋" w:eastAsia="仿宋" w:cs="仿宋"/>
                <w:color w:val="auto"/>
                <w:kern w:val="0"/>
                <w:sz w:val="21"/>
                <w:szCs w:val="21"/>
                <w:highlight w:val="none"/>
              </w:rPr>
              <w:t>报价。</w:t>
            </w:r>
          </w:p>
        </w:tc>
        <w:tc>
          <w:tcPr>
            <w:tcW w:w="1535" w:type="dxa"/>
            <w:noWrap w:val="0"/>
            <w:vAlign w:val="center"/>
          </w:tcPr>
          <w:p>
            <w:pPr>
              <w:widowControl/>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pPr>
        <w:adjustRightInd w:val="0"/>
        <w:snapToGrid w:val="0"/>
        <w:spacing w:line="300" w:lineRule="auto"/>
        <w:rPr>
          <w:rFonts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11" w:name="_Toc202819878"/>
      <w:bookmarkStart w:id="12" w:name="_Toc202251075"/>
      <w:bookmarkStart w:id="13" w:name="_Toc202252034"/>
      <w:bookmarkStart w:id="14" w:name="_Toc202820351"/>
      <w:bookmarkStart w:id="15" w:name="_Toc202254105"/>
      <w:bookmarkStart w:id="16" w:name="_Toc202251700"/>
      <w:bookmarkStart w:id="17" w:name="_Toc202816996"/>
      <w:r>
        <w:rPr>
          <w:rFonts w:hint="eastAsia" w:ascii="仿宋" w:hAnsi="仿宋" w:eastAsia="仿宋" w:cs="仿宋"/>
          <w:b/>
          <w:bCs/>
          <w:color w:val="auto"/>
          <w:sz w:val="28"/>
          <w:szCs w:val="28"/>
          <w:highlight w:val="none"/>
        </w:rPr>
        <w:t>3 资格性文件</w:t>
      </w:r>
      <w:bookmarkEnd w:id="11"/>
      <w:bookmarkEnd w:id="12"/>
      <w:bookmarkEnd w:id="13"/>
      <w:bookmarkEnd w:id="14"/>
      <w:bookmarkEnd w:id="15"/>
      <w:bookmarkEnd w:id="16"/>
      <w:bookmarkEnd w:id="17"/>
    </w:p>
    <w:p>
      <w:pPr>
        <w:pStyle w:val="4"/>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pPr>
        <w:pStyle w:val="2"/>
        <w:rPr>
          <w:rFonts w:hint="eastAsia"/>
          <w:color w:val="auto"/>
          <w:highlight w:val="none"/>
        </w:rPr>
      </w:pPr>
    </w:p>
    <w:p>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pPr>
        <w:pStyle w:val="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pPr>
        <w:pStyle w:val="20"/>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pPr>
        <w:pStyle w:val="20"/>
        <w:ind w:firstLine="48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p>
    <w:p>
      <w:pPr>
        <w:pStyle w:val="20"/>
        <w:ind w:firstLine="480"/>
        <w:rPr>
          <w:rFonts w:hint="eastAsia" w:ascii="仿宋" w:hAnsi="仿宋" w:eastAsia="仿宋" w:cs="仿宋"/>
          <w:color w:val="auto"/>
          <w:sz w:val="24"/>
          <w:highlight w:val="none"/>
          <w:u w:val="single"/>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经营范围：</w:t>
      </w:r>
      <w:r>
        <w:rPr>
          <w:rFonts w:hint="eastAsia" w:ascii="仿宋" w:hAnsi="仿宋" w:eastAsia="仿宋" w:cs="仿宋"/>
          <w:color w:val="auto"/>
          <w:sz w:val="24"/>
          <w:highlight w:val="none"/>
          <w:u w:val="singl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pStyle w:val="20"/>
        <w:rPr>
          <w:rFonts w:hint="eastAsia" w:ascii="仿宋" w:hAnsi="仿宋" w:eastAsia="仿宋" w:cs="仿宋"/>
          <w:color w:val="auto"/>
          <w:sz w:val="24"/>
          <w:highlight w:val="none"/>
          <w:u w:val="singl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 xml:space="preserve"> </w:t>
      </w:r>
    </w:p>
    <w:p>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日期： 年 月 日</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pPr>
        <w:rPr>
          <w:rFonts w:hint="eastAsia" w:ascii="仿宋" w:hAnsi="仿宋" w:eastAsia="仿宋" w:cs="仿宋"/>
          <w:b/>
          <w:color w:val="auto"/>
          <w:sz w:val="28"/>
          <w:szCs w:val="28"/>
          <w:highlight w:val="none"/>
        </w:rPr>
      </w:pPr>
    </w:p>
    <w:p>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2922905</wp:posOffset>
                </wp:positionH>
                <wp:positionV relativeFrom="paragraph">
                  <wp:posOffset>5715</wp:posOffset>
                </wp:positionV>
                <wp:extent cx="2333625" cy="1584325"/>
                <wp:effectExtent l="4445" t="4445" r="889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0288;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VPlDdcAAAAIAQAADwAAAAAAAAAB&#10;ACAAAAAiAAAAZHJzL2Rvd25yZXYueG1sUEsBAhQAFAAAAAgAh07iQIj7VQ0RAgAAEAQAAA4AAAAA&#10;AAAAAQAgAAAAJgEAAGRycy9lMm9Eb2MueG1sUEsFBgAAAAAGAAYAWQEAAKk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8240" behindDoc="0" locked="0" layoutInCell="1" allowOverlap="1">
                <wp:simplePos x="0" y="0"/>
                <wp:positionH relativeFrom="column">
                  <wp:posOffset>182880</wp:posOffset>
                </wp:positionH>
                <wp:positionV relativeFrom="paragraph">
                  <wp:posOffset>43815</wp:posOffset>
                </wp:positionV>
                <wp:extent cx="2333625" cy="1584325"/>
                <wp:effectExtent l="4445" t="4445" r="889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8240;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S+wB1gAAAAgBAAAPAAAAAAAAAAEA&#10;IAAAACIAAABkcnMvZG93bnJldi54bWxQSwECFAAUAAAACACHTuJAteALPRECAAAQBAAADgAAAAAA&#10;AAABACAAAAAlAQAAZHJzL2Uyb0RvYy54bWxQSwUGAAAAAAYABgBZAQAAq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法定代表人身份证复印件正面</w:t>
                      </w:r>
                    </w:p>
                  </w:txbxContent>
                </v:textbox>
              </v:shape>
            </w:pict>
          </mc:Fallback>
        </mc:AlternateContent>
      </w:r>
    </w:p>
    <w:p>
      <w:pPr>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p>
    <w:p>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pPr>
        <w:jc w:val="center"/>
        <w:rPr>
          <w:rFonts w:hint="eastAsia" w:ascii="仿宋" w:hAnsi="仿宋" w:eastAsia="仿宋" w:cs="仿宋"/>
          <w:b/>
          <w:color w:val="auto"/>
          <w:sz w:val="24"/>
          <w:highlight w:val="none"/>
        </w:rPr>
      </w:pPr>
    </w:p>
    <w:p>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pPr>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法定代表人授权代表（签字或盖章）：</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职务：</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ind w:firstLine="480"/>
        <w:rPr>
          <w:color w:val="auto"/>
          <w:highlight w:val="none"/>
        </w:rPr>
      </w:pPr>
    </w:p>
    <w:p>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84455</wp:posOffset>
                </wp:positionV>
                <wp:extent cx="2333625" cy="1584325"/>
                <wp:effectExtent l="4445" t="4445" r="889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59264;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l/zInXAAAACQEAAA8AAAAAAAAA&#10;AQAgAAAAIgAAAGRycy9kb3ducmV2LnhtbFBLAQIUABQAAAAIAIdO4kA7us+c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2889885</wp:posOffset>
                </wp:positionH>
                <wp:positionV relativeFrom="paragraph">
                  <wp:posOffset>62230</wp:posOffset>
                </wp:positionV>
                <wp:extent cx="233362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2336;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m+faXXAAAACQEAAA8AAAAAAAAA&#10;AQAgAAAAIgAAAGRycy9kb3ducmV2LnhtbFBLAQIUABQAAAAIAIdO4kAGoZGsEgIAABAEAAAOAAAA&#10;AAAAAAEAIAAAACYBAABkcnMvZTJvRG9jLnhtbFBLBQYAAAAABgAGAFkBAACqBQ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1030605</wp:posOffset>
                </wp:positionH>
                <wp:positionV relativeFrom="paragraph">
                  <wp:posOffset>7917180</wp:posOffset>
                </wp:positionV>
                <wp:extent cx="2333625" cy="1584325"/>
                <wp:effectExtent l="4445" t="4445" r="889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1312;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XDLHtkAAAANAQAADwAAAAAA&#10;AAABACAAAAAiAAAAZHJzL2Rvd25yZXYueG1sUEsBAhQAFAAAAAgAh07iQM/Wt10SAgAAEAQAAA4A&#10;AAAAAAAAAQAgAAAAKAEAAGRycy9lMm9Eb2MueG1sUEsFBgAAAAAGAAYAWQEAAKw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代理人身份证复印件</w:t>
                      </w:r>
                    </w:p>
                  </w:txbxContent>
                </v:textbox>
              </v:shape>
            </w:pict>
          </mc:Fallback>
        </mc:AlternateContent>
      </w: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p>
    <w:p>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pPr>
        <w:spacing w:line="48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pPr>
        <w:tabs>
          <w:tab w:val="left" w:pos="0"/>
        </w:tabs>
        <w:wordWrap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响应供应商为生产企业：所投产品为第二、三类医疗器械，提供有效的《医疗器械生产许可证》。响应供应商为经营企业：所投产品为第三类医疗器械，提供有效的《医疗器械经营许可证》；所投产品为第二类医疗器械，提供有效的《第二类医疗器械经营备案凭证》复印件或承诺成交后办理《第二类医疗器械经营备案凭证》的承诺函（承诺函格式自拟）。</w:t>
      </w:r>
    </w:p>
    <w:p>
      <w:pPr>
        <w:tabs>
          <w:tab w:val="left" w:pos="0"/>
        </w:tabs>
        <w:wordWrap w:val="0"/>
        <w:spacing w:line="360" w:lineRule="auto"/>
        <w:jc w:val="left"/>
        <w:rPr>
          <w:rFonts w:hint="eastAsia" w:ascii="仿宋" w:hAnsi="仿宋" w:eastAsia="仿宋" w:cs="仿宋"/>
          <w:b w:val="0"/>
          <w:bCs w:val="0"/>
          <w:strike/>
          <w:color w:val="auto"/>
          <w:sz w:val="24"/>
          <w:highlight w:val="none"/>
          <w:lang w:val="en-US"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strike w:val="0"/>
          <w:color w:val="auto"/>
          <w:sz w:val="24"/>
          <w:highlight w:val="none"/>
        </w:rPr>
        <w:t>本项目</w:t>
      </w:r>
      <w:r>
        <w:rPr>
          <w:rFonts w:hint="eastAsia" w:ascii="仿宋" w:hAnsi="仿宋" w:eastAsia="仿宋" w:cs="仿宋"/>
          <w:strike w:val="0"/>
          <w:color w:val="auto"/>
          <w:sz w:val="24"/>
          <w:highlight w:val="none"/>
          <w:lang w:eastAsia="zh-CN"/>
        </w:rPr>
        <w:t>不属于</w:t>
      </w:r>
      <w:r>
        <w:rPr>
          <w:rFonts w:hint="eastAsia" w:ascii="仿宋" w:hAnsi="仿宋" w:eastAsia="仿宋" w:cs="仿宋"/>
          <w:strike w:val="0"/>
          <w:color w:val="auto"/>
          <w:sz w:val="24"/>
          <w:highlight w:val="none"/>
        </w:rPr>
        <w:t>专门面向中小企业采购的项目</w:t>
      </w:r>
      <w:r>
        <w:rPr>
          <w:rFonts w:hint="eastAsia" w:ascii="仿宋" w:hAnsi="仿宋" w:eastAsia="仿宋" w:cs="仿宋"/>
          <w:strike w:val="0"/>
          <w:color w:val="auto"/>
          <w:sz w:val="24"/>
          <w:highlight w:val="none"/>
          <w:lang w:eastAsia="zh-CN"/>
        </w:rPr>
        <w:t>，</w:t>
      </w:r>
      <w:r>
        <w:rPr>
          <w:rFonts w:hint="eastAsia" w:ascii="仿宋" w:hAnsi="仿宋" w:eastAsia="仿宋" w:cs="仿宋"/>
          <w:strike w:val="0"/>
          <w:color w:val="auto"/>
          <w:sz w:val="24"/>
          <w:highlight w:val="none"/>
        </w:rPr>
        <w:t>本项目中小企业划</w:t>
      </w:r>
      <w:r>
        <w:rPr>
          <w:rFonts w:hint="eastAsia" w:ascii="仿宋" w:hAnsi="仿宋" w:eastAsia="仿宋" w:cs="仿宋"/>
          <w:b w:val="0"/>
          <w:bCs w:val="0"/>
          <w:strike w:val="0"/>
          <w:color w:val="auto"/>
          <w:sz w:val="24"/>
          <w:highlight w:val="none"/>
        </w:rPr>
        <w:t>分标准所属行业为</w:t>
      </w:r>
      <w:r>
        <w:rPr>
          <w:rFonts w:hint="eastAsia" w:ascii="仿宋" w:hAnsi="仿宋" w:eastAsia="仿宋" w:cs="仿宋"/>
          <w:b w:val="0"/>
          <w:bCs w:val="0"/>
          <w:strike w:val="0"/>
          <w:color w:val="auto"/>
          <w:sz w:val="24"/>
          <w:highlight w:val="none"/>
          <w:lang w:eastAsia="zh-CN"/>
        </w:rPr>
        <w:t>：</w:t>
      </w:r>
      <w:r>
        <w:rPr>
          <w:rFonts w:hint="eastAsia" w:ascii="仿宋" w:hAnsi="仿宋" w:eastAsia="仿宋" w:cs="仿宋"/>
          <w:b w:val="0"/>
          <w:bCs w:val="0"/>
          <w:strike w:val="0"/>
          <w:color w:val="auto"/>
          <w:sz w:val="24"/>
          <w:highlight w:val="none"/>
          <w:lang w:val="en-US" w:eastAsia="zh-CN"/>
        </w:rPr>
        <w:t>工业。</w:t>
      </w:r>
    </w:p>
    <w:p>
      <w:pPr>
        <w:tabs>
          <w:tab w:val="left" w:pos="0"/>
        </w:tabs>
        <w:wordWrap w:val="0"/>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8.已在医院办公室报名。</w:t>
      </w:r>
    </w:p>
    <w:p>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8" w:name="_Toc202251701"/>
      <w:bookmarkStart w:id="19" w:name="_Toc202251076"/>
      <w:bookmarkStart w:id="20" w:name="_Toc202252035"/>
      <w:bookmarkStart w:id="21" w:name="_Toc202820352"/>
      <w:bookmarkStart w:id="22" w:name="_Toc202816997"/>
      <w:bookmarkStart w:id="23" w:name="_Toc202254106"/>
      <w:bookmarkStart w:id="24" w:name="_Toc202819879"/>
    </w:p>
    <w:p>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8"/>
      <w:bookmarkEnd w:id="19"/>
      <w:bookmarkEnd w:id="20"/>
      <w:bookmarkEnd w:id="21"/>
      <w:bookmarkEnd w:id="22"/>
      <w:bookmarkEnd w:id="23"/>
      <w:bookmarkEnd w:id="24"/>
    </w:p>
    <w:p>
      <w:pPr>
        <w:tabs>
          <w:tab w:val="left" w:pos="540"/>
        </w:tabs>
        <w:spacing w:line="400" w:lineRule="exac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lang w:val="en-US" w:eastAsia="zh-CN"/>
        </w:rPr>
        <w:t>4.1</w:t>
      </w:r>
      <w:r>
        <w:rPr>
          <w:rFonts w:hint="eastAsia" w:ascii="仿宋" w:hAnsi="仿宋" w:eastAsia="仿宋" w:cs="仿宋"/>
          <w:b w:val="0"/>
          <w:bCs/>
          <w:color w:val="auto"/>
          <w:sz w:val="24"/>
          <w:highlight w:val="none"/>
          <w:lang w:val="en-GB"/>
        </w:rPr>
        <w:t>其它必需重要事项说明及承诺(单页)</w:t>
      </w:r>
    </w:p>
    <w:p>
      <w:pPr>
        <w:adjustRightInd w:val="0"/>
        <w:snapToGrid w:val="0"/>
        <w:spacing w:line="40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4.1.1</w:t>
      </w:r>
      <w:r>
        <w:rPr>
          <w:rFonts w:hint="eastAsia" w:ascii="仿宋" w:hAnsi="仿宋" w:eastAsia="仿宋" w:cs="仿宋"/>
          <w:b w:val="0"/>
          <w:bCs w:val="0"/>
          <w:color w:val="auto"/>
          <w:sz w:val="24"/>
          <w:highlight w:val="none"/>
        </w:rPr>
        <w:t>近三年经营活动中无重大违法违规声明函</w:t>
      </w:r>
    </w:p>
    <w:p>
      <w:pPr>
        <w:adjustRightInd w:val="0"/>
        <w:snapToGrid w:val="0"/>
        <w:spacing w:line="400" w:lineRule="exact"/>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参加本项目前三年内，在经营活动中没有违法记录承诺函。</w:t>
      </w:r>
    </w:p>
    <w:p>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有权取消我公司的响应及成交资格，且我公司将无条件承担由此给本次比选带来的一切后果，包括经济损失。</w:t>
      </w:r>
    </w:p>
    <w:p>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pPr>
        <w:adjustRightInd w:val="0"/>
        <w:snapToGrid w:val="0"/>
        <w:spacing w:line="400" w:lineRule="exact"/>
        <w:ind w:firstLine="555"/>
        <w:rPr>
          <w:rFonts w:hint="eastAsia" w:ascii="仿宋" w:hAnsi="仿宋" w:eastAsia="仿宋" w:cs="仿宋"/>
          <w:color w:val="auto"/>
          <w:sz w:val="24"/>
          <w:highlight w:val="none"/>
        </w:rPr>
      </w:pP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highlight w:val="none"/>
        </w:rPr>
        <w:t>诚信响应承诺书。</w:t>
      </w:r>
    </w:p>
    <w:p>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pPr>
        <w:numPr>
          <w:ilvl w:val="0"/>
          <w:numId w:val="0"/>
        </w:numPr>
        <w:rPr>
          <w:rFonts w:hint="eastAsia" w:ascii="仿宋" w:hAnsi="仿宋" w:eastAsia="仿宋" w:cs="仿宋"/>
          <w:color w:val="auto"/>
          <w:sz w:val="24"/>
          <w:highlight w:val="none"/>
        </w:rPr>
      </w:pPr>
    </w:p>
    <w:p>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numPr>
          <w:ilvl w:val="0"/>
          <w:numId w:val="0"/>
        </w:numPr>
        <w:rPr>
          <w:rFonts w:hint="eastAsia"/>
          <w:color w:val="auto"/>
          <w:highlight w:val="none"/>
        </w:rPr>
      </w:pPr>
      <w:r>
        <w:rPr>
          <w:rFonts w:hint="eastAsia" w:ascii="仿宋" w:hAnsi="仿宋" w:eastAsia="仿宋" w:cs="仿宋"/>
          <w:color w:val="auto"/>
          <w:sz w:val="24"/>
          <w:highlight w:val="none"/>
          <w:lang w:val="en-US" w:eastAsia="zh-CN"/>
        </w:rPr>
        <w:t>4.1.3.1</w:t>
      </w: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4.1.3.2</w:t>
      </w: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pPr>
        <w:rPr>
          <w:rFonts w:hint="default"/>
          <w:color w:val="auto"/>
          <w:highlight w:val="none"/>
          <w:lang w:val="en-US" w:eastAsia="zh-CN"/>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rPr>
      </w:pPr>
    </w:p>
    <w:p>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96"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077" w:type="dxa"/>
            <w:noWrap w:val="0"/>
            <w:vAlign w:val="center"/>
          </w:tcPr>
          <w:p>
            <w:pPr>
              <w:spacing w:line="380" w:lineRule="exact"/>
              <w:jc w:val="center"/>
              <w:rPr>
                <w:rFonts w:hint="eastAsia" w:ascii="仿宋" w:hAnsi="仿宋" w:eastAsia="仿宋" w:cs="仿宋"/>
                <w:color w:val="auto"/>
                <w:sz w:val="21"/>
                <w:szCs w:val="21"/>
                <w:highlight w:val="none"/>
                <w:lang w:val="en-US" w:eastAsia="zh-CN"/>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lang w:val="en-US" w:eastAsia="zh-CN"/>
              </w:rPr>
            </w:pPr>
          </w:p>
        </w:tc>
        <w:tc>
          <w:tcPr>
            <w:tcW w:w="736"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077" w:type="dxa"/>
            <w:noWrap w:val="0"/>
            <w:vAlign w:val="center"/>
          </w:tcPr>
          <w:p>
            <w:pPr>
              <w:jc w:val="center"/>
              <w:rPr>
                <w:rFonts w:hint="eastAsia" w:ascii="仿宋" w:hAnsi="仿宋" w:eastAsia="仿宋" w:cs="仿宋"/>
                <w:color w:val="auto"/>
                <w:sz w:val="21"/>
                <w:szCs w:val="21"/>
                <w:highlight w:val="none"/>
              </w:rPr>
            </w:pPr>
          </w:p>
        </w:tc>
        <w:tc>
          <w:tcPr>
            <w:tcW w:w="3651" w:type="dxa"/>
            <w:noWrap w:val="0"/>
            <w:vAlign w:val="center"/>
          </w:tcPr>
          <w:p>
            <w:pPr>
              <w:adjustRightInd w:val="0"/>
              <w:snapToGrid w:val="0"/>
              <w:spacing w:line="360" w:lineRule="auto"/>
              <w:jc w:val="center"/>
              <w:rPr>
                <w:rFonts w:hint="eastAsia" w:ascii="仿宋" w:hAnsi="仿宋" w:eastAsia="仿宋" w:cs="仿宋"/>
                <w:color w:val="auto"/>
                <w:sz w:val="21"/>
                <w:szCs w:val="21"/>
                <w:highlight w:val="none"/>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96" w:type="dxa"/>
            <w:noWrap w:val="0"/>
            <w:vAlign w:val="center"/>
          </w:tcPr>
          <w:p>
            <w:pPr>
              <w:jc w:val="center"/>
              <w:rPr>
                <w:rFonts w:hint="eastAsia" w:ascii="仿宋" w:hAnsi="仿宋" w:eastAsia="仿宋" w:cs="仿宋"/>
                <w:color w:val="auto"/>
                <w:szCs w:val="21"/>
                <w:highlight w:val="none"/>
                <w:lang w:val="en-US" w:eastAsia="zh-CN"/>
              </w:rPr>
            </w:pPr>
          </w:p>
        </w:tc>
        <w:tc>
          <w:tcPr>
            <w:tcW w:w="1077" w:type="dxa"/>
            <w:noWrap w:val="0"/>
            <w:vAlign w:val="center"/>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pPr>
              <w:rPr>
                <w:rFonts w:hint="eastAsia" w:ascii="仿宋" w:hAnsi="仿宋" w:eastAsia="仿宋" w:cs="仿宋"/>
                <w:color w:val="auto"/>
                <w:szCs w:val="21"/>
                <w:highlight w:val="none"/>
              </w:rPr>
            </w:pPr>
          </w:p>
        </w:tc>
        <w:tc>
          <w:tcPr>
            <w:tcW w:w="1430" w:type="dxa"/>
            <w:noWrap w:val="0"/>
            <w:vAlign w:val="top"/>
          </w:tcPr>
          <w:p>
            <w:pPr>
              <w:rPr>
                <w:rFonts w:hint="eastAsia" w:ascii="仿宋" w:hAnsi="仿宋" w:eastAsia="仿宋" w:cs="仿宋"/>
                <w:color w:val="auto"/>
                <w:szCs w:val="21"/>
                <w:highlight w:val="none"/>
              </w:rPr>
            </w:pPr>
          </w:p>
        </w:tc>
        <w:tc>
          <w:tcPr>
            <w:tcW w:w="1030" w:type="dxa"/>
            <w:noWrap w:val="0"/>
            <w:vAlign w:val="top"/>
          </w:tcPr>
          <w:p>
            <w:pPr>
              <w:rPr>
                <w:rFonts w:hint="eastAsia" w:ascii="仿宋" w:hAnsi="仿宋" w:eastAsia="仿宋" w:cs="仿宋"/>
                <w:color w:val="auto"/>
                <w:szCs w:val="21"/>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ascii="仿宋" w:hAnsi="仿宋" w:eastAsia="仿宋" w:cs="仿宋"/>
          <w:color w:val="auto"/>
          <w:sz w:val="24"/>
          <w:highlight w:val="none"/>
        </w:rPr>
      </w:pPr>
    </w:p>
    <w:p>
      <w:pPr>
        <w:pStyle w:val="4"/>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w:t>
            </w:r>
            <w:r>
              <w:rPr>
                <w:rFonts w:hint="eastAsia" w:ascii="仿宋" w:hAnsi="仿宋" w:eastAsia="仿宋" w:cs="仿宋"/>
                <w:color w:val="auto"/>
                <w:szCs w:val="21"/>
                <w:highlight w:val="none"/>
                <w:lang w:eastAsia="zh-CN"/>
              </w:rPr>
              <w:t>商务</w:t>
            </w:r>
            <w:r>
              <w:rPr>
                <w:rFonts w:hint="eastAsia" w:ascii="仿宋" w:hAnsi="仿宋" w:eastAsia="仿宋" w:cs="仿宋"/>
                <w:color w:val="auto"/>
                <w:szCs w:val="21"/>
                <w:highlight w:val="none"/>
              </w:rPr>
              <w:t>条款要求</w:t>
            </w:r>
          </w:p>
        </w:tc>
        <w:tc>
          <w:tcPr>
            <w:tcW w:w="138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、合格的货物、工程和服务要求</w:t>
            </w:r>
          </w:p>
        </w:tc>
        <w:tc>
          <w:tcPr>
            <w:tcW w:w="138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pPr>
              <w:jc w:val="center"/>
              <w:rPr>
                <w:rFonts w:hint="eastAsia" w:ascii="仿宋" w:hAnsi="仿宋" w:eastAsia="仿宋" w:cs="仿宋"/>
                <w:color w:val="auto"/>
                <w:szCs w:val="21"/>
                <w:highlight w:val="none"/>
              </w:rPr>
            </w:pPr>
          </w:p>
        </w:tc>
        <w:tc>
          <w:tcPr>
            <w:tcW w:w="1391"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w:t>
            </w:r>
            <w:r>
              <w:rPr>
                <w:rFonts w:hint="eastAsia" w:ascii="仿宋" w:hAnsi="仿宋" w:eastAsia="仿宋" w:cs="仿宋"/>
                <w:color w:val="auto"/>
                <w:szCs w:val="21"/>
                <w:highlight w:val="none"/>
                <w:lang w:val="en-US" w:eastAsia="zh-CN"/>
              </w:rPr>
              <w:t>供应商</w:t>
            </w:r>
            <w:r>
              <w:rPr>
                <w:rFonts w:hint="eastAsia" w:ascii="仿宋" w:hAnsi="仿宋" w:eastAsia="仿宋" w:cs="仿宋"/>
                <w:color w:val="auto"/>
                <w:szCs w:val="21"/>
                <w:highlight w:val="none"/>
              </w:rPr>
              <w:t>的各项须知、规约要求和责任义务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报价内容均涵盖报价要求之一切费用和伴随服务</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ind w:right="-35"/>
              <w:jc w:val="center"/>
              <w:rPr>
                <w:rFonts w:hint="eastAsia" w:ascii="仿宋" w:hAnsi="仿宋" w:eastAsia="仿宋" w:cs="仿宋"/>
                <w:color w:val="auto"/>
                <w:szCs w:val="21"/>
                <w:highlight w:val="none"/>
              </w:rPr>
            </w:pPr>
          </w:p>
        </w:tc>
        <w:tc>
          <w:tcPr>
            <w:tcW w:w="1391" w:type="dxa"/>
            <w:noWrap w:val="0"/>
            <w:vAlign w:val="center"/>
          </w:tcPr>
          <w:p>
            <w:pPr>
              <w:ind w:right="-35"/>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同意按本项目要求缴付相关款项</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3947" w:type="dxa"/>
            <w:noWrap w:val="0"/>
            <w:vAlign w:val="center"/>
          </w:tcPr>
          <w:p>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同意采购方以任何形式对我方响应文件内容的真实性和有效性进行审查、验证</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3947" w:type="dxa"/>
            <w:noWrap w:val="0"/>
            <w:vAlign w:val="center"/>
          </w:tcPr>
          <w:p>
            <w:pPr>
              <w:pStyle w:val="12"/>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满足对服务的各项要求</w:t>
            </w:r>
          </w:p>
        </w:tc>
        <w:tc>
          <w:tcPr>
            <w:tcW w:w="1381" w:type="dxa"/>
            <w:noWrap w:val="0"/>
            <w:vAlign w:val="center"/>
          </w:tcPr>
          <w:p>
            <w:pPr>
              <w:jc w:val="center"/>
              <w:rPr>
                <w:rFonts w:hint="eastAsia" w:ascii="仿宋" w:hAnsi="仿宋" w:eastAsia="仿宋" w:cs="仿宋"/>
                <w:color w:val="auto"/>
                <w:szCs w:val="21"/>
                <w:highlight w:val="none"/>
              </w:rPr>
            </w:pPr>
          </w:p>
        </w:tc>
        <w:tc>
          <w:tcPr>
            <w:tcW w:w="1322"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50" w:type="dxa"/>
            <w:gridSpan w:val="3"/>
            <w:noWrap w:val="0"/>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pP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pPr>
        <w:rPr>
          <w:rFonts w:hint="eastAsia" w:ascii="仿宋" w:hAnsi="仿宋" w:eastAsia="仿宋" w:cs="仿宋"/>
          <w:color w:val="auto"/>
          <w:szCs w:val="21"/>
          <w:highlight w:val="none"/>
          <w:lang w:val="en-GB"/>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5" w:name="_Toc202254107"/>
      <w:bookmarkStart w:id="26" w:name="_Toc202252036"/>
      <w:bookmarkStart w:id="27" w:name="_Toc202820353"/>
      <w:bookmarkStart w:id="28" w:name="_Toc202251702"/>
      <w:bookmarkStart w:id="29" w:name="_Toc202816998"/>
      <w:bookmarkStart w:id="30" w:name="_Toc202251077"/>
      <w:bookmarkStart w:id="31" w:name="_Toc202819880"/>
      <w:r>
        <w:rPr>
          <w:rFonts w:hint="eastAsia"/>
          <w:color w:val="auto"/>
          <w:highlight w:val="none"/>
        </w:rPr>
        <w:br w:type="page"/>
      </w:r>
    </w:p>
    <w:p>
      <w:pPr>
        <w:tabs>
          <w:tab w:val="left" w:pos="540"/>
        </w:tabs>
        <w:outlineLvl w:val="1"/>
        <w:rPr>
          <w:rFonts w:hint="eastAsia" w:ascii="仿宋" w:hAnsi="仿宋" w:eastAsia="仿宋" w:cs="仿宋"/>
          <w:b/>
          <w:color w:val="auto"/>
          <w:sz w:val="24"/>
          <w:highlight w:val="none"/>
        </w:rPr>
      </w:pPr>
      <w:bookmarkStart w:id="32"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2"/>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pStyle w:val="22"/>
              <w:rPr>
                <w:rFonts w:hint="eastAsia" w:ascii="仿宋" w:hAnsi="仿宋" w:eastAsia="仿宋" w:cs="仿宋"/>
                <w:color w:val="auto"/>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pPr>
              <w:jc w:val="center"/>
              <w:rPr>
                <w:rFonts w:hint="eastAsia" w:ascii="仿宋" w:hAnsi="仿宋" w:eastAsia="仿宋" w:cs="仿宋"/>
                <w:color w:val="auto"/>
                <w:szCs w:val="21"/>
                <w:highlight w:val="none"/>
              </w:rPr>
            </w:pPr>
          </w:p>
        </w:tc>
        <w:tc>
          <w:tcPr>
            <w:tcW w:w="2787" w:type="dxa"/>
            <w:noWrap w:val="0"/>
            <w:vAlign w:val="center"/>
          </w:tcPr>
          <w:p>
            <w:pPr>
              <w:jc w:val="center"/>
              <w:rPr>
                <w:rFonts w:hint="eastAsia" w:ascii="仿宋" w:hAnsi="仿宋" w:eastAsia="仿宋" w:cs="仿宋"/>
                <w:color w:val="auto"/>
                <w:szCs w:val="21"/>
                <w:highlight w:val="none"/>
              </w:rPr>
            </w:pPr>
          </w:p>
        </w:tc>
        <w:tc>
          <w:tcPr>
            <w:tcW w:w="1533" w:type="dxa"/>
            <w:noWrap w:val="0"/>
            <w:vAlign w:val="center"/>
          </w:tcPr>
          <w:p>
            <w:pPr>
              <w:jc w:val="center"/>
              <w:rPr>
                <w:rFonts w:hint="eastAsia" w:ascii="仿宋" w:hAnsi="仿宋" w:eastAsia="仿宋" w:cs="仿宋"/>
                <w:color w:val="auto"/>
                <w:szCs w:val="21"/>
                <w:highlight w:val="none"/>
              </w:rPr>
            </w:pPr>
          </w:p>
        </w:tc>
        <w:tc>
          <w:tcPr>
            <w:tcW w:w="1518" w:type="dxa"/>
            <w:noWrap w:val="0"/>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color w:val="auto"/>
          <w:highlight w:val="none"/>
        </w:rPr>
      </w:pPr>
    </w:p>
    <w:p>
      <w:pPr>
        <w:pStyle w:val="2"/>
        <w:rPr>
          <w:rFonts w:hint="eastAsia"/>
          <w:color w:val="auto"/>
          <w:highlight w:val="none"/>
        </w:rPr>
      </w:pPr>
    </w:p>
    <w:p>
      <w:pPr>
        <w:adjustRightInd w:val="0"/>
        <w:snapToGrid w:val="0"/>
        <w:spacing w:line="300" w:lineRule="auto"/>
        <w:rPr>
          <w:rFonts w:hint="eastAsia"/>
          <w:color w:val="auto"/>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5"/>
      <w:bookmarkEnd w:id="26"/>
      <w:bookmarkEnd w:id="27"/>
      <w:bookmarkEnd w:id="28"/>
      <w:bookmarkEnd w:id="29"/>
      <w:bookmarkEnd w:id="30"/>
      <w:bookmarkEnd w:id="31"/>
    </w:p>
    <w:p>
      <w:pPr>
        <w:pStyle w:val="8"/>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3"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3"/>
      <w:r>
        <w:rPr>
          <w:rFonts w:hint="eastAsia" w:ascii="仿宋" w:hAnsi="仿宋" w:eastAsia="仿宋" w:cs="仿宋"/>
          <w:b/>
          <w:color w:val="auto"/>
          <w:sz w:val="24"/>
          <w:highlight w:val="none"/>
        </w:rPr>
        <w:t>响应表（单页填写）</w:t>
      </w:r>
    </w:p>
    <w:p>
      <w:pPr>
        <w:pStyle w:val="8"/>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5"/>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center"/>
          </w:tcPr>
          <w:p>
            <w:pPr>
              <w:adjustRightInd w:val="0"/>
              <w:snapToGrid w:val="0"/>
              <w:spacing w:line="360" w:lineRule="auto"/>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42" w:type="dxa"/>
            <w:noWrap w:val="0"/>
            <w:vAlign w:val="center"/>
          </w:tcPr>
          <w:p>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pPr>
              <w:spacing w:line="380" w:lineRule="exact"/>
              <w:ind w:left="40" w:leftChars="19"/>
              <w:jc w:val="left"/>
              <w:rPr>
                <w:rFonts w:hint="eastAsia" w:ascii="仿宋" w:hAnsi="仿宋" w:eastAsia="仿宋" w:cs="仿宋"/>
                <w:color w:val="auto"/>
                <w:sz w:val="21"/>
                <w:szCs w:val="21"/>
                <w:highlight w:val="none"/>
                <w:lang w:val="en-US" w:eastAsia="zh-CN"/>
              </w:rPr>
            </w:pPr>
          </w:p>
        </w:tc>
        <w:tc>
          <w:tcPr>
            <w:tcW w:w="170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pPr>
              <w:spacing w:line="380" w:lineRule="exact"/>
              <w:ind w:left="40" w:leftChars="19"/>
              <w:jc w:val="left"/>
              <w:rPr>
                <w:rFonts w:hint="eastAsia" w:ascii="仿宋" w:hAnsi="仿宋" w:eastAsia="仿宋" w:cs="仿宋"/>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42" w:type="dxa"/>
            <w:noWrap w:val="0"/>
            <w:vAlign w:val="center"/>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241" w:type="dxa"/>
            <w:noWrap w:val="0"/>
            <w:vAlign w:val="center"/>
          </w:tcPr>
          <w:p>
            <w:pPr>
              <w:spacing w:line="20" w:lineRule="atLeast"/>
              <w:jc w:val="center"/>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1"/>
                <w:szCs w:val="21"/>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42" w:type="dxa"/>
            <w:noWrap w:val="0"/>
            <w:vAlign w:val="top"/>
          </w:tcPr>
          <w:p>
            <w:pPr>
              <w:spacing w:line="380" w:lineRule="exact"/>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241" w:type="dxa"/>
            <w:noWrap w:val="0"/>
            <w:vAlign w:val="top"/>
          </w:tcPr>
          <w:p>
            <w:pPr>
              <w:spacing w:line="20" w:lineRule="atLeast"/>
              <w:rPr>
                <w:rFonts w:hint="eastAsia" w:ascii="仿宋" w:hAnsi="仿宋" w:eastAsia="仿宋" w:cs="仿宋"/>
                <w:color w:val="auto"/>
                <w:sz w:val="24"/>
                <w:highlight w:val="none"/>
              </w:rPr>
            </w:pPr>
          </w:p>
        </w:tc>
        <w:tc>
          <w:tcPr>
            <w:tcW w:w="1897" w:type="dxa"/>
            <w:noWrap w:val="0"/>
            <w:vAlign w:val="top"/>
          </w:tcPr>
          <w:p>
            <w:pPr>
              <w:spacing w:line="20" w:lineRule="atLeast"/>
              <w:rPr>
                <w:rFonts w:hint="eastAsia" w:ascii="仿宋" w:hAnsi="仿宋" w:eastAsia="仿宋" w:cs="仿宋"/>
                <w:color w:val="auto"/>
                <w:sz w:val="24"/>
                <w:highlight w:val="none"/>
              </w:rPr>
            </w:pPr>
          </w:p>
        </w:tc>
        <w:tc>
          <w:tcPr>
            <w:tcW w:w="1701" w:type="dxa"/>
            <w:noWrap w:val="0"/>
            <w:vAlign w:val="top"/>
          </w:tcPr>
          <w:p>
            <w:pPr>
              <w:spacing w:line="20" w:lineRule="atLeast"/>
              <w:rPr>
                <w:rFonts w:hint="eastAsia" w:ascii="仿宋" w:hAnsi="仿宋" w:eastAsia="仿宋" w:cs="仿宋"/>
                <w:color w:val="auto"/>
                <w:sz w:val="24"/>
                <w:highlight w:val="none"/>
              </w:rPr>
            </w:pPr>
          </w:p>
        </w:tc>
        <w:tc>
          <w:tcPr>
            <w:tcW w:w="871" w:type="dxa"/>
            <w:noWrap w:val="0"/>
            <w:vAlign w:val="top"/>
          </w:tcPr>
          <w:p>
            <w:pPr>
              <w:spacing w:line="20" w:lineRule="atLeast"/>
              <w:rPr>
                <w:rFonts w:hint="eastAsia" w:ascii="仿宋" w:hAnsi="仿宋" w:eastAsia="仿宋" w:cs="仿宋"/>
                <w:color w:val="auto"/>
                <w:sz w:val="24"/>
                <w:highlight w:val="none"/>
              </w:rPr>
            </w:pPr>
          </w:p>
        </w:tc>
        <w:tc>
          <w:tcPr>
            <w:tcW w:w="912" w:type="dxa"/>
            <w:noWrap w:val="0"/>
            <w:vAlign w:val="top"/>
          </w:tcPr>
          <w:p>
            <w:pPr>
              <w:spacing w:line="20" w:lineRule="atLeast"/>
              <w:rPr>
                <w:rFonts w:hint="eastAsia" w:ascii="仿宋" w:hAnsi="仿宋" w:eastAsia="仿宋" w:cs="仿宋"/>
                <w:color w:val="auto"/>
                <w:sz w:val="24"/>
                <w:highlight w:val="none"/>
              </w:rPr>
            </w:pPr>
          </w:p>
        </w:tc>
        <w:tc>
          <w:tcPr>
            <w:tcW w:w="775" w:type="dxa"/>
            <w:noWrap w:val="0"/>
            <w:vAlign w:val="top"/>
          </w:tcPr>
          <w:p>
            <w:pPr>
              <w:spacing w:line="20" w:lineRule="atLeast"/>
              <w:rPr>
                <w:rFonts w:hint="eastAsia" w:ascii="仿宋" w:hAnsi="仿宋" w:eastAsia="仿宋" w:cs="仿宋"/>
                <w:color w:val="auto"/>
                <w:sz w:val="24"/>
                <w:highlight w:val="none"/>
              </w:rPr>
            </w:pPr>
          </w:p>
        </w:tc>
        <w:tc>
          <w:tcPr>
            <w:tcW w:w="1141"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pPr>
        <w:pStyle w:val="8"/>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pPr>
        <w:pStyle w:val="8"/>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5"/>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pPr>
              <w:spacing w:line="20" w:lineRule="atLeast"/>
              <w:rPr>
                <w:rFonts w:hint="eastAsia" w:ascii="仿宋" w:hAnsi="仿宋" w:eastAsia="仿宋" w:cs="仿宋"/>
                <w:color w:val="auto"/>
                <w:sz w:val="24"/>
                <w:highlight w:val="none"/>
              </w:rPr>
            </w:pPr>
          </w:p>
        </w:tc>
        <w:tc>
          <w:tcPr>
            <w:tcW w:w="744" w:type="dxa"/>
            <w:noWrap w:val="0"/>
            <w:vAlign w:val="top"/>
          </w:tcPr>
          <w:p>
            <w:pPr>
              <w:spacing w:line="20" w:lineRule="atLeast"/>
              <w:rPr>
                <w:rFonts w:hint="eastAsia" w:ascii="仿宋" w:hAnsi="仿宋" w:eastAsia="仿宋" w:cs="仿宋"/>
                <w:color w:val="auto"/>
                <w:sz w:val="24"/>
                <w:highlight w:val="none"/>
              </w:rPr>
            </w:pPr>
          </w:p>
        </w:tc>
        <w:tc>
          <w:tcPr>
            <w:tcW w:w="826" w:type="dxa"/>
            <w:noWrap w:val="0"/>
            <w:vAlign w:val="top"/>
          </w:tcPr>
          <w:p>
            <w:pPr>
              <w:spacing w:line="20" w:lineRule="atLeast"/>
              <w:rPr>
                <w:rFonts w:hint="eastAsia" w:ascii="仿宋" w:hAnsi="仿宋" w:eastAsia="仿宋" w:cs="仿宋"/>
                <w:color w:val="auto"/>
                <w:sz w:val="24"/>
                <w:highlight w:val="none"/>
              </w:rPr>
            </w:pPr>
          </w:p>
        </w:tc>
        <w:tc>
          <w:tcPr>
            <w:tcW w:w="660" w:type="dxa"/>
            <w:noWrap w:val="0"/>
            <w:vAlign w:val="top"/>
          </w:tcPr>
          <w:p>
            <w:pPr>
              <w:spacing w:line="20" w:lineRule="atLeast"/>
              <w:rPr>
                <w:rFonts w:hint="eastAsia" w:ascii="仿宋" w:hAnsi="仿宋" w:eastAsia="仿宋" w:cs="仿宋"/>
                <w:color w:val="auto"/>
                <w:sz w:val="24"/>
                <w:highlight w:val="none"/>
              </w:rPr>
            </w:pPr>
          </w:p>
        </w:tc>
        <w:tc>
          <w:tcPr>
            <w:tcW w:w="1350" w:type="dxa"/>
            <w:noWrap w:val="0"/>
            <w:vAlign w:val="top"/>
          </w:tcPr>
          <w:p>
            <w:pPr>
              <w:spacing w:line="20" w:lineRule="atLeast"/>
              <w:rPr>
                <w:rFonts w:hint="eastAsia" w:ascii="仿宋" w:hAnsi="仿宋" w:eastAsia="仿宋" w:cs="仿宋"/>
                <w:color w:val="auto"/>
                <w:sz w:val="24"/>
                <w:highlight w:val="none"/>
              </w:rPr>
            </w:pP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pPr>
        <w:adjustRightInd w:val="0"/>
        <w:snapToGrid w:val="0"/>
        <w:spacing w:line="300" w:lineRule="auto"/>
        <w:rPr>
          <w:rFonts w:ascii="仿宋" w:hAnsi="仿宋" w:eastAsia="仿宋" w:cs="仿宋"/>
          <w:b/>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pPr>
        <w:rPr>
          <w:rFonts w:hint="eastAsia" w:ascii="仿宋" w:hAnsi="仿宋" w:eastAsia="仿宋" w:cs="仿宋"/>
          <w:color w:val="auto"/>
          <w:spacing w:val="20"/>
          <w:szCs w:val="21"/>
          <w:highlight w:val="none"/>
        </w:rPr>
      </w:pPr>
    </w:p>
    <w:tbl>
      <w:tblPr>
        <w:tblStyle w:val="15"/>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p>
    <w:p>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pPr>
        <w:rPr>
          <w:color w:val="auto"/>
          <w:highlight w:val="none"/>
        </w:rPr>
      </w:pPr>
    </w:p>
    <w:p>
      <w:pPr>
        <w:rPr>
          <w:b/>
          <w:bCs/>
          <w:color w:val="auto"/>
          <w:highlight w:val="none"/>
        </w:rPr>
      </w:pPr>
    </w:p>
    <w:p>
      <w:pPr>
        <w:rPr>
          <w:color w:val="auto"/>
          <w:highlight w:val="none"/>
        </w:rPr>
      </w:pPr>
    </w:p>
    <w:bookmarkEnd w:id="0"/>
    <w:p>
      <w:pPr>
        <w:rPr>
          <w:color w:val="auto"/>
          <w:highlight w:val="none"/>
        </w:rPr>
      </w:pPr>
    </w:p>
    <w:p>
      <w:pPr>
        <w:rPr>
          <w:color w:val="auto"/>
        </w:rPr>
      </w:pPr>
    </w:p>
    <w:bookmarkEnd w:id="1"/>
    <w:bookmarkEnd w:id="2"/>
    <w:p>
      <w:pPr>
        <w:rPr>
          <w:color w:val="auto"/>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55</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55</w:t>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C2CC"/>
    <w:multiLevelType w:val="singleLevel"/>
    <w:tmpl w:val="C140C2CC"/>
    <w:lvl w:ilvl="0" w:tentative="0">
      <w:start w:val="1"/>
      <w:numFmt w:val="chineseCounting"/>
      <w:suff w:val="nothing"/>
      <w:lvlText w:val="%1、"/>
      <w:lvlJc w:val="left"/>
      <w:rPr>
        <w:rFonts w:hint="eastAsia"/>
      </w:rPr>
    </w:lvl>
  </w:abstractNum>
  <w:abstractNum w:abstractNumId="1">
    <w:nsid w:val="06016A29"/>
    <w:multiLevelType w:val="singleLevel"/>
    <w:tmpl w:val="06016A29"/>
    <w:lvl w:ilvl="0" w:tentative="0">
      <w:start w:val="4"/>
      <w:numFmt w:val="chineseCounting"/>
      <w:suff w:val="nothing"/>
      <w:lvlText w:val="%1、"/>
      <w:lvlJc w:val="left"/>
      <w:rPr>
        <w:rFonts w:hint="eastAsia"/>
      </w:rPr>
    </w:lvl>
  </w:abstractNum>
  <w:abstractNum w:abstractNumId="2">
    <w:nsid w:val="08A9BB30"/>
    <w:multiLevelType w:val="singleLevel"/>
    <w:tmpl w:val="08A9BB30"/>
    <w:lvl w:ilvl="0" w:tentative="0">
      <w:start w:val="12"/>
      <w:numFmt w:val="chineseCounting"/>
      <w:suff w:val="nothing"/>
      <w:lvlText w:val="%1、"/>
      <w:lvlJc w:val="left"/>
      <w:rPr>
        <w:rFonts w:hint="eastAsia"/>
      </w:rPr>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27B2B"/>
    <w:rsid w:val="1A3D488F"/>
    <w:rsid w:val="211B133B"/>
    <w:rsid w:val="2646292A"/>
    <w:rsid w:val="2AC40715"/>
    <w:rsid w:val="406464CA"/>
    <w:rsid w:val="4A724AE1"/>
    <w:rsid w:val="58BC38C1"/>
    <w:rsid w:val="5972163E"/>
    <w:rsid w:val="5CA5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caption"/>
    <w:basedOn w:val="1"/>
    <w:next w:val="1"/>
    <w:qFormat/>
    <w:uiPriority w:val="0"/>
    <w:rPr>
      <w:rFonts w:ascii="Cambria" w:hAnsi="Cambria" w:eastAsia="黑体" w:cs="Times New Roman"/>
      <w:sz w:val="20"/>
      <w:szCs w:val="20"/>
    </w:rPr>
  </w:style>
  <w:style w:type="paragraph" w:styleId="6">
    <w:name w:val="annotation text"/>
    <w:basedOn w:val="1"/>
    <w:qFormat/>
    <w:uiPriority w:val="0"/>
    <w:pPr>
      <w:jc w:val="left"/>
    </w:pPr>
  </w:style>
  <w:style w:type="paragraph" w:styleId="7">
    <w:name w:val="Body Text 3"/>
    <w:basedOn w:val="1"/>
    <w:qFormat/>
    <w:uiPriority w:val="0"/>
    <w:pPr>
      <w:spacing w:after="120"/>
    </w:pPr>
    <w:rPr>
      <w:sz w:val="16"/>
      <w:szCs w:val="16"/>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index heading"/>
    <w:basedOn w:val="1"/>
    <w:next w:val="13"/>
    <w:qFormat/>
    <w:uiPriority w:val="0"/>
    <w:rPr>
      <w:szCs w:val="20"/>
    </w:rPr>
  </w:style>
  <w:style w:type="paragraph" w:styleId="13">
    <w:name w:val="index 1"/>
    <w:basedOn w:val="1"/>
    <w:next w:val="1"/>
    <w:qFormat/>
    <w:uiPriority w:val="0"/>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7">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8">
    <w:name w:val="列出段落1"/>
    <w:basedOn w:val="1"/>
    <w:qFormat/>
    <w:uiPriority w:val="0"/>
    <w:pPr>
      <w:ind w:firstLine="420" w:firstLineChars="200"/>
    </w:pPr>
    <w:rPr>
      <w:rFonts w:ascii="Calibri" w:hAnsi="Calibri" w:eastAsia="宋体" w:cs="Times New Roman"/>
    </w:rPr>
  </w:style>
  <w:style w:type="paragraph" w:customStyle="1" w:styleId="19">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0">
    <w:name w:val="null3"/>
    <w:qFormat/>
    <w:uiPriority w:val="0"/>
    <w:rPr>
      <w:rFonts w:hint="eastAsia" w:ascii="Calibri" w:hAnsi="Calibri" w:eastAsia="宋体" w:cs="Times New Roman"/>
      <w:lang w:val="en-US" w:eastAsia="zh-Hans"/>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题注4"/>
    <w:basedOn w:val="1"/>
    <w:next w:val="5"/>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2025-04-21T06:46:00Z</dcterms:created>
  <dc:creator>Administrator.FY-202308300715</dc:creator>
  <cp:lastModifiedBy>Mao</cp:lastModifiedBy>
  <dcterms:modified xsi:type="dcterms:W3CDTF">2025-04-30T03:34:53Z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