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w:t>
      </w:r>
    </w:p>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default"/>
          <w:color w:val="auto"/>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ZCB-YN-2025026</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 xml:space="preserve"> 项目名称：</w:t>
      </w:r>
      <w:r>
        <w:rPr>
          <w:rFonts w:hint="eastAsia" w:ascii="仿宋" w:hAnsi="仿宋" w:eastAsia="仿宋" w:cs="仿宋"/>
          <w:b/>
          <w:color w:val="auto"/>
          <w:sz w:val="28"/>
          <w:szCs w:val="28"/>
          <w:highlight w:val="none"/>
          <w:lang w:eastAsia="zh-CN"/>
        </w:rPr>
        <w:tab/>
      </w:r>
      <w:r>
        <w:rPr>
          <w:rFonts w:hint="eastAsia" w:ascii="仿宋" w:hAnsi="仿宋" w:eastAsia="仿宋" w:cs="仿宋"/>
          <w:b/>
          <w:color w:val="auto"/>
          <w:sz w:val="28"/>
          <w:szCs w:val="28"/>
          <w:highlight w:val="none"/>
          <w:lang w:eastAsia="zh-CN"/>
        </w:rPr>
        <w:t>惠州市第一妇幼保健院2025年合理用药系统接口开发及维保服务采购项目</w:t>
      </w:r>
    </w:p>
    <w:p>
      <w:pPr>
        <w:jc w:val="both"/>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月</w:t>
      </w:r>
    </w:p>
    <w:p>
      <w:pPr>
        <w:jc w:val="center"/>
        <w:rPr>
          <w:rFonts w:hint="eastAsia" w:ascii="仿宋" w:hAnsi="仿宋" w:eastAsia="仿宋" w:cs="仿宋"/>
          <w:b/>
          <w:bCs/>
          <w:color w:val="auto"/>
          <w:sz w:val="52"/>
          <w:szCs w:val="5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rPr>
        <w:t>目      录</w:t>
      </w:r>
    </w:p>
    <w:p>
      <w:pPr>
        <w:pStyle w:val="9"/>
        <w:rPr>
          <w:rFonts w:hint="eastAsia"/>
          <w:color w:val="auto"/>
          <w:highlight w:val="none"/>
          <w:lang w:eastAsia="zh-CN"/>
        </w:rPr>
      </w:pPr>
    </w:p>
    <w:p>
      <w:pPr>
        <w:pStyle w:val="14"/>
        <w:tabs>
          <w:tab w:val="right" w:leader="dot" w:pos="9174"/>
        </w:tabs>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pPr>
        <w:spacing w:line="360" w:lineRule="auto"/>
        <w:rPr>
          <w:rFonts w:hint="eastAsia" w:ascii="仿宋" w:hAnsi="仿宋" w:eastAsia="仿宋" w:cs="仿宋"/>
          <w:b/>
          <w:color w:val="auto"/>
          <w:kern w:val="0"/>
          <w:sz w:val="28"/>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pPr>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各（潜在）供应商:</w:t>
      </w:r>
    </w:p>
    <w:p>
      <w:pPr>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惠州市第一妇幼保健院2025年合理用药系统接口开发及维保服务采购项目</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pPr>
        <w:autoSpaceDE w:val="0"/>
        <w:autoSpaceDN w:val="0"/>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ZCB-YN-2025026</w:t>
      </w:r>
    </w:p>
    <w:p>
      <w:pPr>
        <w:autoSpaceDE w:val="0"/>
        <w:autoSpaceDN w:val="0"/>
        <w:spacing w:line="420" w:lineRule="exact"/>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惠州市第一妇幼保健院2025年合理用药系统接口开发及维保服务采购项目</w:t>
      </w:r>
    </w:p>
    <w:p>
      <w:pPr>
        <w:spacing w:line="420" w:lineRule="exact"/>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w:t>
      </w:r>
    </w:p>
    <w:tbl>
      <w:tblPr>
        <w:tblStyle w:val="18"/>
        <w:tblW w:w="8171" w:type="dxa"/>
        <w:jc w:val="center"/>
        <w:tblLayout w:type="fixed"/>
        <w:tblCellMar>
          <w:top w:w="0" w:type="dxa"/>
          <w:left w:w="108" w:type="dxa"/>
          <w:bottom w:w="0" w:type="dxa"/>
          <w:right w:w="108" w:type="dxa"/>
        </w:tblCellMar>
      </w:tblPr>
      <w:tblGrid>
        <w:gridCol w:w="775"/>
        <w:gridCol w:w="2535"/>
        <w:gridCol w:w="755"/>
        <w:gridCol w:w="700"/>
        <w:gridCol w:w="1420"/>
        <w:gridCol w:w="1986"/>
      </w:tblGrid>
      <w:tr>
        <w:tblPrEx>
          <w:tblCellMar>
            <w:top w:w="0" w:type="dxa"/>
            <w:left w:w="108" w:type="dxa"/>
            <w:bottom w:w="0" w:type="dxa"/>
            <w:right w:w="108" w:type="dxa"/>
          </w:tblCellMar>
        </w:tblPrEx>
        <w:trPr>
          <w:trHeight w:val="645"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序号</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w:t>
            </w:r>
          </w:p>
        </w:tc>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tblPrEx>
          <w:tblCellMar>
            <w:top w:w="0" w:type="dxa"/>
            <w:left w:w="108" w:type="dxa"/>
            <w:bottom w:w="0" w:type="dxa"/>
            <w:right w:w="108" w:type="dxa"/>
          </w:tblCellMar>
        </w:tblPrEx>
        <w:trPr>
          <w:trHeight w:val="971"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1</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惠州市第一妇幼保健院2025年合理用药系统接口开发及维保服务采购项目</w:t>
            </w:r>
          </w:p>
        </w:tc>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92000.00</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详细</w:t>
            </w:r>
            <w:r>
              <w:rPr>
                <w:rFonts w:hint="eastAsia" w:ascii="仿宋" w:hAnsi="仿宋" w:eastAsia="仿宋" w:cs="仿宋"/>
                <w:color w:val="auto"/>
                <w:kern w:val="0"/>
                <w:sz w:val="24"/>
                <w:szCs w:val="24"/>
                <w:highlight w:val="none"/>
                <w:lang w:eastAsia="zh-CN"/>
              </w:rPr>
              <w:t>技术要求</w:t>
            </w:r>
            <w:r>
              <w:rPr>
                <w:rFonts w:hint="eastAsia" w:ascii="仿宋" w:hAnsi="仿宋" w:eastAsia="仿宋" w:cs="仿宋"/>
                <w:color w:val="auto"/>
                <w:kern w:val="0"/>
                <w:sz w:val="24"/>
                <w:szCs w:val="24"/>
                <w:highlight w:val="none"/>
              </w:rPr>
              <w:t>请参阅</w:t>
            </w:r>
            <w:r>
              <w:rPr>
                <w:rFonts w:hint="eastAsia" w:ascii="仿宋" w:hAnsi="仿宋" w:eastAsia="仿宋" w:cs="仿宋"/>
                <w:color w:val="auto"/>
                <w:kern w:val="0"/>
                <w:sz w:val="24"/>
                <w:szCs w:val="24"/>
                <w:highlight w:val="none"/>
                <w:lang w:val="en-US" w:eastAsia="zh-CN"/>
              </w:rPr>
              <w:t>比选</w:t>
            </w:r>
            <w:r>
              <w:rPr>
                <w:rFonts w:hint="eastAsia" w:ascii="仿宋" w:hAnsi="仿宋" w:eastAsia="仿宋" w:cs="仿宋"/>
                <w:color w:val="auto"/>
                <w:kern w:val="0"/>
                <w:sz w:val="24"/>
                <w:szCs w:val="24"/>
                <w:highlight w:val="none"/>
              </w:rPr>
              <w:t>文件中的采购项目内容。</w:t>
            </w:r>
          </w:p>
        </w:tc>
      </w:tr>
    </w:tbl>
    <w:p>
      <w:pPr>
        <w:spacing w:line="420" w:lineRule="exact"/>
        <w:ind w:firstLine="504" w:firstLineChars="210"/>
        <w:rPr>
          <w:rFonts w:hint="eastAsia" w:ascii="仿宋" w:hAnsi="仿宋" w:eastAsia="仿宋" w:cs="仿宋"/>
          <w:color w:val="auto"/>
          <w:sz w:val="24"/>
          <w:highlight w:val="none"/>
          <w:lang w:val="zh-CN"/>
        </w:rPr>
      </w:pPr>
    </w:p>
    <w:p>
      <w:pPr>
        <w:spacing w:line="420" w:lineRule="exact"/>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四、拟参加</w:t>
      </w:r>
      <w:r>
        <w:rPr>
          <w:rFonts w:hint="eastAsia" w:ascii="仿宋" w:hAnsi="仿宋" w:eastAsia="仿宋" w:cs="仿宋"/>
          <w:color w:val="auto"/>
          <w:sz w:val="24"/>
          <w:highlight w:val="none"/>
        </w:rPr>
        <w:t>响应的供应商应当在</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日起至</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日（上午08:00-12:00，下午14:30-17:30，法定节假日除外）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15分</w:t>
      </w:r>
      <w:r>
        <w:rPr>
          <w:rFonts w:hint="eastAsia" w:ascii="仿宋" w:hAnsi="仿宋" w:eastAsia="仿宋" w:cs="仿宋"/>
          <w:color w:val="auto"/>
          <w:sz w:val="24"/>
          <w:highlight w:val="none"/>
        </w:rPr>
        <w:t>（北京时间）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r>
        <w:rPr>
          <w:rFonts w:hint="eastAsia" w:ascii="仿宋" w:hAnsi="仿宋" w:eastAsia="仿宋" w:cs="仿宋"/>
          <w:color w:val="auto"/>
          <w:sz w:val="24"/>
          <w:highlight w:val="none"/>
        </w:rPr>
        <w:t>。</w:t>
      </w:r>
    </w:p>
    <w:p>
      <w:pPr>
        <w:spacing w:line="42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p>
    <w:p>
      <w:pPr>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李工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p>
    <w:p>
      <w:pPr>
        <w:spacing w:line="42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420" w:lineRule="exact"/>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420" w:lineRule="exact"/>
        <w:ind w:firstLine="3720" w:firstLineChars="155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pPr>
        <w:spacing w:line="420" w:lineRule="exact"/>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日</w:t>
      </w:r>
    </w:p>
    <w:p>
      <w:pPr>
        <w:spacing w:line="360" w:lineRule="auto"/>
        <w:jc w:val="center"/>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采购项目内容</w:t>
      </w:r>
    </w:p>
    <w:p>
      <w:pPr>
        <w:numPr>
          <w:ilvl w:val="0"/>
          <w:numId w:val="2"/>
        </w:num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响应供应商</w:t>
      </w:r>
      <w:r>
        <w:rPr>
          <w:rFonts w:hint="eastAsia" w:ascii="仿宋" w:hAnsi="仿宋" w:eastAsia="仿宋" w:cs="仿宋"/>
          <w:b/>
          <w:bCs/>
          <w:color w:val="auto"/>
          <w:sz w:val="24"/>
          <w:highlight w:val="none"/>
        </w:rPr>
        <w:t>资格</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1.具备《政府采购法》第二十二条规定的条件,且提供以下证明文件：</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w:t>
      </w:r>
      <w:r>
        <w:rPr>
          <w:rFonts w:hint="eastAsia" w:ascii="仿宋" w:hAnsi="仿宋" w:eastAsia="仿宋" w:cs="仿宋"/>
          <w:b/>
          <w:bCs/>
          <w:color w:val="auto"/>
          <w:sz w:val="24"/>
          <w:highlight w:val="none"/>
        </w:rPr>
        <w:t>（提供营业执照等证明文件）</w:t>
      </w:r>
      <w:r>
        <w:rPr>
          <w:rFonts w:hint="eastAsia" w:ascii="仿宋" w:hAnsi="仿宋" w:eastAsia="仿宋" w:cs="仿宋"/>
          <w:color w:val="auto"/>
          <w:sz w:val="24"/>
          <w:highlight w:val="none"/>
        </w:rPr>
        <w:t>；</w:t>
      </w:r>
    </w:p>
    <w:p>
      <w:pPr>
        <w:tabs>
          <w:tab w:val="left" w:pos="0"/>
        </w:tabs>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rPr>
        <w:t>供应商必须具有良好的商业信誉和健全的财务会计制度。可提供：①</w:t>
      </w: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rPr>
        <w:t>至今任意一年经审计的审计报告复印件（包含审计报告中所涉及的财务报表和报表附注）；或②</w:t>
      </w: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rPr>
        <w:t>度至今任意一年</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内部的财务报表复印件（新成立公司提供成立至今的月或季度财务报表复印件）；或③截至</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文件递交截止日</w:t>
      </w:r>
      <w:r>
        <w:rPr>
          <w:rFonts w:hint="eastAsia" w:ascii="仿宋" w:hAnsi="仿宋" w:eastAsia="仿宋" w:cs="仿宋"/>
          <w:color w:val="auto"/>
          <w:sz w:val="24"/>
          <w:szCs w:val="24"/>
          <w:highlight w:val="none"/>
          <w:lang w:eastAsia="zh-CN"/>
        </w:rPr>
        <w:t>12个月内银行</w:t>
      </w:r>
      <w:r>
        <w:rPr>
          <w:rFonts w:hint="eastAsia" w:ascii="仿宋" w:hAnsi="仿宋" w:eastAsia="仿宋" w:cs="仿宋"/>
          <w:color w:val="auto"/>
          <w:sz w:val="24"/>
          <w:szCs w:val="24"/>
          <w:highlight w:val="none"/>
        </w:rPr>
        <w:t>出具的资信证明（复印件）；</w:t>
      </w:r>
    </w:p>
    <w:p>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（3）比选截止时间近12个月内任意一个月的依法缴纳税收证明材料</w:t>
      </w:r>
      <w:r>
        <w:rPr>
          <w:rFonts w:hint="eastAsia" w:ascii="仿宋" w:hAnsi="仿宋" w:eastAsia="仿宋" w:cs="仿宋"/>
          <w:b/>
          <w:bCs/>
          <w:color w:val="auto"/>
          <w:sz w:val="24"/>
          <w:highlight w:val="none"/>
        </w:rPr>
        <w:t>（如依法免税，则须提供相应文件证明其依法免税）；</w:t>
      </w:r>
    </w:p>
    <w:p>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（4）比选截止时间近12个月内任意一个月的依法缴纳社会保险凭据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w:t>
      </w:r>
      <w:r>
        <w:rPr>
          <w:rFonts w:hint="eastAsia" w:ascii="仿宋" w:hAnsi="仿宋" w:eastAsia="仿宋" w:cs="仿宋"/>
          <w:color w:val="auto"/>
          <w:sz w:val="24"/>
          <w:highlight w:val="none"/>
          <w:lang w:eastAsia="zh-CN"/>
        </w:rPr>
        <w:t>或书面声明。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3.单位负责人为同一人或者存在直接控股、管理关系的不同供应商，不得参加同一包号</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lang w:val="zh-CN"/>
        </w:rPr>
        <w:t>或者未划分包号的同一采购项目。</w:t>
      </w:r>
      <w:r>
        <w:rPr>
          <w:rFonts w:hint="eastAsia" w:ascii="仿宋" w:hAnsi="仿宋" w:eastAsia="仿宋" w:cs="仿宋"/>
          <w:b/>
          <w:bCs/>
          <w:color w:val="auto"/>
          <w:sz w:val="24"/>
          <w:highlight w:val="none"/>
          <w:lang w:val="zh-CN"/>
        </w:rPr>
        <w:t>(供应商出具声明函)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4.为本采购项目提供整体设计、规范编制或者项目管理、监理、检测等服务的供应商，不得再参加本采购项目的采购活动。</w:t>
      </w:r>
      <w:r>
        <w:rPr>
          <w:rFonts w:hint="eastAsia" w:ascii="仿宋" w:hAnsi="仿宋" w:eastAsia="仿宋" w:cs="仿宋"/>
          <w:b/>
          <w:bCs/>
          <w:color w:val="auto"/>
          <w:sz w:val="24"/>
          <w:highlight w:val="none"/>
          <w:lang w:val="zh-CN"/>
        </w:rPr>
        <w:t>(供应商出具声明函)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rPr>
        <w:t>5.</w:t>
      </w:r>
      <w:r>
        <w:rPr>
          <w:rFonts w:hint="eastAsia" w:ascii="仿宋" w:hAnsi="仿宋" w:eastAsia="仿宋" w:cs="仿宋"/>
          <w:color w:val="auto"/>
          <w:sz w:val="24"/>
          <w:highlight w:val="none"/>
        </w:rPr>
        <w:t>本项目不接受联合体参加比选，不允许响应供应商对各比选项目进行分包或转包</w:t>
      </w:r>
      <w:r>
        <w:rPr>
          <w:rFonts w:hint="eastAsia" w:ascii="仿宋" w:hAnsi="仿宋" w:eastAsia="仿宋" w:cs="仿宋"/>
          <w:b/>
          <w:bCs/>
          <w:color w:val="auto"/>
          <w:sz w:val="24"/>
          <w:highlight w:val="none"/>
        </w:rPr>
        <w:t>(供应商出具声明函)</w:t>
      </w:r>
      <w:r>
        <w:rPr>
          <w:rFonts w:hint="eastAsia" w:ascii="仿宋" w:hAnsi="仿宋" w:eastAsia="仿宋" w:cs="仿宋"/>
          <w:color w:val="auto"/>
          <w:sz w:val="24"/>
          <w:highlight w:val="none"/>
          <w:lang w:eastAsia="zh-CN"/>
        </w:rPr>
        <w:t>。</w:t>
      </w:r>
    </w:p>
    <w:p>
      <w:pPr>
        <w:tabs>
          <w:tab w:val="left" w:pos="0"/>
        </w:tabs>
        <w:wordWrap w:val="0"/>
        <w:spacing w:line="360" w:lineRule="auto"/>
        <w:ind w:firstLine="480" w:firstLineChars="200"/>
        <w:jc w:val="left"/>
        <w:rPr>
          <w:rFonts w:hint="eastAsia" w:ascii="仿宋" w:hAnsi="仿宋" w:eastAsia="仿宋" w:cs="仿宋"/>
          <w:b w:val="0"/>
          <w:bCs w:val="0"/>
          <w:strike w:val="0"/>
          <w:color w:val="auto"/>
          <w:sz w:val="24"/>
          <w:highlight w:val="none"/>
          <w:lang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lang w:eastAsia="zh-CN"/>
        </w:rPr>
        <w:t>本项目是专门面向中小企业采购的项目，供应商应为中小微企业。（提供《中小企业声明函》,具体格式文件见比选文件</w:t>
      </w:r>
      <w:r>
        <w:rPr>
          <w:rFonts w:hint="eastAsia" w:ascii="仿宋" w:hAnsi="仿宋" w:eastAsia="仿宋" w:cs="仿宋"/>
          <w:b/>
          <w:bCs/>
          <w:strike w:val="0"/>
          <w:color w:val="auto"/>
          <w:sz w:val="24"/>
          <w:highlight w:val="none"/>
          <w:lang w:eastAsia="zh-CN"/>
        </w:rPr>
        <w:t>P</w:t>
      </w:r>
      <w:r>
        <w:rPr>
          <w:rFonts w:hint="eastAsia" w:ascii="仿宋" w:hAnsi="仿宋" w:eastAsia="仿宋" w:cs="仿宋"/>
          <w:b/>
          <w:bCs/>
          <w:strike w:val="0"/>
          <w:color w:val="auto"/>
          <w:sz w:val="24"/>
          <w:highlight w:val="none"/>
          <w:lang w:val="en-US" w:eastAsia="zh-CN"/>
        </w:rPr>
        <w:t>52</w:t>
      </w:r>
      <w:r>
        <w:rPr>
          <w:rFonts w:hint="eastAsia" w:ascii="仿宋" w:hAnsi="仿宋" w:eastAsia="仿宋" w:cs="仿宋"/>
          <w:strike w:val="0"/>
          <w:color w:val="auto"/>
          <w:sz w:val="24"/>
          <w:highlight w:val="none"/>
          <w:lang w:eastAsia="zh-CN"/>
        </w:rPr>
        <w:t>中小企业声明函，未按要求提供声明函的将导致响应无效）。</w:t>
      </w:r>
      <w:r>
        <w:rPr>
          <w:rFonts w:hint="eastAsia" w:ascii="仿宋" w:hAnsi="仿宋" w:eastAsia="仿宋" w:cs="仿宋"/>
          <w:strike w:val="0"/>
          <w:color w:val="auto"/>
          <w:sz w:val="24"/>
          <w:highlight w:val="none"/>
        </w:rPr>
        <w:t>本项目中小企业划</w:t>
      </w:r>
      <w:r>
        <w:rPr>
          <w:rFonts w:hint="eastAsia" w:ascii="仿宋" w:hAnsi="仿宋" w:eastAsia="仿宋" w:cs="仿宋"/>
          <w:b w:val="0"/>
          <w:bCs w:val="0"/>
          <w:strike w:val="0"/>
          <w:color w:val="auto"/>
          <w:sz w:val="24"/>
          <w:highlight w:val="none"/>
        </w:rPr>
        <w:t>分标准所属行业为</w:t>
      </w:r>
      <w:r>
        <w:rPr>
          <w:rFonts w:hint="eastAsia" w:ascii="仿宋" w:hAnsi="仿宋" w:eastAsia="仿宋" w:cs="仿宋"/>
          <w:b w:val="0"/>
          <w:bCs w:val="0"/>
          <w:strike w:val="0"/>
          <w:color w:val="auto"/>
          <w:sz w:val="24"/>
          <w:highlight w:val="none"/>
          <w:lang w:eastAsia="zh-CN"/>
        </w:rPr>
        <w:t>：</w:t>
      </w:r>
      <w:r>
        <w:rPr>
          <w:rFonts w:hint="eastAsia" w:ascii="仿宋" w:hAnsi="仿宋" w:eastAsia="仿宋" w:cs="仿宋"/>
          <w:color w:val="auto"/>
          <w:sz w:val="24"/>
          <w:highlight w:val="none"/>
          <w:lang w:bidi="ar"/>
        </w:rPr>
        <w:t>软件和信息技术服务业</w:t>
      </w:r>
      <w:r>
        <w:rPr>
          <w:rFonts w:hint="eastAsia" w:ascii="仿宋" w:hAnsi="仿宋" w:eastAsia="仿宋" w:cs="仿宋"/>
          <w:color w:val="auto"/>
          <w:sz w:val="24"/>
          <w:highlight w:val="none"/>
        </w:rPr>
        <w:t>。</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autoSpaceDE w:val="0"/>
        <w:autoSpaceDN w:val="0"/>
        <w:spacing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响应供应商必须满足以上资格要求，如出现对任意一条不满足的，资格性审查将不通过。</w:t>
      </w:r>
    </w:p>
    <w:p>
      <w:p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采购项目用户需求书</w:t>
      </w:r>
    </w:p>
    <w:p>
      <w:pPr>
        <w:numPr>
          <w:ilvl w:val="0"/>
          <w:numId w:val="0"/>
        </w:numPr>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（一）响应</w:t>
      </w:r>
      <w:r>
        <w:rPr>
          <w:rFonts w:hint="eastAsia" w:ascii="仿宋" w:hAnsi="仿宋" w:eastAsia="仿宋" w:cs="仿宋"/>
          <w:b/>
          <w:bCs/>
          <w:color w:val="auto"/>
          <w:sz w:val="24"/>
          <w:highlight w:val="none"/>
          <w:lang w:val="zh-CN" w:eastAsia="zh-CN"/>
        </w:rPr>
        <w:t>基本要求</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rPr>
        <w:t>至少应提供对主要技术参数的响应证明材料。响应供应商所响应产品应当提供厂商说明材料，厂商说明材料包括但不限于下列文件：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（1）响应产品的品牌、型号、详细配置参数；</w:t>
      </w:r>
    </w:p>
    <w:p>
      <w:pPr>
        <w:spacing w:line="360" w:lineRule="auto"/>
        <w:ind w:firstLine="480"/>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响应供应商公章）。</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本采购项目中标注★号的内容为实质性要求和条件，如果响应供应商所比选货物、服务与具体要求存在不响应或者负偏离，在符合性审查时将不予通过，响应无效。</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本采购项目中标注▲号的内容为择优要求和条件，负偏离或不响应▲号条款的响应供应商将影响综合得分。</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pPr>
        <w:autoSpaceDE w:val="0"/>
        <w:autoSpaceDN w:val="0"/>
        <w:spacing w:line="440" w:lineRule="exact"/>
        <w:ind w:firstLine="482" w:firstLineChars="200"/>
        <w:rPr>
          <w:rFonts w:hint="eastAsia" w:ascii="仿宋" w:hAnsi="仿宋" w:eastAsia="仿宋" w:cs="仿宋"/>
          <w:b/>
          <w:color w:val="auto"/>
          <w:sz w:val="24"/>
          <w:highlight w:val="none"/>
          <w:lang w:eastAsia="zh-CN"/>
        </w:rPr>
      </w:pPr>
      <w:r>
        <w:rPr>
          <w:rFonts w:hint="eastAsia" w:ascii="仿宋" w:hAnsi="仿宋" w:eastAsia="仿宋" w:cs="仿宋"/>
          <w:b/>
          <w:bCs/>
          <w:color w:val="auto"/>
          <w:sz w:val="24"/>
          <w:highlight w:val="none"/>
          <w:lang w:val="en-US" w:eastAsia="zh-CN"/>
        </w:rPr>
        <w:t>（二）</w:t>
      </w:r>
      <w:r>
        <w:rPr>
          <w:rFonts w:hint="eastAsia" w:ascii="仿宋" w:hAnsi="仿宋" w:eastAsia="仿宋" w:cs="仿宋"/>
          <w:b/>
          <w:color w:val="auto"/>
          <w:sz w:val="24"/>
          <w:highlight w:val="none"/>
          <w:lang w:eastAsia="zh-CN"/>
        </w:rPr>
        <w:t>项目概况</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根据医院业务需求，需对接合理用药系统及HIS系统，计划采购开发服务；同时为保障合理用药系统稳定运行，计划采购维保服务一年。</w:t>
      </w:r>
    </w:p>
    <w:p>
      <w:pPr>
        <w:numPr>
          <w:ilvl w:val="0"/>
          <w:numId w:val="0"/>
        </w:num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（三）</w:t>
      </w:r>
      <w:r>
        <w:rPr>
          <w:rFonts w:hint="eastAsia" w:ascii="仿宋" w:hAnsi="仿宋" w:eastAsia="仿宋" w:cs="仿宋"/>
          <w:b/>
          <w:bCs/>
          <w:color w:val="auto"/>
          <w:sz w:val="24"/>
          <w:highlight w:val="none"/>
          <w:lang w:val="zh-CN" w:eastAsia="zh-CN"/>
        </w:rPr>
        <w:t>项目内容：</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1.基本内容</w:t>
      </w:r>
    </w:p>
    <w:tbl>
      <w:tblPr>
        <w:tblStyle w:val="18"/>
        <w:tblW w:w="9334" w:type="dxa"/>
        <w:jc w:val="center"/>
        <w:tblLayout w:type="fixed"/>
        <w:tblCellMar>
          <w:top w:w="0" w:type="dxa"/>
          <w:left w:w="108" w:type="dxa"/>
          <w:bottom w:w="0" w:type="dxa"/>
          <w:right w:w="108" w:type="dxa"/>
        </w:tblCellMar>
      </w:tblPr>
      <w:tblGrid>
        <w:gridCol w:w="769"/>
        <w:gridCol w:w="1846"/>
        <w:gridCol w:w="855"/>
        <w:gridCol w:w="915"/>
        <w:gridCol w:w="1680"/>
        <w:gridCol w:w="3269"/>
      </w:tblGrid>
      <w:tr>
        <w:tblPrEx>
          <w:tblCellMar>
            <w:top w:w="0" w:type="dxa"/>
            <w:left w:w="108" w:type="dxa"/>
            <w:bottom w:w="0" w:type="dxa"/>
            <w:right w:w="108" w:type="dxa"/>
          </w:tblCellMar>
        </w:tblPrEx>
        <w:trPr>
          <w:trHeight w:val="64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序号</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具体内容</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最高限价（元）</w:t>
            </w:r>
          </w:p>
        </w:tc>
        <w:tc>
          <w:tcPr>
            <w:tcW w:w="3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内容描述</w:t>
            </w:r>
          </w:p>
        </w:tc>
      </w:tr>
      <w:tr>
        <w:tblPrEx>
          <w:tblCellMar>
            <w:top w:w="0" w:type="dxa"/>
            <w:left w:w="108" w:type="dxa"/>
            <w:bottom w:w="0" w:type="dxa"/>
            <w:right w:w="108" w:type="dxa"/>
          </w:tblCellMar>
        </w:tblPrEx>
        <w:trPr>
          <w:trHeight w:val="586"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1</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接口开发服务</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50000.00</w:t>
            </w:r>
          </w:p>
        </w:tc>
        <w:tc>
          <w:tcPr>
            <w:tcW w:w="3269"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为采购人提供合理用药系统基础日常维护及系统优化服务，并定期回访、提供运维记录、新HIS对接等服务。</w:t>
            </w:r>
          </w:p>
        </w:tc>
      </w:tr>
      <w:tr>
        <w:tblPrEx>
          <w:tblCellMar>
            <w:top w:w="0" w:type="dxa"/>
            <w:left w:w="108" w:type="dxa"/>
            <w:bottom w:w="0" w:type="dxa"/>
            <w:right w:w="108" w:type="dxa"/>
          </w:tblCellMar>
        </w:tblPrEx>
        <w:trPr>
          <w:trHeight w:val="461"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维保服务</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项</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42000.00</w:t>
            </w:r>
          </w:p>
        </w:tc>
        <w:tc>
          <w:tcPr>
            <w:tcW w:w="3269"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p>
        </w:tc>
      </w:tr>
    </w:tbl>
    <w:p>
      <w:pPr>
        <w:numPr>
          <w:ilvl w:val="0"/>
          <w:numId w:val="0"/>
        </w:num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lang w:val="zh-CN" w:eastAsia="zh-CN"/>
        </w:rPr>
        <w:t>服务要求</w:t>
      </w:r>
    </w:p>
    <w:p>
      <w:pPr>
        <w:numPr>
          <w:ilvl w:val="0"/>
          <w:numId w:val="0"/>
        </w:numPr>
        <w:autoSpaceDE w:val="0"/>
        <w:autoSpaceDN w:val="0"/>
        <w:spacing w:line="360" w:lineRule="auto"/>
        <w:ind w:firstLine="240" w:firstLineChars="1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（1）项目技术要求清单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289"/>
        <w:gridCol w:w="6438"/>
        <w:gridCol w:w="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45"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模块名称</w:t>
            </w:r>
          </w:p>
        </w:tc>
        <w:tc>
          <w:tcPr>
            <w:tcW w:w="6488" w:type="dxa"/>
            <w:gridSpan w:val="2"/>
            <w:noWrap w:val="0"/>
            <w:vAlign w:val="center"/>
          </w:tcPr>
          <w:p>
            <w:pPr>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522" w:type="dxa"/>
            <w:gridSpan w:val="4"/>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系统审查功能要求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处方（医嘱）用药审查功能</w:t>
            </w:r>
          </w:p>
        </w:tc>
        <w:tc>
          <w:tcPr>
            <w:tcW w:w="6488" w:type="dxa"/>
            <w:gridSpan w:val="2"/>
            <w:noWrap w:val="0"/>
            <w:vAlign w:val="center"/>
          </w:tcPr>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系统应能对处方（医嘱）用药进行剂量审查、累积剂量审查、超多日用量审查、给药途径审查、相互作用审查、体外注射剂配伍审查、配伍浓度审查、钾离子监测、TPN处方审查、门诊输液审查、禁忌症审查、不良反应审查、特殊人群（儿童、成人、老人、妊娠、哺乳、性别）用药审查、重复用药（重复成分、重复治疗）审查、适应症审查、药物过敏审查、药物检验值审查、规范性审查、医保审查、监测指标审查、越权用药审查、围术期用药审查，并提示医生。</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住院医嘱支持用药天数预警，提醒医生及时调整用药方案。</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超多日用量审查可结合退费情况，管控提前取药患者药量累计持有天数。</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利用大数据分析，自动生成药品品种单次异常剂量审查规则。</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相互作用联合审查可排除已服用完毕的药品。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药品信息提示功能</w:t>
            </w:r>
          </w:p>
        </w:tc>
        <w:tc>
          <w:tcPr>
            <w:tcW w:w="6488" w:type="dxa"/>
            <w:gridSpan w:val="2"/>
            <w:noWrap w:val="0"/>
            <w:vAlign w:val="center"/>
          </w:tcPr>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可</w:t>
            </w:r>
            <w:r>
              <w:rPr>
                <w:rFonts w:hint="eastAsia" w:ascii="仿宋" w:hAnsi="仿宋" w:eastAsia="仿宋" w:cs="仿宋"/>
                <w:color w:val="auto"/>
                <w:sz w:val="24"/>
                <w:szCs w:val="24"/>
                <w:highlight w:val="none"/>
              </w:rPr>
              <w:t>快捷查看药品相关重要信息；药品厂家说明书，并可查看药监局发布的说明书修订勘误，修改和新增药品说明书内容；</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查</w:t>
            </w:r>
            <w:r>
              <w:rPr>
                <w:rFonts w:hint="eastAsia" w:ascii="仿宋" w:hAnsi="仿宋" w:eastAsia="仿宋" w:cs="仿宋"/>
                <w:color w:val="auto"/>
                <w:sz w:val="24"/>
                <w:szCs w:val="24"/>
                <w:highlight w:val="none"/>
              </w:rPr>
              <w:t>询相应药品的中药材专论信息。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3</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质子泵抑制药专项管控</w:t>
            </w:r>
          </w:p>
        </w:tc>
        <w:tc>
          <w:tcPr>
            <w:tcW w:w="6488" w:type="dxa"/>
            <w:gridSpan w:val="2"/>
            <w:noWrap w:val="0"/>
            <w:vAlign w:val="center"/>
          </w:tcPr>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医生开具质子泵抑制剂药品时，需填写用药评估单。提供评估单专项统计分析。系统可评估患者病</w:t>
            </w:r>
            <w:r>
              <w:rPr>
                <w:rFonts w:hint="eastAsia" w:ascii="仿宋" w:hAnsi="仿宋" w:eastAsia="仿宋" w:cs="仿宋"/>
                <w:color w:val="auto"/>
                <w:sz w:val="24"/>
                <w:szCs w:val="24"/>
                <w:highlight w:val="none"/>
                <w:lang w:eastAsia="zh-CN"/>
              </w:rPr>
              <w:t>理</w:t>
            </w:r>
            <w:r>
              <w:rPr>
                <w:rFonts w:hint="eastAsia" w:ascii="仿宋" w:hAnsi="仿宋" w:eastAsia="仿宋" w:cs="仿宋"/>
                <w:color w:val="auto"/>
                <w:sz w:val="24"/>
                <w:szCs w:val="24"/>
                <w:highlight w:val="none"/>
              </w:rPr>
              <w:t>生</w:t>
            </w:r>
            <w:r>
              <w:rPr>
                <w:rFonts w:hint="eastAsia" w:ascii="仿宋" w:hAnsi="仿宋" w:eastAsia="仿宋" w:cs="仿宋"/>
                <w:color w:val="auto"/>
                <w:sz w:val="24"/>
                <w:szCs w:val="24"/>
                <w:highlight w:val="none"/>
                <w:lang w:eastAsia="zh-CN"/>
              </w:rPr>
              <w:t>理</w:t>
            </w:r>
            <w:r>
              <w:rPr>
                <w:rFonts w:hint="eastAsia" w:ascii="仿宋" w:hAnsi="仿宋" w:eastAsia="仿宋" w:cs="仿宋"/>
                <w:color w:val="auto"/>
                <w:sz w:val="24"/>
                <w:szCs w:val="24"/>
                <w:highlight w:val="none"/>
              </w:rPr>
              <w:t>状态，若存在应激性溃疡风险，提供质子泵抑制剂用药建议。围术期不合理使用质子泵抑制剂时，系统可警示医生</w:t>
            </w:r>
            <w:r>
              <w:rPr>
                <w:rFonts w:hint="eastAsia" w:ascii="仿宋" w:hAnsi="仿宋" w:eastAsia="仿宋" w:cs="仿宋"/>
                <w:b/>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协定方专项管控</w:t>
            </w:r>
          </w:p>
        </w:tc>
        <w:tc>
          <w:tcPr>
            <w:tcW w:w="6488" w:type="dxa"/>
            <w:gridSpan w:val="2"/>
            <w:noWrap w:val="0"/>
            <w:vAlign w:val="center"/>
          </w:tcPr>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系统提供医院中药协定方证型适宜性审查。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5</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经验性用药专项管控</w:t>
            </w:r>
          </w:p>
        </w:tc>
        <w:tc>
          <w:tcPr>
            <w:tcW w:w="6488" w:type="dxa"/>
            <w:gridSpan w:val="2"/>
            <w:noWrap w:val="0"/>
            <w:vAlign w:val="center"/>
          </w:tcPr>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系统提供抗肿瘤药物过敏反应预处理用药合理性审查。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6</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抗菌药物专项管控</w:t>
            </w:r>
          </w:p>
        </w:tc>
        <w:tc>
          <w:tcPr>
            <w:tcW w:w="6488" w:type="dxa"/>
            <w:gridSpan w:val="2"/>
            <w:noWrap w:val="0"/>
            <w:vAlign w:val="center"/>
          </w:tcPr>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医生开具预防用抗菌药物时，需填写用药评估单，评估单区分非手术预防用药和手术预防用药。</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系统提供抗菌药物用药指征审查。医生开具抗菌药物必须有用药指征，否则系统将予以警示。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7</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审查提示屏蔽功能</w:t>
            </w:r>
          </w:p>
        </w:tc>
        <w:tc>
          <w:tcPr>
            <w:tcW w:w="6488" w:type="dxa"/>
            <w:gridSpan w:val="2"/>
            <w:noWrap w:val="0"/>
            <w:vAlign w:val="center"/>
          </w:tcPr>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能对剂量、给药途径、药物相互作用、体外注射剂配伍、配伍浓度、禁忌症、不良反应、儿童用药、老人用药、成人用药、性别用药、妊娠期用药、哺乳期用药、药物过敏、重复用药等审查项目进行审查提示屏蔽，支持分门诊、住院、急诊屏蔽，屏蔽后不再对相同问题进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8</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审查规则自定义功能（医院专家知识库）</w:t>
            </w:r>
          </w:p>
        </w:tc>
        <w:tc>
          <w:tcPr>
            <w:tcW w:w="6488" w:type="dxa"/>
            <w:gridSpan w:val="2"/>
            <w:noWrap w:val="0"/>
            <w:vAlign w:val="center"/>
          </w:tcPr>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系统可以提供多种自定义方式：</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rPr>
              <w:t>基于系统审查数据自定义方式，节省药师工作量；</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②可完全由用户新建审查规则包括审查要素和审查逻辑。</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③用户可自定义药品警示、拦截规则，被拦截的问题处方必须返回修改，否则不可进行下一步操作。用户可设置已执行的长期医嘱是否拦截。</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④其中部分审查项目可支持以下功能：</w:t>
            </w:r>
          </w:p>
          <w:p>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剂量：可显示某个药品在本院近一个月医嘱用量统计，查看不同科室的剂量使用情况。用户只需维护药品一种给药单位的剂量审查规则，系统可自动将规则匹配到该药品其余给药单位。</w:t>
            </w:r>
          </w:p>
          <w:p>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超多日用量：可对门、急诊处方药品、麻醉药品和精一药品超多日用量天数进行设置，可针对慢病（区分医保、自费）、非慢病处方、特殊患者分别设置用药天数，并可根据超出天数设置不同的警示级别。用户可维护参与联合审查的历史处方时间范围。针对特定药品可设置是否拆零参与审查。</w:t>
            </w:r>
          </w:p>
          <w:p>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体外注射剂配伍：可设置小剂量胰岛素不参与体外配伍审查，具体剂量标准可由用户自行设置。</w:t>
            </w:r>
          </w:p>
          <w:p>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妊娠用药：提供多元化妊娠状态判断方式，可设置妊娠状态判断优先级。</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可设置应激性溃疡风险的预警规则；设置可预防使用质子泵抑制剂的手术、质子泵抑制剂药品及术后质子泵抑制剂用药疗程；</w:t>
            </w:r>
          </w:p>
          <w:p>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用户可维护医院协定方及对应证型；</w:t>
            </w:r>
          </w:p>
          <w:p>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用户可设置抗肿瘤药物过敏反应预防药品品种。</w:t>
            </w:r>
          </w:p>
          <w:p>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用户可设置质子泵抑制药、抗菌药物用药评估单模板。</w:t>
            </w:r>
          </w:p>
          <w:p>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规则复制功能：系统支持将其它药品已有的自定义规则分模块复制到被选择的药品上。</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豁免对象：可根据药品、医生、科室、患者年龄、手术信息、医嘱备注等条件设置特定对象不参与某些模块审查，并可按照模块查看对各种豁免情况的统计。</w:t>
            </w:r>
          </w:p>
          <w:p>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自定义规则查询：可查询药品、科室以及各模块的自定义规则。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9</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统计分析功能</w:t>
            </w:r>
          </w:p>
        </w:tc>
        <w:tc>
          <w:tcPr>
            <w:tcW w:w="6488" w:type="dxa"/>
            <w:gridSpan w:val="2"/>
            <w:noWrap w:val="0"/>
            <w:vAlign w:val="center"/>
          </w:tcPr>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问题处方（医嘱）保存、查询，以及不合理问题统计分析。</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提供不合理问题评估功能，便于药师在做回顾性分析时对已评估的问题做记录。</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用药理由统计</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10</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通讯功能</w:t>
            </w:r>
          </w:p>
        </w:tc>
        <w:tc>
          <w:tcPr>
            <w:tcW w:w="6488" w:type="dxa"/>
            <w:gridSpan w:val="2"/>
            <w:noWrap w:val="0"/>
            <w:vAlign w:val="center"/>
          </w:tcPr>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系统应提供药师和医生的在线沟通平台，提供截图、发送图片、文件传输、消息撤回、消息已读提示功能。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处方点评系统功能要求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智慧中心</w:t>
            </w:r>
          </w:p>
        </w:tc>
        <w:tc>
          <w:tcPr>
            <w:tcW w:w="6488" w:type="dxa"/>
            <w:gridSpan w:val="2"/>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系统主页应能显示门诊/住院点评率、合理率、住院抗菌药物使用强度、门诊基本药物占比、住院静脉输液使用率等指标。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3"/>
              </w:numPr>
              <w:suppressLineNumbers w:val="0"/>
              <w:spacing w:before="0" w:beforeAutospacing="0" w:after="0" w:afterAutospacing="0" w:line="240" w:lineRule="auto"/>
              <w:ind w:left="562" w:right="0" w:firstLineChars="0"/>
              <w:rPr>
                <w:rFonts w:hint="eastAsia" w:ascii="仿宋" w:hAnsi="仿宋" w:eastAsia="仿宋" w:cs="仿宋"/>
                <w:color w:val="auto"/>
                <w:sz w:val="24"/>
                <w:szCs w:val="24"/>
                <w:highlight w:val="none"/>
              </w:rPr>
            </w:pP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读取和查看病人信息</w:t>
            </w:r>
          </w:p>
        </w:tc>
        <w:tc>
          <w:tcPr>
            <w:tcW w:w="6488" w:type="dxa"/>
            <w:gridSpan w:val="2"/>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系统应能筛选患者并查看患者基本信息、医嘱、诊断、检查、检验、手术、费用、会诊、病程等信息，同时能提供EMR、PACS、LIS超链接功能，帮助药师快速切换。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3"/>
              </w:numPr>
              <w:suppressLineNumbers w:val="0"/>
              <w:spacing w:before="0" w:beforeAutospacing="0" w:after="0" w:afterAutospacing="0" w:line="240" w:lineRule="auto"/>
              <w:ind w:left="562" w:right="0" w:firstLineChars="0"/>
              <w:rPr>
                <w:rFonts w:hint="eastAsia" w:ascii="仿宋" w:hAnsi="仿宋" w:eastAsia="仿宋" w:cs="仿宋"/>
                <w:color w:val="auto"/>
                <w:sz w:val="24"/>
                <w:szCs w:val="24"/>
                <w:highlight w:val="none"/>
              </w:rPr>
            </w:pP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处方点评</w:t>
            </w:r>
          </w:p>
        </w:tc>
        <w:tc>
          <w:tcPr>
            <w:tcW w:w="6488" w:type="dxa"/>
            <w:gridSpan w:val="2"/>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系统应结合国家处方点评相关政策要求，实现对处方（医嘱）电子化评价功能。应能提供程序点评功能，包括对处方（医嘱）用药进行以下程序点评：剂量审查、给药途径审查、相互作用审查、体外注射剂配伍审查、配伍浓度审查、钾离子监测、TPN处方审查、门诊输液审查、禁忌症审查、不良反应审查、特殊人群用药审查、重复用药审查、适应症审查、药物过敏审查、药物检验值审查、规范性审查、医保审查、越权用药审查、围术期用药审查，并提供审查规则自定义功能，使得点评结果更加符合医院实际用药情况。</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系统应能实现点评任务分配、点评求助、点评复核、反馈医生、医生申述的闭环管理，并在医生、药师交互环节进行消息提示。点评结果反馈医生或科主任后，医生（工作站）可直接填写申述理由或确认，无需登录系统查看点评结果</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w:t>
            </w:r>
          </w:p>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系统应提供双盲点评设置、医生处理点评结果逾期设置、增补处方或病人、高亮显示被点评药品功能，方便药师点评。 系统应能自定义点评模板及点评点，实现个性化点评需求。系统应能自动生成住院患者用药联用图、时序图，并支持自定义。住院患者时序图包含患者体征、用药、手术和检验信息等内容。系统应能自动生成点评相关报表及任务完成情况等管理报表。</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系统应包含全处方点评、全医嘱点评、门急诊/住院抗菌药物专项点评、围手术期抗菌药物专项点评、门急诊/住院专项药品点评、门急诊/住院抗肿瘤药物专项点评、住院病人特殊级抗菌药物专项点评、住院病人碳青霉烯类及替加环素专项点评、住院病人人血白蛋白专项点评、门（急）诊/住院中药饮片专项点评、门（急）诊中成药处方专项点评、用药排名医嘱点评、住院用药医嘱点评、出院带药医嘱点评、门（急）诊基本药物专项点评、住院病人肠外营养专项点评、住院病人自备药专项点评、门（急）诊外延处方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3"/>
              </w:numPr>
              <w:suppressLineNumbers w:val="0"/>
              <w:spacing w:before="0" w:beforeAutospacing="0" w:after="0" w:afterAutospacing="0" w:line="240" w:lineRule="auto"/>
              <w:ind w:left="562" w:right="0" w:firstLineChars="0"/>
              <w:rPr>
                <w:rFonts w:hint="eastAsia" w:ascii="仿宋" w:hAnsi="仿宋" w:eastAsia="仿宋" w:cs="仿宋"/>
                <w:color w:val="auto"/>
                <w:sz w:val="24"/>
                <w:szCs w:val="24"/>
                <w:highlight w:val="none"/>
              </w:rPr>
            </w:pP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抗菌药物临床应用监测</w:t>
            </w:r>
          </w:p>
        </w:tc>
        <w:tc>
          <w:tcPr>
            <w:tcW w:w="6488" w:type="dxa"/>
            <w:gridSpan w:val="2"/>
            <w:noWrap w:val="0"/>
            <w:vAlign w:val="center"/>
          </w:tcPr>
          <w:p>
            <w:pPr>
              <w:keepNext w:val="0"/>
              <w:keepLines w:val="0"/>
              <w:numPr>
                <w:ilvl w:val="0"/>
                <w:numId w:val="0"/>
              </w:numPr>
              <w:suppressLineNumbers w:val="0"/>
              <w:spacing w:before="0" w:beforeAutospacing="0" w:after="0" w:afterAutospacing="0"/>
              <w:ind w:leftChars="0" w:right="0" w:rightChars="0"/>
              <w:rPr>
                <w:color w:val="auto"/>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系统应根据卫生部《抗菌药物临床应用监测方案》中的相关规定，完成抗菌药物临床应用监测网要求的抗菌药物使用情况统计及上报工作。</w:t>
            </w:r>
          </w:p>
          <w:p>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系统应提供手术/非手术抗菌药物使用情况调查表、门诊/急诊处方用药情况、住院患者抗菌药物使用情况统计报表的离线上报功能，可直接上传文档至监测网完成填报工作，避免二次填写。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3"/>
              </w:numPr>
              <w:suppressLineNumbers w:val="0"/>
              <w:spacing w:before="0" w:beforeAutospacing="0" w:after="0" w:afterAutospacing="0" w:line="240" w:lineRule="auto"/>
              <w:ind w:left="562" w:right="0" w:firstLineChars="0"/>
              <w:rPr>
                <w:rFonts w:hint="eastAsia" w:ascii="仿宋" w:hAnsi="仿宋" w:eastAsia="仿宋" w:cs="仿宋"/>
                <w:color w:val="auto"/>
                <w:sz w:val="24"/>
                <w:szCs w:val="24"/>
                <w:highlight w:val="none"/>
              </w:rPr>
            </w:pP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电子药历</w:t>
            </w:r>
          </w:p>
        </w:tc>
        <w:tc>
          <w:tcPr>
            <w:tcW w:w="6488" w:type="dxa"/>
            <w:gridSpan w:val="2"/>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系统应提供工作药历、教学药历、查房记录填写模块，同时允许用户自定义药历的显示内容。系统应提供药历提交、审阅、退回、导出流程。应提供工作量统计，按时间段分别统计药历书写量及药历审阅量。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3"/>
              </w:numPr>
              <w:suppressLineNumbers w:val="0"/>
              <w:spacing w:before="0" w:beforeAutospacing="0" w:after="0" w:afterAutospacing="0" w:line="240" w:lineRule="auto"/>
              <w:ind w:left="562" w:right="0" w:firstLineChars="0"/>
              <w:rPr>
                <w:rFonts w:hint="eastAsia" w:ascii="仿宋" w:hAnsi="仿宋" w:eastAsia="仿宋" w:cs="仿宋"/>
                <w:color w:val="auto"/>
                <w:sz w:val="24"/>
                <w:szCs w:val="24"/>
                <w:highlight w:val="none"/>
              </w:rPr>
            </w:pP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统计分析</w:t>
            </w:r>
          </w:p>
        </w:tc>
        <w:tc>
          <w:tcPr>
            <w:tcW w:w="6488" w:type="dxa"/>
            <w:gridSpan w:val="2"/>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系统应提供对医院合理用药指标及药品使用情况的统计分析，并能自定义显示和导出。同时提供关键字检索功能，便于快速查询指标。</w:t>
            </w:r>
          </w:p>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理用药指标及趋势分析，包括：抗菌药物使用率、平均用药品种数、注射剂使用率、抗菌药物患者使用前病原送检率、X类切口手术预防用抗菌药物百分率、X类切口手术术前0.5-1.0小时预防给药百分率等。应能按全院、大科室、科室、医疗组、医生分别提供合理用药相关指标的统计，并能将合理用药指标重新组合并生成新的报表。应能实现抗菌药物使用强度、抗菌药物使用率、抗菌药物使用量、I类切口手术预防用抗菌药物百分率、国家基本药物药占比同比、环比分析。</w:t>
            </w:r>
          </w:p>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自定义合理用药指标</w:t>
            </w:r>
          </w:p>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系统应提供自定义合理用药指标功能，可自行设置指标分子、分母进行统计。自定义要素包含药品、治疗金额、药品金额、处方数、病人数、药品品种数、使用量DDDs、人天数、用药医嘱条目数。</w:t>
            </w:r>
            <w:r>
              <w:rPr>
                <w:rFonts w:hint="eastAsia" w:ascii="仿宋" w:hAnsi="仿宋" w:eastAsia="仿宋" w:cs="仿宋"/>
                <w:color w:val="auto"/>
                <w:sz w:val="24"/>
                <w:szCs w:val="24"/>
                <w:highlight w:val="none"/>
                <w:lang w:eastAsia="zh-CN"/>
              </w:rPr>
              <w:t>包括：</w:t>
            </w:r>
          </w:p>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药品使用强度统计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药品金额、数量、DDDs统计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药品使用人次统计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注射剂/大容量注射液统计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药品品种/费用构成统计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门（急）诊大处方分析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抗菌药物使用清单及统计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基本药物使用清单及统计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重点监控合理用药药品监测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麻精药品管理处方登记表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国家三级公立医院绩效考核</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药事管理专业医疗质量控制指标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全国抗菌药物临床应用管理数据统计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国家卫生健康委抗菌药物临床应用管理数据上报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全国合理用药监测系统数据统计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医疗机构药品使用监测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抗肿瘤药物临床应用情况调查表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静脉输液使用情况调查表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省、市报表中心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广东省医疗机构阳光用药信息上报</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3"/>
              </w:numPr>
              <w:suppressLineNumbers w:val="0"/>
              <w:spacing w:before="0" w:beforeAutospacing="0" w:after="0" w:afterAutospacing="0" w:line="240" w:lineRule="auto"/>
              <w:ind w:left="562" w:right="0" w:firstLineChars="0"/>
              <w:rPr>
                <w:rFonts w:hint="eastAsia" w:ascii="仿宋" w:hAnsi="仿宋" w:eastAsia="仿宋" w:cs="仿宋"/>
                <w:color w:val="auto"/>
                <w:sz w:val="24"/>
                <w:szCs w:val="24"/>
                <w:highlight w:val="none"/>
              </w:rPr>
            </w:pPr>
          </w:p>
        </w:tc>
        <w:tc>
          <w:tcPr>
            <w:tcW w:w="1289" w:type="dxa"/>
            <w:noWrap w:val="0"/>
            <w:vAlign w:val="center"/>
          </w:tcPr>
          <w:p>
            <w:pPr>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其它</w:t>
            </w:r>
          </w:p>
        </w:tc>
        <w:tc>
          <w:tcPr>
            <w:tcW w:w="6488" w:type="dxa"/>
            <w:gridSpan w:val="2"/>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自维护功能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系统应对医院药品属性、给药途径、给药频次、感染疾病类型、检验申请/结果/收费项目类型、手术分类、科室类型、医生抗菌药物权限、围术期用药等基础数据进行程序自动维护。权限管理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系统应对各项功能设置严格的权限管理，包括处方点评权限、报表的统计权限、打印/导出权限等。系统应提供用户操作日志、版本更新内容查询功能</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591" w:hRule="atLeast"/>
        </w:trPr>
        <w:tc>
          <w:tcPr>
            <w:tcW w:w="8472" w:type="dxa"/>
            <w:gridSpan w:val="3"/>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药物信息查询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药物信息参考</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国内外上市药品的详细临床用药信息，内容包括药物的各种名称、临床应用、用法与用量、注意事项、不良反应、药物相互作用、给药说明、药理、制剂与规格等信息。应可查看特殊人群（老人、儿童、妊娠期妇女、哺乳期妇女）及特殊疾病状态（如肝功能不全、肾功能不全、心力衰竭等）患者用药的注意事项。应提供与药物临床应用密切相关的信息如不良反应处理方法、药物对检验值或诊断的影响等。 应提供高警讯药物、国外专科信息供临床参考。所有信息均应提供参考文献</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1018"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药品说明书</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“系统”应提供国家药品监督管理局（NMPA）批准的厂家药品说明书，应可查看NMPA发布的说明书修订通知。还应提供高级检索的功能。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▲妊娠哺乳用药</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基于循证医学原则评价国内外药品说明书、专业数据库、专著、研究文献，对妊娠期和哺乳期药物暴露风险进行评估，提出用药建议。提供药代动力学、文献报道等供临床参考。所有信息均应提供参考文献</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用药教育</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“系统”应为专业人员提供便于辅导病人用药的信息，以通俗易懂的语言，借助图片等形式描述药品的用途、副作用、用药期间注意事项、特殊给药方式图示等信息。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ICD</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“系统”应提供ICD10、ICD-9-CM-3、肿瘤形态学编码、ICD-11和国家医疗保障DRG分组的查询功能。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ATC编码与DDD值</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“系统”应提供国内外权威机构发布的药物ATC编码与DDD值，应可查看药物对应的上市药品信息。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检验值</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“系统”应提供常用检验项目信息，应包含检验项目正常参考值范围、结果及临床意义、药物对检验结果的影响等内容。可按检验类别查询，也可按检验名称查询检验值信息。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药品基本信息</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国家药品监督管理局（NMPA）批准上市药品的信息，包括药品的通用名、商品名、剂型、规格、批准文号/药品编码、生产厂家，并标注基本药物、社保品种、OTC药物、兴奋药品、精神类药品、麻醉类药品、原研药、仿制药等。可查询药品生产企业获批生产的药品信息，并可查看药品说明书。可查询国家集采药品数据及替代药品参考监测范围、兴奋剂目录、国家重点监控合理用药药品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临床路径</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“系统”应提供国家卫健委发布的临床路径，应覆盖临床常见疾病品种。可按临床科室分类浏览，也可按疾病关键词检索临床路径。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医药公式</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“系统”应提供常用医药公式、评分、分级标准量表等，内容涵盖了内科、外科、妇产科、儿科、神经科等，公式应提供计算功能。可按临床科室分类浏览，也可按公式名称检索。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医药时讯</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“系统”应提供国内外政府网站和医药学专业数据库、核心期刊发布的最新药物研究成果、药物警戒信息、新药研发和上市资讯等内容。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医药法规</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收录国家药品监督管理局、国家卫生健康委员会等权威机构发布的关于药品管理、传染病防治、医疗事故管理、医疗机构管理等方面的法律法规文件。应支持关键词检索，可通过发布部门、效力级别分类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国家基本药物</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5"/>
              </w:numPr>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“系统”应提供最新版《国家基本药物目录》中的信息，包括目录中的化学药品、生物制品以及中成药品种。</w:t>
            </w:r>
          </w:p>
          <w:p>
            <w:pPr>
              <w:keepNext w:val="0"/>
              <w:keepLines w:val="0"/>
              <w:numPr>
                <w:ilvl w:val="0"/>
                <w:numId w:val="5"/>
              </w:numPr>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▲应可查看国家基本药物目录对应的上市药品品种的信息（包括生产厂家、批准文号等）</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FDA妊娠用药安全性分级</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“系统”应提供美国食品药品监督管理局（FDA）根据药物对动物和妊娠期妇女致畸危险而作的妊娠期用药安全性分级，可通过药理分类或药名检索的方式实现，查询范围为临床各科室常用药物。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▲中医药</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中药材、中医方剂、中医诊疗方案、中医临床路径、中医标准术语、中医病证分类与代码等中医药信息内容。中药材：应包含权威专著中的品种信息，内容应侧重于中药材的基本属性和临床应用指导，应可便捷的查看毒性药材和妊娠期禁慎用药材。中医方剂：应包括临床常用方、中医经典方等方剂，应可查看方剂相关的附方及中成药信息。中医诊疗方案：应收录国家中医药管理局发布的诊疗方案。中医临床路径：应收录国家中医药管理局发布的临床路径。中医标准术语：应收录国家中医药管理局发布的各种临床标准术语。中医病症分类与代码：应收录国家中医药管理局发布中医病证分类与代码</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▲EMA药品说明书</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“系统”应提供欧洲药品管理局（EMA）发布的英文原文药品说明书，英文说明书应提供中文翻译，并可便捷的查看对应的中文药品说明书</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▲FDA药品说明书</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“系统”应提供美国食品药品监督管理局(FDA)发布的英文原文药品说明书，英文说明书应提供中文翻译，并可便捷的查看对应的中文药品说明书</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▲超说明用药</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“系统”应提供权威的超说明书用药信息，内容应包括用药类型、适应症、用法用量、循证医学证据等</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▲儿童用药</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“系统”应提供婴幼儿或儿童的用药相关信息，内容应包括儿童用药的注意事项、用法用量、药代动力学等。并提供婴幼儿或儿童用药剂量计算功能</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药物相互作用审查</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药物-药物、药物-食物、药物-咖啡因、药物-酒精、药物-保健品、保健品-保健品之间的相互作用信息，应提供西药和西药、中药和中药、中药和西药的相互作用信息。内容应包括药物相互作用的结果、机制、临床处理、严重级别、案例评价及讨论等内容。应可实现单药相互作用分析及多药相互作用审查。参考文献应包含国内外的期刊文献、数据库等</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注射剂配伍审查</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6"/>
              </w:numPr>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“系统”应提供注射药物配伍的信息，内容包括了注射药物配伍的物理化学变化及药效学变化、支持配伍结论的实验数据等。</w:t>
            </w:r>
          </w:p>
          <w:p>
            <w:pPr>
              <w:keepNext w:val="0"/>
              <w:keepLines w:val="0"/>
              <w:numPr>
                <w:ilvl w:val="0"/>
                <w:numId w:val="6"/>
              </w:numPr>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应可实现单药注射剂配伍分析及多药注射配伍进行审查。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其他功能</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系统应支持分类浏览、关键词检索，可通过适应症、禁忌症、不良反应、全文检索等方式检索，支持名称及拼音简码检索，支持单数据库检索及多数据库检索。</w:t>
            </w:r>
          </w:p>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系统应支持对药物信息进行比较。</w:t>
            </w:r>
          </w:p>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系统应支持数据库之间相互关联和快速跳转。</w:t>
            </w:r>
          </w:p>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支持手机APP在线访问。</w:t>
            </w:r>
          </w:p>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定期更新，更新频率应不少于10次/年。</w:t>
            </w:r>
          </w:p>
        </w:tc>
      </w:tr>
    </w:tbl>
    <w:p>
      <w:pPr>
        <w:numPr>
          <w:ilvl w:val="0"/>
          <w:numId w:val="0"/>
        </w:numPr>
        <w:autoSpaceDE w:val="0"/>
        <w:autoSpaceDN w:val="0"/>
        <w:spacing w:line="360" w:lineRule="auto"/>
        <w:ind w:firstLine="240" w:firstLineChars="1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）技术要求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①为采购人提供的服务方式包括远程服务、电话服务和上门服务三种服务方式，7×24小时技术响应，远程和电话均不能解决时，供应商在双方约定时间内到达现场进行技术支持服务。</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②选派具有相关实施经验的技术人员负责维护工作。在维护期间，将为采购人医院设立技术档案，用于记录系统维护</w:t>
      </w:r>
      <w:r>
        <w:rPr>
          <w:rFonts w:hint="eastAsia" w:ascii="仿宋" w:hAnsi="仿宋" w:eastAsia="仿宋" w:cs="仿宋"/>
          <w:color w:val="auto"/>
          <w:sz w:val="24"/>
          <w:highlight w:val="none"/>
          <w:lang w:val="zh-CN" w:eastAsia="zh-Hans"/>
        </w:rPr>
        <w:t>记录</w:t>
      </w:r>
      <w:r>
        <w:rPr>
          <w:rFonts w:hint="eastAsia" w:ascii="仿宋" w:hAnsi="仿宋" w:eastAsia="仿宋" w:cs="仿宋"/>
          <w:color w:val="auto"/>
          <w:sz w:val="24"/>
          <w:highlight w:val="none"/>
          <w:lang w:val="zh-CN" w:eastAsia="zh-CN"/>
        </w:rPr>
        <w:t>。</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③对采购人医院所发生的Bug问题，由维护工程师进行处理，让采购人可随时追踪问题的处理状态，避免同类问题的重复发生。</w:t>
      </w:r>
    </w:p>
    <w:p>
      <w:pPr>
        <w:numPr>
          <w:ilvl w:val="0"/>
          <w:numId w:val="0"/>
        </w:numPr>
        <w:autoSpaceDE w:val="0"/>
        <w:autoSpaceDN w:val="0"/>
        <w:spacing w:line="360" w:lineRule="auto"/>
        <w:ind w:firstLine="420" w:firstLineChars="200"/>
        <w:rPr>
          <w:rFonts w:hint="eastAsia" w:ascii="仿宋" w:hAnsi="仿宋" w:eastAsia="仿宋" w:cs="仿宋"/>
          <w:b w:val="0"/>
          <w:bCs w:val="0"/>
          <w:color w:val="auto"/>
          <w:sz w:val="24"/>
          <w:highlight w:val="none"/>
          <w:lang w:val="en-US" w:eastAsia="zh-CN"/>
        </w:rPr>
      </w:pPr>
      <w:r>
        <w:rPr>
          <w:rFonts w:hint="eastAsia"/>
          <w:color w:val="auto"/>
          <w:highlight w:val="none"/>
          <w:lang w:eastAsia="zh-CN"/>
        </w:rPr>
        <w:t>④</w:t>
      </w:r>
      <w:r>
        <w:rPr>
          <w:rFonts w:hint="eastAsia" w:ascii="仿宋" w:hAnsi="仿宋" w:eastAsia="仿宋" w:cs="仿宋"/>
          <w:b w:val="0"/>
          <w:bCs w:val="0"/>
          <w:color w:val="auto"/>
          <w:sz w:val="24"/>
          <w:highlight w:val="none"/>
          <w:lang w:val="en-US" w:eastAsia="zh-CN"/>
        </w:rPr>
        <w:t>供应商应提供客服热线及网络（邮件、QQ）等渠道受理采购人问题反馈。</w:t>
      </w:r>
    </w:p>
    <w:p>
      <w:pPr>
        <w:numPr>
          <w:ilvl w:val="0"/>
          <w:numId w:val="0"/>
        </w:numPr>
        <w:autoSpaceDE w:val="0"/>
        <w:autoSpaceDN w:val="0"/>
        <w:spacing w:line="360" w:lineRule="auto"/>
        <w:ind w:firstLine="0" w:firstLineChars="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对系统使用科室提出的关于系统使用、操作流程等问题进行解释和答复。</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⑤为采购人在用的合理用药信息支持系统网络版提供1年软件使用许可，并及时更新数据。</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⑥为采购人提供已有合理用药系统（合理用药监测系统V4.3、PASS临床药学管理系统V3.0、合理用药信息支持系统网络版V3.4）与新HIS对接的服务，包括产品安装部署、接口联调，科室试运行及全面上线，实现上述项目技术要求清单功能。</w:t>
      </w:r>
    </w:p>
    <w:p>
      <w:pPr>
        <w:numPr>
          <w:ilvl w:val="0"/>
          <w:numId w:val="0"/>
        </w:num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bookmarkStart w:id="0" w:name="_GoBack"/>
      <w:r>
        <w:rPr>
          <w:rFonts w:hint="eastAsia" w:ascii="仿宋" w:hAnsi="仿宋" w:eastAsia="仿宋" w:cs="仿宋"/>
          <w:b/>
          <w:bCs/>
          <w:color w:val="auto"/>
          <w:sz w:val="24"/>
          <w:highlight w:val="none"/>
          <w:lang w:val="en-US" w:eastAsia="zh-CN"/>
        </w:rPr>
        <w:t>（四）</w:t>
      </w:r>
      <w:r>
        <w:rPr>
          <w:rFonts w:hint="eastAsia" w:ascii="仿宋" w:hAnsi="仿宋" w:eastAsia="仿宋" w:cs="仿宋"/>
          <w:b/>
          <w:bCs/>
          <w:color w:val="auto"/>
          <w:sz w:val="24"/>
          <w:highlight w:val="none"/>
          <w:lang w:val="zh-CN" w:eastAsia="zh-CN"/>
        </w:rPr>
        <w:t>商务要求</w:t>
      </w:r>
    </w:p>
    <w:bookmarkEnd w:id="0"/>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报价要求：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）报价方式为供应商以总价及分项报价的方式进行报价，需提供维保服务和</w:t>
      </w:r>
      <w:r>
        <w:rPr>
          <w:rFonts w:hint="eastAsia" w:ascii="仿宋" w:hAnsi="仿宋" w:eastAsia="仿宋" w:cs="仿宋"/>
          <w:color w:val="auto"/>
          <w:sz w:val="24"/>
          <w:highlight w:val="none"/>
          <w:lang w:val="en-US" w:eastAsia="zh-CN"/>
        </w:rPr>
        <w:t>与新HIS对接</w:t>
      </w:r>
      <w:r>
        <w:rPr>
          <w:rFonts w:hint="eastAsia" w:ascii="仿宋" w:hAnsi="仿宋" w:eastAsia="仿宋" w:cs="仿宋"/>
          <w:color w:val="auto"/>
          <w:sz w:val="24"/>
          <w:highlight w:val="none"/>
          <w:lang w:val="zh-CN" w:eastAsia="zh-CN"/>
        </w:rPr>
        <w:t>服务的分项报价，为整体项目包干价。</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）报价中必须包括服务过程产生的但不限于人工、工具使用、各项税费及合同实施过程中的应预见和不可预见费用等完成合同规定责任和义务、达到合同目的的一切费用及企业利润。</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供应商必须自行考虑本项目在实施期间的一切可能产生的费用。在合同执行过程中，采购人将不再另行支付与本项目相关的任何费用（非本项目要求的其他内容除外）。</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2.服务期限及</w:t>
      </w:r>
      <w:r>
        <w:rPr>
          <w:rFonts w:hint="eastAsia" w:ascii="仿宋" w:hAnsi="仿宋" w:eastAsia="仿宋" w:cs="仿宋"/>
          <w:color w:val="auto"/>
          <w:sz w:val="24"/>
          <w:highlight w:val="none"/>
          <w:lang w:val="zh-CN" w:eastAsia="zh-CN"/>
        </w:rPr>
        <w:t>维保</w:t>
      </w:r>
      <w:r>
        <w:rPr>
          <w:rFonts w:hint="eastAsia" w:ascii="仿宋" w:hAnsi="仿宋" w:eastAsia="仿宋" w:cs="仿宋"/>
          <w:color w:val="auto"/>
          <w:sz w:val="24"/>
          <w:highlight w:val="none"/>
          <w:lang w:val="en-US" w:eastAsia="zh-CN"/>
        </w:rPr>
        <w:t>服务期：</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strike w:val="0"/>
          <w:dstrike w:val="0"/>
          <w:color w:val="auto"/>
          <w:sz w:val="24"/>
          <w:szCs w:val="24"/>
          <w:highlight w:val="none"/>
          <w:lang w:val="zh-CN" w:eastAsia="zh-CN"/>
        </w:rPr>
        <w:t>接口开发服务期：自合同签订后</w:t>
      </w:r>
      <w:r>
        <w:rPr>
          <w:rFonts w:hint="eastAsia" w:ascii="仿宋" w:hAnsi="仿宋" w:eastAsia="仿宋" w:cs="仿宋"/>
          <w:strike w:val="0"/>
          <w:dstrike w:val="0"/>
          <w:color w:val="auto"/>
          <w:sz w:val="24"/>
          <w:szCs w:val="24"/>
          <w:highlight w:val="none"/>
          <w:lang w:val="en-US" w:eastAsia="zh-CN"/>
        </w:rPr>
        <w:t>30个工作日</w:t>
      </w:r>
      <w:r>
        <w:rPr>
          <w:rFonts w:hint="eastAsia" w:ascii="仿宋" w:hAnsi="仿宋" w:eastAsia="仿宋" w:cs="仿宋"/>
          <w:strike w:val="0"/>
          <w:dstrike w:val="0"/>
          <w:color w:val="auto"/>
          <w:sz w:val="24"/>
          <w:szCs w:val="24"/>
          <w:highlight w:val="none"/>
          <w:lang w:val="zh-CN" w:eastAsia="zh-CN"/>
        </w:rPr>
        <w:t>内完成实施、上线及验收。</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维保服务维护期：自合同签订后一年。</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3.</w:t>
      </w:r>
      <w:r>
        <w:rPr>
          <w:rFonts w:hint="eastAsia" w:ascii="仿宋" w:hAnsi="仿宋" w:eastAsia="仿宋" w:cs="仿宋"/>
          <w:b w:val="0"/>
          <w:bCs w:val="0"/>
          <w:color w:val="auto"/>
          <w:sz w:val="24"/>
          <w:highlight w:val="none"/>
          <w:lang w:val="zh-CN" w:eastAsia="zh-CN"/>
        </w:rPr>
        <w:t>付款方式：</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 xml:space="preserve">（1）第一期：本期金额为与新HIS对接服务金额的30%及维护服务金额的30%。合同签订后20个工作日内支付当期金额。 </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（2）第二期：本期金额为与新HIS对接服务金额的70%。服务完成并通过验收后20个工作日内支付当期金额。</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第三期：本期金额为维护服务金额的70%。维护服务期结束，按两次考核平均结果，20个工作日内支付当期金额。具体如下：90分及以上，不扣除服务费用；低于90分但高于等于60分，扣除当期服务费用20％；低于60分，扣除当期服务费用50%。</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（4）支付方式采用银行转账方式。</w:t>
      </w:r>
    </w:p>
    <w:p>
      <w:pPr>
        <w:numPr>
          <w:ilvl w:val="0"/>
          <w:numId w:val="0"/>
        </w:numPr>
        <w:autoSpaceDE w:val="0"/>
        <w:autoSpaceDN w:val="0"/>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（5）供应商必须向采购人出具合法有效完整的完税发票及凭证进行支付结算。</w:t>
      </w:r>
    </w:p>
    <w:p>
      <w:pPr>
        <w:numPr>
          <w:ilvl w:val="0"/>
          <w:numId w:val="0"/>
        </w:numPr>
        <w:autoSpaceDE w:val="0"/>
        <w:autoSpaceDN w:val="0"/>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w:t>
      </w:r>
      <w:r>
        <w:rPr>
          <w:rFonts w:hint="eastAsia" w:ascii="仿宋" w:hAnsi="仿宋" w:eastAsia="仿宋" w:cs="仿宋"/>
          <w:b w:val="0"/>
          <w:bCs w:val="0"/>
          <w:color w:val="auto"/>
          <w:sz w:val="24"/>
          <w:highlight w:val="none"/>
          <w:lang w:val="zh-CN" w:eastAsia="zh-CN"/>
        </w:rPr>
        <w:t>验收</w:t>
      </w:r>
    </w:p>
    <w:p>
      <w:pPr>
        <w:pStyle w:val="7"/>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验收标准：以本项目的采购文件、响应文件、合同等作为验收依据。</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总体验收：供应商应为验收提供所需的一切条件及相关费用，服务期届满后，当项目所有工作内容完成以后，由供应商提交验收申请，采购人组织验收小组，负责对项目进行全面验收。供应商必须提供本项目的相关文档和报告，并积极配合采购人进行完工验收工作，如果验收发现与详细业务需求不符或达不到规定的要求，采购人有权提出索赔。</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在采购人的监督下，服务过程中的各项工作和文档，须达到采购文件中技术要求的标准。</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5.</w:t>
      </w:r>
      <w:r>
        <w:rPr>
          <w:rFonts w:hint="eastAsia" w:ascii="仿宋" w:hAnsi="仿宋" w:eastAsia="仿宋" w:cs="仿宋"/>
          <w:b w:val="0"/>
          <w:bCs w:val="0"/>
          <w:color w:val="auto"/>
          <w:sz w:val="24"/>
          <w:highlight w:val="none"/>
          <w:lang w:val="zh-CN" w:eastAsia="zh-CN"/>
        </w:rPr>
        <w:t>保密条款</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供应商必须严格保守对因本项目的服务从采购人所获取的信息秘密，在未取得采购人书面同意的情况下，不得以任何形式向第三方披露。在依法必须披露的情况下，供应商应当立即通知采购人，除非按照法律规定或生效命令不得为之。</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）保密义务不因合同履行完毕或解除而终止，除非保密信息已经对外披露或者公众所知。</w:t>
      </w:r>
    </w:p>
    <w:p>
      <w:pPr>
        <w:numPr>
          <w:ilvl w:val="0"/>
          <w:numId w:val="0"/>
        </w:numPr>
        <w:autoSpaceDE w:val="0"/>
        <w:autoSpaceDN w:val="0"/>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w:t>
      </w:r>
      <w:r>
        <w:rPr>
          <w:rFonts w:hint="default" w:ascii="仿宋" w:hAnsi="仿宋" w:eastAsia="仿宋" w:cs="仿宋"/>
          <w:b w:val="0"/>
          <w:bCs w:val="0"/>
          <w:color w:val="auto"/>
          <w:sz w:val="24"/>
          <w:highlight w:val="none"/>
          <w:lang w:val="en-US" w:eastAsia="zh-CN"/>
        </w:rPr>
        <w:t>其它要求</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r>
        <w:rPr>
          <w:rFonts w:hint="default" w:ascii="仿宋" w:hAnsi="仿宋" w:eastAsia="仿宋" w:cs="仿宋"/>
          <w:color w:val="auto"/>
          <w:sz w:val="24"/>
          <w:highlight w:val="none"/>
          <w:lang w:val="en-US" w:eastAsia="zh-CN"/>
        </w:rPr>
        <w:t>要求供应商</w:t>
      </w:r>
      <w:r>
        <w:rPr>
          <w:rFonts w:hint="default" w:ascii="仿宋" w:hAnsi="仿宋" w:eastAsia="仿宋" w:cs="仿宋"/>
          <w:color w:val="auto"/>
          <w:kern w:val="0"/>
          <w:sz w:val="24"/>
          <w:szCs w:val="24"/>
          <w:highlight w:val="none"/>
          <w:lang w:val="en-US" w:eastAsia="zh-CN"/>
        </w:rPr>
        <w:t>提供完善的培训体系及培训方案，</w:t>
      </w:r>
      <w:r>
        <w:rPr>
          <w:rFonts w:hint="default" w:ascii="仿宋" w:hAnsi="仿宋" w:eastAsia="仿宋" w:cs="仿宋"/>
          <w:color w:val="auto"/>
          <w:sz w:val="24"/>
          <w:highlight w:val="none"/>
          <w:lang w:val="en-US" w:eastAsia="zh-CN"/>
        </w:rPr>
        <w:t>能够为采购人提供专业的培训。</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default" w:ascii="仿宋" w:hAnsi="仿宋" w:eastAsia="仿宋" w:cs="仿宋"/>
          <w:color w:val="auto"/>
          <w:sz w:val="24"/>
          <w:highlight w:val="none"/>
          <w:lang w:val="en-US" w:eastAsia="zh-CN"/>
        </w:rPr>
        <w:t>要求供应商提供科学性、合理性、实施可行性、可靠性等的项目方案；</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r>
        <w:rPr>
          <w:rFonts w:hint="default" w:ascii="仿宋" w:hAnsi="仿宋" w:eastAsia="仿宋" w:cs="仿宋"/>
          <w:color w:val="auto"/>
          <w:sz w:val="24"/>
          <w:highlight w:val="none"/>
          <w:lang w:val="en-US" w:eastAsia="zh-CN"/>
        </w:rPr>
        <w:t>要求供应商提供</w:t>
      </w:r>
      <w:r>
        <w:rPr>
          <w:rFonts w:hint="eastAsia" w:ascii="仿宋" w:hAnsi="仿宋" w:eastAsia="仿宋" w:cs="仿宋"/>
          <w:color w:val="auto"/>
          <w:kern w:val="0"/>
          <w:sz w:val="24"/>
          <w:highlight w:val="none"/>
          <w:lang w:eastAsia="zh-Hans"/>
        </w:rPr>
        <w:t>企业技术和服务保障实力</w:t>
      </w:r>
      <w:r>
        <w:rPr>
          <w:rFonts w:hint="default" w:ascii="仿宋" w:hAnsi="仿宋" w:eastAsia="仿宋" w:cs="仿宋"/>
          <w:color w:val="auto"/>
          <w:sz w:val="24"/>
          <w:highlight w:val="none"/>
          <w:lang w:val="en-US" w:eastAsia="zh-CN"/>
        </w:rPr>
        <w:t>；</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r>
        <w:rPr>
          <w:rFonts w:hint="default" w:ascii="仿宋" w:hAnsi="仿宋" w:eastAsia="仿宋" w:cs="仿宋"/>
          <w:color w:val="auto"/>
          <w:sz w:val="24"/>
          <w:highlight w:val="none"/>
          <w:lang w:val="en-US" w:eastAsia="zh-CN"/>
        </w:rPr>
        <w:t>要求供应商提供</w:t>
      </w:r>
      <w:r>
        <w:rPr>
          <w:rFonts w:hint="eastAsia" w:ascii="仿宋" w:hAnsi="仿宋" w:eastAsia="仿宋" w:cs="仿宋"/>
          <w:color w:val="auto"/>
          <w:sz w:val="24"/>
          <w:highlight w:val="none"/>
          <w:lang w:val="en-US" w:eastAsia="zh-CN"/>
        </w:rPr>
        <w:t>2022年</w:t>
      </w:r>
      <w:r>
        <w:rPr>
          <w:rFonts w:hint="default" w:ascii="仿宋" w:hAnsi="仿宋" w:eastAsia="仿宋" w:cs="仿宋"/>
          <w:color w:val="auto"/>
          <w:sz w:val="24"/>
          <w:highlight w:val="none"/>
          <w:lang w:val="en-US" w:eastAsia="zh-CN"/>
        </w:rPr>
        <w:t>1月1日至今（以合同签订时间为准）的同类项目业绩数量情况；</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r>
        <w:rPr>
          <w:rFonts w:hint="default" w:ascii="仿宋" w:hAnsi="仿宋" w:eastAsia="仿宋" w:cs="仿宋"/>
          <w:color w:val="auto"/>
          <w:sz w:val="24"/>
          <w:highlight w:val="none"/>
          <w:lang w:val="en-US" w:eastAsia="zh-CN"/>
        </w:rPr>
        <w:t>要求供应商提供</w:t>
      </w:r>
      <w:r>
        <w:rPr>
          <w:rFonts w:hint="eastAsia" w:ascii="仿宋" w:hAnsi="仿宋" w:eastAsia="仿宋" w:cs="仿宋"/>
          <w:color w:val="auto"/>
          <w:sz w:val="24"/>
          <w:szCs w:val="24"/>
          <w:highlight w:val="none"/>
        </w:rPr>
        <w:t>售后服务方案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包</w:t>
      </w:r>
      <w:r>
        <w:rPr>
          <w:rFonts w:hint="eastAsia" w:ascii="仿宋" w:hAnsi="仿宋" w:eastAsia="仿宋" w:cs="仿宋"/>
          <w:color w:val="auto"/>
          <w:sz w:val="24"/>
          <w:szCs w:val="24"/>
          <w:highlight w:val="none"/>
          <w:lang w:eastAsia="zh-CN"/>
        </w:rPr>
        <w:t>括但不限于</w:t>
      </w:r>
      <w:r>
        <w:rPr>
          <w:rFonts w:hint="eastAsia" w:ascii="仿宋" w:hAnsi="仿宋" w:eastAsia="仿宋" w:cs="仿宋"/>
          <w:color w:val="auto"/>
          <w:sz w:val="24"/>
          <w:szCs w:val="24"/>
          <w:highlight w:val="none"/>
        </w:rPr>
        <w:t>质保期、维护保养方案、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的及时性、安排的合理性等</w:t>
      </w:r>
      <w:r>
        <w:rPr>
          <w:rFonts w:hint="eastAsia" w:ascii="仿宋" w:hAnsi="仿宋" w:eastAsia="仿宋" w:cs="仿宋"/>
          <w:color w:val="auto"/>
          <w:sz w:val="24"/>
          <w:szCs w:val="24"/>
          <w:highlight w:val="none"/>
          <w:lang w:eastAsia="zh-CN"/>
        </w:rPr>
        <w:t>；</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（6）要求供应商具备履约能力（包括为本项目投入的项目团队、人员构成、分工等各方面）</w:t>
      </w:r>
    </w:p>
    <w:p>
      <w:pPr>
        <w:numPr>
          <w:ilvl w:val="0"/>
          <w:numId w:val="0"/>
        </w:numPr>
        <w:autoSpaceDE w:val="0"/>
        <w:autoSpaceDN w:val="0"/>
        <w:spacing w:line="360" w:lineRule="auto"/>
        <w:ind w:firstLine="240" w:firstLineChars="1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7.考核方式</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每半年进行一次服务考核评估，考核不合格可要求更换技术人员或终止合作。</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320"/>
        <w:gridCol w:w="2520"/>
        <w:gridCol w:w="1580"/>
        <w:gridCol w:w="1076"/>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32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指标（分值）</w:t>
            </w:r>
          </w:p>
        </w:tc>
        <w:tc>
          <w:tcPr>
            <w:tcW w:w="252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具体考评内容</w:t>
            </w:r>
          </w:p>
        </w:tc>
        <w:tc>
          <w:tcPr>
            <w:tcW w:w="158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扣分规则</w:t>
            </w:r>
          </w:p>
        </w:tc>
        <w:tc>
          <w:tcPr>
            <w:tcW w:w="1076"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科室评分（40%）</w:t>
            </w:r>
          </w:p>
        </w:tc>
        <w:tc>
          <w:tcPr>
            <w:tcW w:w="1317"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信息部评分（60%））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32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员工形象（10分）</w:t>
            </w:r>
          </w:p>
        </w:tc>
        <w:tc>
          <w:tcPr>
            <w:tcW w:w="2520"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着装整洁、文明用语，行为端正，驻场人员佩戴工牌上岗，不在院内抽烟。</w:t>
            </w:r>
          </w:p>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2.服务的工程师均经过公司的专业培训认证及资质认证，符合合同要求。</w:t>
            </w:r>
          </w:p>
        </w:tc>
        <w:tc>
          <w:tcPr>
            <w:tcW w:w="1580"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每发现1例不符合扣5分，扣完为止。</w:t>
            </w:r>
          </w:p>
        </w:tc>
        <w:tc>
          <w:tcPr>
            <w:tcW w:w="1076"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仿宋" w:hAnsi="仿宋" w:eastAsia="仿宋" w:cs="仿宋"/>
                <w:color w:val="auto"/>
                <w:highlight w:val="none"/>
              </w:rPr>
            </w:pPr>
          </w:p>
        </w:tc>
        <w:tc>
          <w:tcPr>
            <w:tcW w:w="1317"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32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服务态度（10分）</w:t>
            </w:r>
          </w:p>
        </w:tc>
        <w:tc>
          <w:tcPr>
            <w:tcW w:w="2520"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用心聆听，不推卸责任，不推诿工作。</w:t>
            </w:r>
          </w:p>
        </w:tc>
        <w:tc>
          <w:tcPr>
            <w:tcW w:w="1580"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每发现1例不符合扣5分，扣完为止。</w:t>
            </w:r>
          </w:p>
        </w:tc>
        <w:tc>
          <w:tcPr>
            <w:tcW w:w="1076"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仿宋" w:hAnsi="仿宋" w:eastAsia="仿宋" w:cs="仿宋"/>
                <w:color w:val="auto"/>
                <w:highlight w:val="none"/>
              </w:rPr>
            </w:pPr>
          </w:p>
        </w:tc>
        <w:tc>
          <w:tcPr>
            <w:tcW w:w="1317"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32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工作纪律（10</w:t>
            </w:r>
            <w:r>
              <w:rPr>
                <w:rFonts w:hint="eastAsia" w:ascii="仿宋" w:hAnsi="仿宋" w:eastAsia="仿宋" w:cs="仿宋"/>
                <w:color w:val="auto"/>
                <w:highlight w:val="none"/>
                <w:lang w:eastAsia="zh-CN"/>
              </w:rPr>
              <w:t>分</w:t>
            </w:r>
            <w:r>
              <w:rPr>
                <w:rFonts w:hint="eastAsia" w:ascii="仿宋" w:hAnsi="仿宋" w:eastAsia="仿宋" w:cs="仿宋"/>
                <w:color w:val="auto"/>
                <w:highlight w:val="none"/>
              </w:rPr>
              <w:t>）</w:t>
            </w:r>
          </w:p>
        </w:tc>
        <w:tc>
          <w:tcPr>
            <w:tcW w:w="2520"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1.如遇可能影响业务正常运行的特殊情况，应当及时与信息部人员联系。</w:t>
            </w:r>
          </w:p>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2.进入临床业务科室前需告知信息部人员。</w:t>
            </w:r>
          </w:p>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kern w:val="0"/>
                <w:highlight w:val="none"/>
              </w:rPr>
              <w:t>不得违反实时政策要求、院内管理规定等。</w:t>
            </w:r>
          </w:p>
        </w:tc>
        <w:tc>
          <w:tcPr>
            <w:tcW w:w="1580"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每发现1例不符合扣5分，扣完为止。</w:t>
            </w:r>
          </w:p>
        </w:tc>
        <w:tc>
          <w:tcPr>
            <w:tcW w:w="1076"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仿宋" w:hAnsi="仿宋" w:eastAsia="仿宋" w:cs="仿宋"/>
                <w:color w:val="auto"/>
                <w:highlight w:val="none"/>
              </w:rPr>
            </w:pPr>
          </w:p>
        </w:tc>
        <w:tc>
          <w:tcPr>
            <w:tcW w:w="1317"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132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服务响应及处理（20分）</w:t>
            </w:r>
          </w:p>
        </w:tc>
        <w:tc>
          <w:tcPr>
            <w:tcW w:w="2520" w:type="dxa"/>
            <w:noWrap w:val="0"/>
            <w:vAlign w:val="center"/>
          </w:tcPr>
          <w:p>
            <w:pPr>
              <w:pStyle w:val="21"/>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1.维护电话24小时保持畅通。</w:t>
            </w:r>
          </w:p>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2.按合同约定时限及时派出技术人员进行故障处理。</w:t>
            </w:r>
          </w:p>
        </w:tc>
        <w:tc>
          <w:tcPr>
            <w:tcW w:w="1580"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对当次服务相应及处理不满意并提出书面投诉，经由双方调查核实后，每次投诉扣5分，扣完为止。</w:t>
            </w:r>
          </w:p>
        </w:tc>
        <w:tc>
          <w:tcPr>
            <w:tcW w:w="1076"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仿宋" w:hAnsi="仿宋" w:eastAsia="仿宋" w:cs="仿宋"/>
                <w:color w:val="auto"/>
                <w:highlight w:val="none"/>
              </w:rPr>
            </w:pPr>
          </w:p>
        </w:tc>
        <w:tc>
          <w:tcPr>
            <w:tcW w:w="1317"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1320" w:type="dxa"/>
            <w:noWrap w:val="0"/>
            <w:vAlign w:val="center"/>
          </w:tcPr>
          <w:p>
            <w:pPr>
              <w:keepNext w:val="0"/>
              <w:keepLines w:val="0"/>
              <w:suppressLineNumbers w:val="0"/>
              <w:tabs>
                <w:tab w:val="left" w:pos="8085"/>
              </w:tabs>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跟踪维护支持（20分）</w:t>
            </w:r>
          </w:p>
        </w:tc>
        <w:tc>
          <w:tcPr>
            <w:tcW w:w="2520" w:type="dxa"/>
            <w:noWrap w:val="0"/>
            <w:vAlign w:val="center"/>
          </w:tcPr>
          <w:p>
            <w:pPr>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1.应及时和医院沟通了解是否运行正常，及时告知可能造成系统软件故障的潜在问题并提供解决方案。</w:t>
            </w:r>
          </w:p>
          <w:p>
            <w:pPr>
              <w:keepNext w:val="0"/>
              <w:keepLines w:val="0"/>
              <w:suppressLineNumbers w:val="0"/>
              <w:tabs>
                <w:tab w:val="left" w:pos="8085"/>
              </w:tabs>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2.与业务科室、信息部沟通系统使用效果。</w:t>
            </w:r>
          </w:p>
        </w:tc>
        <w:tc>
          <w:tcPr>
            <w:tcW w:w="1580" w:type="dxa"/>
            <w:noWrap w:val="0"/>
            <w:vAlign w:val="center"/>
          </w:tcPr>
          <w:p>
            <w:pPr>
              <w:keepNext w:val="0"/>
              <w:keepLines w:val="0"/>
              <w:suppressLineNumbers w:val="0"/>
              <w:tabs>
                <w:tab w:val="left" w:pos="8085"/>
              </w:tabs>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对跟踪维护支持不满意并提出书面投诉，经由双方调查核实后，每次扣5分，扣完为止。</w:t>
            </w:r>
          </w:p>
        </w:tc>
        <w:tc>
          <w:tcPr>
            <w:tcW w:w="1076" w:type="dxa"/>
            <w:noWrap w:val="0"/>
            <w:vAlign w:val="center"/>
          </w:tcPr>
          <w:p>
            <w:pPr>
              <w:keepNext w:val="0"/>
              <w:keepLines w:val="0"/>
              <w:suppressLineNumbers w:val="0"/>
              <w:tabs>
                <w:tab w:val="left" w:pos="8085"/>
              </w:tabs>
              <w:spacing w:before="0" w:beforeAutospacing="0" w:after="0" w:afterAutospacing="0" w:line="240" w:lineRule="auto"/>
              <w:ind w:left="0" w:right="0" w:firstLine="480"/>
              <w:jc w:val="left"/>
              <w:rPr>
                <w:rFonts w:hint="eastAsia" w:ascii="仿宋" w:hAnsi="仿宋" w:eastAsia="仿宋" w:cs="仿宋"/>
                <w:color w:val="auto"/>
                <w:highlight w:val="none"/>
              </w:rPr>
            </w:pPr>
          </w:p>
        </w:tc>
        <w:tc>
          <w:tcPr>
            <w:tcW w:w="1317" w:type="dxa"/>
            <w:noWrap w:val="0"/>
            <w:vAlign w:val="center"/>
          </w:tcPr>
          <w:p>
            <w:pPr>
              <w:keepNext w:val="0"/>
              <w:keepLines w:val="0"/>
              <w:suppressLineNumbers w:val="0"/>
              <w:tabs>
                <w:tab w:val="left" w:pos="8085"/>
              </w:tabs>
              <w:spacing w:before="0" w:beforeAutospacing="0" w:after="0" w:afterAutospacing="0" w:line="240" w:lineRule="auto"/>
              <w:ind w:left="0" w:right="0" w:firstLine="480"/>
              <w:jc w:val="lef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132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服务质量（30分）</w:t>
            </w:r>
          </w:p>
        </w:tc>
        <w:tc>
          <w:tcPr>
            <w:tcW w:w="2520"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1.避免引起系统故障、部分功能失常等情况。</w:t>
            </w:r>
          </w:p>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kern w:val="0"/>
                <w:highlight w:val="none"/>
              </w:rPr>
              <w:t>2.提供的服务有效，即故障处理后不会反复出现，功能实现后不因乙方原因反复修改等。</w:t>
            </w:r>
          </w:p>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kern w:val="0"/>
                <w:highlight w:val="none"/>
              </w:rPr>
              <w:t>3.在服务过程中准确记录时间、事件经过、处理方法及对接人员，按规范要求进行归档，以便事后进行查验。</w:t>
            </w:r>
          </w:p>
        </w:tc>
        <w:tc>
          <w:tcPr>
            <w:tcW w:w="1580"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对当次服务质量不满意并提出书面投诉，经由双方调查核实后，每次扣5分，扣完为止。</w:t>
            </w:r>
          </w:p>
        </w:tc>
        <w:tc>
          <w:tcPr>
            <w:tcW w:w="1076"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仿宋" w:hAnsi="仿宋" w:eastAsia="仿宋" w:cs="仿宋"/>
                <w:color w:val="auto"/>
                <w:highlight w:val="none"/>
              </w:rPr>
            </w:pPr>
          </w:p>
        </w:tc>
        <w:tc>
          <w:tcPr>
            <w:tcW w:w="1317"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135" w:type="dxa"/>
            <w:gridSpan w:val="4"/>
            <w:noWrap w:val="0"/>
            <w:vAlign w:val="center"/>
          </w:tcPr>
          <w:p>
            <w:pPr>
              <w:keepNext w:val="0"/>
              <w:keepLines w:val="0"/>
              <w:suppressLineNumbers w:val="0"/>
              <w:snapToGrid w:val="0"/>
              <w:spacing w:before="0" w:beforeAutospacing="0" w:after="0" w:afterAutospacing="0" w:line="240" w:lineRule="auto"/>
              <w:ind w:left="0" w:right="0" w:firstLine="480"/>
              <w:jc w:val="center"/>
              <w:rPr>
                <w:rFonts w:hint="eastAsia" w:ascii="仿宋" w:hAnsi="仿宋" w:eastAsia="仿宋" w:cs="仿宋"/>
                <w:color w:val="auto"/>
                <w:highlight w:val="none"/>
              </w:rPr>
            </w:pPr>
            <w:r>
              <w:rPr>
                <w:rFonts w:hint="eastAsia" w:ascii="仿宋" w:hAnsi="仿宋" w:eastAsia="仿宋" w:cs="仿宋"/>
                <w:color w:val="auto"/>
                <w:highlight w:val="none"/>
              </w:rPr>
              <w:t>得分</w:t>
            </w:r>
          </w:p>
        </w:tc>
        <w:tc>
          <w:tcPr>
            <w:tcW w:w="2393" w:type="dxa"/>
            <w:gridSpan w:val="2"/>
            <w:noWrap w:val="0"/>
            <w:vAlign w:val="center"/>
          </w:tcPr>
          <w:p>
            <w:pPr>
              <w:keepNext w:val="0"/>
              <w:keepLines w:val="0"/>
              <w:suppressLineNumbers w:val="0"/>
              <w:snapToGrid w:val="0"/>
              <w:spacing w:before="0" w:beforeAutospacing="0" w:after="0" w:afterAutospacing="0" w:line="240" w:lineRule="auto"/>
              <w:ind w:left="0" w:right="0" w:firstLine="480"/>
              <w:jc w:val="center"/>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528" w:type="dxa"/>
            <w:gridSpan w:val="6"/>
            <w:noWrap w:val="0"/>
            <w:vAlign w:val="center"/>
          </w:tcPr>
          <w:p>
            <w:pPr>
              <w:keepNext w:val="0"/>
              <w:keepLines w:val="0"/>
              <w:suppressLineNumbers w:val="0"/>
              <w:tabs>
                <w:tab w:val="left" w:pos="312"/>
              </w:tabs>
              <w:snapToGrid w:val="0"/>
              <w:spacing w:before="0" w:beforeAutospacing="0" w:after="0" w:afterAutospacing="0" w:line="240" w:lineRule="auto"/>
              <w:ind w:left="0" w:right="0" w:firstLine="480"/>
              <w:jc w:val="center"/>
              <w:rPr>
                <w:rFonts w:hint="eastAsia" w:ascii="仿宋" w:hAnsi="仿宋" w:eastAsia="仿宋" w:cs="仿宋"/>
                <w:color w:val="auto"/>
                <w:highlight w:val="none"/>
              </w:rPr>
            </w:pPr>
            <w:r>
              <w:rPr>
                <w:rFonts w:hint="eastAsia" w:ascii="仿宋" w:hAnsi="仿宋" w:eastAsia="仿宋" w:cs="仿宋"/>
                <w:color w:val="auto"/>
                <w:highlight w:val="none"/>
              </w:rPr>
              <w:t>扣分事项需附加材料</w:t>
            </w:r>
          </w:p>
        </w:tc>
      </w:tr>
    </w:tbl>
    <w:p>
      <w:pPr>
        <w:spacing w:line="380" w:lineRule="exact"/>
        <w:jc w:val="center"/>
        <w:rPr>
          <w:rFonts w:hint="eastAsia" w:ascii="仿宋" w:hAnsi="仿宋" w:eastAsia="仿宋" w:cs="仿宋"/>
          <w:b/>
          <w:color w:val="auto"/>
          <w:sz w:val="28"/>
          <w:szCs w:val="28"/>
          <w:highlight w:val="none"/>
        </w:rPr>
      </w:pPr>
    </w:p>
    <w:p>
      <w:pPr>
        <w:spacing w:line="380" w:lineRule="exact"/>
        <w:jc w:val="center"/>
        <w:rPr>
          <w:rFonts w:hint="eastAsia" w:ascii="仿宋" w:hAnsi="仿宋" w:eastAsia="仿宋" w:cs="仿宋"/>
          <w:b/>
          <w:color w:val="auto"/>
          <w:sz w:val="28"/>
          <w:szCs w:val="28"/>
          <w:highlight w:val="none"/>
        </w:rPr>
      </w:pPr>
    </w:p>
    <w:p>
      <w:pPr>
        <w:spacing w:line="380" w:lineRule="exact"/>
        <w:jc w:val="center"/>
        <w:rPr>
          <w:rFonts w:hint="eastAsia" w:ascii="仿宋" w:hAnsi="仿宋" w:eastAsia="仿宋" w:cs="仿宋"/>
          <w:b/>
          <w:color w:val="auto"/>
          <w:sz w:val="28"/>
          <w:szCs w:val="28"/>
          <w:highlight w:val="none"/>
        </w:rPr>
      </w:pPr>
    </w:p>
    <w:p>
      <w:pPr>
        <w:pStyle w:val="10"/>
        <w:ind w:left="0" w:leftChars="0" w:firstLine="0" w:firstLineChars="0"/>
        <w:rPr>
          <w:rFonts w:hint="eastAsia" w:ascii="仿宋" w:hAnsi="仿宋" w:eastAsia="仿宋" w:cs="仿宋"/>
          <w:b/>
          <w:color w:val="auto"/>
          <w:sz w:val="28"/>
          <w:szCs w:val="28"/>
          <w:highlight w:val="none"/>
        </w:rPr>
      </w:pPr>
    </w:p>
    <w:p>
      <w:pPr>
        <w:pStyle w:val="10"/>
        <w:ind w:left="0" w:leftChars="0" w:firstLine="0" w:firstLineChars="0"/>
        <w:rPr>
          <w:rFonts w:hint="eastAsia" w:ascii="仿宋" w:hAnsi="仿宋" w:eastAsia="仿宋" w:cs="仿宋"/>
          <w:b/>
          <w:color w:val="auto"/>
          <w:sz w:val="28"/>
          <w:szCs w:val="28"/>
          <w:highlight w:val="none"/>
        </w:rPr>
      </w:pPr>
    </w:p>
    <w:p>
      <w:pPr>
        <w:pStyle w:val="10"/>
        <w:ind w:left="0" w:leftChars="0" w:firstLine="0" w:firstLineChars="0"/>
        <w:rPr>
          <w:rFonts w:hint="eastAsia" w:ascii="仿宋" w:hAnsi="仿宋" w:eastAsia="仿宋" w:cs="仿宋"/>
          <w:b/>
          <w:color w:val="auto"/>
          <w:sz w:val="28"/>
          <w:szCs w:val="28"/>
          <w:highlight w:val="none"/>
        </w:rPr>
      </w:pPr>
    </w:p>
    <w:p>
      <w:pPr>
        <w:pStyle w:val="10"/>
        <w:ind w:left="0" w:leftChars="0" w:firstLine="0" w:firstLineChars="0"/>
        <w:rPr>
          <w:rFonts w:hint="eastAsia" w:ascii="仿宋" w:hAnsi="仿宋" w:eastAsia="仿宋" w:cs="仿宋"/>
          <w:b/>
          <w:color w:val="auto"/>
          <w:sz w:val="28"/>
          <w:szCs w:val="28"/>
          <w:highlight w:val="none"/>
        </w:rPr>
      </w:pPr>
    </w:p>
    <w:p>
      <w:pPr>
        <w:pStyle w:val="10"/>
        <w:ind w:left="0" w:leftChars="0" w:firstLine="0" w:firstLineChars="0"/>
        <w:rPr>
          <w:rFonts w:hint="eastAsia" w:ascii="仿宋" w:hAnsi="仿宋" w:eastAsia="仿宋" w:cs="仿宋"/>
          <w:b/>
          <w:color w:val="auto"/>
          <w:sz w:val="28"/>
          <w:szCs w:val="28"/>
          <w:highlight w:val="none"/>
        </w:rPr>
      </w:pPr>
    </w:p>
    <w:p>
      <w:pPr>
        <w:spacing w:line="3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第三部分  响应供应商须知</w:t>
      </w:r>
    </w:p>
    <w:p>
      <w:pPr>
        <w:pStyle w:val="11"/>
        <w:adjustRightInd w:val="0"/>
        <w:snapToGrid w:val="0"/>
        <w:spacing w:line="380" w:lineRule="exact"/>
        <w:rPr>
          <w:rFonts w:hint="eastAsia" w:ascii="仿宋" w:hAnsi="仿宋" w:eastAsia="仿宋" w:cs="仿宋"/>
          <w:color w:val="auto"/>
          <w:sz w:val="28"/>
          <w:szCs w:val="28"/>
          <w:highlight w:val="none"/>
        </w:rPr>
      </w:pP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 xml:space="preserve">名词解释         </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1.定义</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u w:val="none"/>
          <w:lang w:eastAsia="zh-CN"/>
        </w:rPr>
        <w:t>惠州市第一妇幼保健院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是采购活动当事人之一，负责项目的整体规划、技术方案可行性设计论证与实施，作为合同采购方（用户）的主体承担质疑回复、履行合同、验收与评价等义务。</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“监管部门”是指：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项目监督管理部门。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“响应供应商”是指响应本文件要求，参加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的法人或者其他组织。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合格的响应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是指符合以下条件的：</w:t>
      </w:r>
    </w:p>
    <w:p>
      <w:pPr>
        <w:pStyle w:val="11"/>
        <w:adjustRightInd w:val="0"/>
        <w:snapToGrid w:val="0"/>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kern w:val="0"/>
          <w:sz w:val="24"/>
          <w:szCs w:val="24"/>
          <w:highlight w:val="none"/>
        </w:rPr>
        <w:t>符合《政府采购法》第二十二条规定的供应商。</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供应商资格</w:t>
      </w:r>
      <w:r>
        <w:rPr>
          <w:rFonts w:hint="eastAsia" w:ascii="仿宋" w:hAnsi="仿宋" w:eastAsia="仿宋" w:cs="仿宋"/>
          <w:color w:val="auto"/>
          <w:sz w:val="24"/>
          <w:szCs w:val="24"/>
          <w:highlight w:val="none"/>
        </w:rPr>
        <w:t>”规定要求；</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hr-HR" w:eastAsia="zh-CN"/>
        </w:rPr>
        <w:t>按要求进行</w:t>
      </w:r>
      <w:r>
        <w:rPr>
          <w:rFonts w:hint="eastAsia" w:ascii="仿宋" w:hAnsi="仿宋" w:eastAsia="仿宋" w:cs="仿宋"/>
          <w:color w:val="auto"/>
          <w:sz w:val="24"/>
          <w:szCs w:val="24"/>
          <w:highlight w:val="none"/>
          <w:lang w:val="en-US" w:eastAsia="zh-CN"/>
        </w:rPr>
        <w:t>资格性符合性审查（即满足采购条件和要求）</w:t>
      </w:r>
      <w:r>
        <w:rPr>
          <w:rFonts w:hint="eastAsia" w:ascii="仿宋" w:hAnsi="仿宋" w:eastAsia="仿宋" w:cs="仿宋"/>
          <w:color w:val="auto"/>
          <w:sz w:val="24"/>
          <w:szCs w:val="24"/>
          <w:highlight w:val="none"/>
          <w:lang w:val="hr-HR" w:eastAsia="zh-CN"/>
        </w:rPr>
        <w:t>并通过；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供应商”是指经</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评审确定的对</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文件做出实质性响应，经采购人按照规定在</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候选人中确定的</w:t>
      </w:r>
      <w:r>
        <w:rPr>
          <w:rFonts w:hint="eastAsia" w:ascii="仿宋" w:hAnsi="仿宋" w:eastAsia="仿宋" w:cs="仿宋"/>
          <w:color w:val="auto"/>
          <w:sz w:val="24"/>
          <w:szCs w:val="24"/>
          <w:highlight w:val="none"/>
          <w:lang w:val="en-US" w:eastAsia="zh-CN"/>
        </w:rPr>
        <w:t>响应供应商</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w:t>
      </w:r>
      <w:r>
        <w:rPr>
          <w:rFonts w:hint="eastAsia" w:ascii="仿宋" w:hAnsi="仿宋" w:eastAsia="仿宋" w:cs="仿宋"/>
          <w:color w:val="auto"/>
          <w:sz w:val="24"/>
          <w:szCs w:val="24"/>
          <w:highlight w:val="none"/>
        </w:rPr>
        <w:t>文件：是指包括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公告和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文件及其补充、变更和澄清等一系列文件。</w:t>
      </w:r>
    </w:p>
    <w:p>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（7）“响应文件”是指：供应商根据本文件要求，编制包含报价、技术和服务等所有内容的实质性响应文件。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合格的货物和服务：</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“货物”是指</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制造或组织符合</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文件要求的货物等。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文件中没有提及</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货物来源地的，根据《政府采购法》的相关规定均应是本国货物。</w:t>
      </w:r>
      <w:r>
        <w:rPr>
          <w:rFonts w:hint="eastAsia" w:ascii="仿宋" w:hAnsi="仿宋" w:eastAsia="仿宋" w:cs="仿宋"/>
          <w:snapToGrid w:val="0"/>
          <w:color w:val="auto"/>
          <w:kern w:val="0"/>
          <w:sz w:val="24"/>
          <w:highlight w:val="none"/>
          <w:lang w:eastAsia="zh-CN"/>
        </w:rPr>
        <w:t>响应</w:t>
      </w:r>
      <w:r>
        <w:rPr>
          <w:rFonts w:hint="eastAsia" w:ascii="仿宋" w:hAnsi="仿宋" w:eastAsia="仿宋" w:cs="仿宋"/>
          <w:snapToGrid w:val="0"/>
          <w:color w:val="auto"/>
          <w:kern w:val="0"/>
          <w:sz w:val="24"/>
          <w:highlight w:val="none"/>
        </w:rPr>
        <w:t>的货物必须是其合法生产的符合国家有关标准要求的货物，并满足我院</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文件规定的规格、参数、质量、价格、有效期、售后服务等要求。</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“服务”是指除货物和工程以外的采购对象，其中包括：</w:t>
      </w:r>
      <w:r>
        <w:rPr>
          <w:rFonts w:hint="eastAsia" w:ascii="仿宋" w:hAnsi="仿宋" w:eastAsia="仿宋" w:cs="仿宋"/>
          <w:snapToGrid w:val="0"/>
          <w:color w:val="auto"/>
          <w:kern w:val="0"/>
          <w:sz w:val="24"/>
          <w:highlight w:val="none"/>
          <w:lang w:val="en-US" w:eastAsia="zh-CN"/>
        </w:rPr>
        <w:t>响应供应商</w:t>
      </w:r>
      <w:r>
        <w:rPr>
          <w:rFonts w:hint="eastAsia" w:ascii="仿宋" w:hAnsi="仿宋" w:eastAsia="仿宋" w:cs="仿宋"/>
          <w:snapToGrid w:val="0"/>
          <w:color w:val="auto"/>
          <w:kern w:val="0"/>
          <w:sz w:val="24"/>
          <w:highlight w:val="none"/>
        </w:rPr>
        <w:t>需承担的运输、安装、技术支持、培训以及</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文件规定的其他服务。</w:t>
      </w:r>
    </w:p>
    <w:p>
      <w:pPr>
        <w:pStyle w:val="11"/>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rPr>
      </w:pPr>
      <w:r>
        <w:rPr>
          <w:rFonts w:hint="eastAsia" w:ascii="仿宋" w:hAnsi="仿宋" w:eastAsia="仿宋" w:cs="仿宋"/>
          <w:b w:val="0"/>
          <w:bCs w:val="0"/>
          <w:snapToGrid w:val="0"/>
          <w:color w:val="auto"/>
          <w:kern w:val="0"/>
          <w:sz w:val="24"/>
          <w:szCs w:val="21"/>
          <w:highlight w:val="none"/>
          <w:u w:val="none"/>
          <w:lang w:val="en-US" w:eastAsia="zh-CN" w:bidi="ar-SA"/>
        </w:rPr>
        <w:t>2</w:t>
      </w:r>
      <w:r>
        <w:rPr>
          <w:rFonts w:hint="eastAsia" w:ascii="仿宋" w:hAnsi="仿宋" w:eastAsia="仿宋" w:cs="仿宋"/>
          <w:b w:val="0"/>
          <w:bCs w:val="0"/>
          <w:snapToGrid w:val="0"/>
          <w:color w:val="auto"/>
          <w:kern w:val="0"/>
          <w:sz w:val="24"/>
          <w:highlight w:val="none"/>
          <w:u w:val="none"/>
          <w:lang w:val="en-US" w:eastAsia="zh-CN"/>
        </w:rPr>
        <w:t>.</w:t>
      </w:r>
      <w:r>
        <w:rPr>
          <w:rFonts w:hint="eastAsia" w:ascii="仿宋" w:hAnsi="仿宋" w:eastAsia="仿宋" w:cs="仿宋"/>
          <w:b w:val="0"/>
          <w:bCs w:val="0"/>
          <w:snapToGrid w:val="0"/>
          <w:color w:val="auto"/>
          <w:kern w:val="0"/>
          <w:sz w:val="24"/>
          <w:highlight w:val="none"/>
          <w:u w:val="none"/>
        </w:rPr>
        <w:t>响应费用：</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b w:val="0"/>
          <w:bCs w:val="0"/>
          <w:snapToGrid w:val="0"/>
          <w:color w:val="auto"/>
          <w:kern w:val="0"/>
          <w:sz w:val="24"/>
          <w:highlight w:val="none"/>
          <w:u w:val="none"/>
        </w:rPr>
        <w:t>应承担所有与准备和参加响应有关的费用。</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.“响应供应商名称”及“</w:t>
      </w:r>
      <w:r>
        <w:rPr>
          <w:rFonts w:hint="eastAsia" w:ascii="仿宋" w:hAnsi="仿宋" w:eastAsia="仿宋" w:cs="仿宋"/>
          <w:snapToGrid w:val="0"/>
          <w:color w:val="auto"/>
          <w:kern w:val="0"/>
          <w:sz w:val="24"/>
          <w:highlight w:val="none"/>
          <w:lang w:eastAsia="zh-CN"/>
        </w:rPr>
        <w:t>盖章</w:t>
      </w:r>
      <w:r>
        <w:rPr>
          <w:rFonts w:hint="eastAsia" w:ascii="仿宋" w:hAnsi="仿宋" w:eastAsia="仿宋" w:cs="仿宋"/>
          <w:snapToGrid w:val="0"/>
          <w:color w:val="auto"/>
          <w:kern w:val="0"/>
          <w:sz w:val="24"/>
          <w:highlight w:val="none"/>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rPr>
        <w:t>响应供应商法定代表人</w:t>
      </w:r>
      <w:r>
        <w:rPr>
          <w:rFonts w:hint="eastAsia" w:ascii="仿宋" w:hAnsi="仿宋" w:eastAsia="仿宋" w:cs="仿宋"/>
          <w:snapToGrid w:val="0"/>
          <w:color w:val="auto"/>
          <w:kern w:val="0"/>
          <w:sz w:val="24"/>
          <w:highlight w:val="none"/>
        </w:rPr>
        <w:t>”及“</w:t>
      </w:r>
      <w:r>
        <w:rPr>
          <w:rFonts w:hint="eastAsia" w:ascii="仿宋" w:hAnsi="仿宋" w:eastAsia="仿宋" w:cs="仿宋"/>
          <w:color w:val="auto"/>
          <w:sz w:val="24"/>
          <w:highlight w:val="none"/>
        </w:rPr>
        <w:t>法定代表人授权代表</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响应供应商法定代表人（或法定代表人授权代表）</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0"/>
          <w:sz w:val="24"/>
          <w:highlight w:val="none"/>
        </w:rPr>
        <w:t>：在响应文件及相关的其他资料中，涉及“</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snapToGrid w:val="0"/>
          <w:color w:val="auto"/>
          <w:kern w:val="0"/>
          <w:sz w:val="24"/>
          <w:highlight w:val="none"/>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二、说明</w:t>
      </w:r>
    </w:p>
    <w:p>
      <w:pPr>
        <w:pStyle w:val="11"/>
        <w:adjustRightInd w:val="0"/>
        <w:snapToGrid w:val="0"/>
        <w:spacing w:line="360" w:lineRule="auto"/>
        <w:ind w:firstLine="481"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1.总则</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sz w:val="24"/>
          <w:szCs w:val="24"/>
          <w:highlight w:val="none"/>
        </w:rPr>
        <w:t>采购人及</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进行的本次采购活动</w:t>
      </w:r>
      <w:r>
        <w:rPr>
          <w:rFonts w:hint="eastAsia" w:ascii="仿宋" w:hAnsi="仿宋" w:eastAsia="仿宋" w:cs="仿宋"/>
          <w:color w:val="auto"/>
          <w:kern w:val="0"/>
          <w:sz w:val="24"/>
          <w:highlight w:val="none"/>
        </w:rPr>
        <w:t>参考《中华人民共和国政府采购法》及医院的采购制度。</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应仔细阅读本项目</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公告及</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的所有内容（包括变更、补充、澄清以及修改等，且均为</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的组成部分），按照</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要求以及格式编制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文件，并保证其真实性，否则一切后果自负。</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本次</w:t>
      </w:r>
      <w:r>
        <w:rPr>
          <w:rFonts w:hint="eastAsia" w:ascii="仿宋" w:hAnsi="仿宋" w:eastAsia="仿宋" w:cs="仿宋"/>
          <w:bCs/>
          <w:color w:val="auto"/>
          <w:sz w:val="24"/>
          <w:szCs w:val="24"/>
          <w:highlight w:val="none"/>
          <w:lang w:eastAsia="zh-CN"/>
        </w:rPr>
        <w:t>院内比选</w:t>
      </w:r>
      <w:r>
        <w:rPr>
          <w:rFonts w:hint="eastAsia" w:ascii="仿宋" w:hAnsi="仿宋" w:eastAsia="仿宋" w:cs="仿宋"/>
          <w:bCs/>
          <w:color w:val="auto"/>
          <w:sz w:val="24"/>
          <w:szCs w:val="24"/>
          <w:highlight w:val="none"/>
        </w:rPr>
        <w:t>项目，是以</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公告的方式邀请非特定的</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pPr>
        <w:pStyle w:val="11"/>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b/>
          <w:bCs/>
          <w:color w:val="auto"/>
          <w:sz w:val="24"/>
          <w:highlight w:val="none"/>
          <w:lang w:val="en-US" w:eastAsia="zh-CN"/>
        </w:rPr>
        <w:t>2.适用范围：</w:t>
      </w:r>
      <w:r>
        <w:rPr>
          <w:rFonts w:hint="eastAsia" w:ascii="仿宋" w:hAnsi="仿宋" w:eastAsia="仿宋" w:cs="仿宋"/>
          <w:strike w:val="0"/>
          <w:dstrike w:val="0"/>
          <w:color w:val="auto"/>
          <w:sz w:val="24"/>
          <w:szCs w:val="24"/>
          <w:highlight w:val="none"/>
        </w:rPr>
        <w:t>本</w:t>
      </w:r>
      <w:r>
        <w:rPr>
          <w:rFonts w:hint="eastAsia" w:ascii="仿宋" w:hAnsi="仿宋" w:eastAsia="仿宋" w:cs="仿宋"/>
          <w:strike w:val="0"/>
          <w:dstrike w:val="0"/>
          <w:color w:val="auto"/>
          <w:sz w:val="24"/>
          <w:szCs w:val="24"/>
          <w:highlight w:val="none"/>
          <w:lang w:eastAsia="zh-CN"/>
        </w:rPr>
        <w:t>比选</w:t>
      </w:r>
      <w:r>
        <w:rPr>
          <w:rFonts w:hint="eastAsia" w:ascii="仿宋" w:hAnsi="仿宋" w:eastAsia="仿宋" w:cs="仿宋"/>
          <w:strike w:val="0"/>
          <w:dstrike w:val="0"/>
          <w:color w:val="auto"/>
          <w:sz w:val="24"/>
          <w:szCs w:val="24"/>
          <w:highlight w:val="none"/>
        </w:rPr>
        <w:t>文件适用于本</w:t>
      </w:r>
      <w:r>
        <w:rPr>
          <w:rFonts w:hint="eastAsia" w:ascii="仿宋" w:hAnsi="仿宋" w:eastAsia="仿宋" w:cs="仿宋"/>
          <w:strike w:val="0"/>
          <w:dstrike w:val="0"/>
          <w:color w:val="auto"/>
          <w:sz w:val="24"/>
          <w:szCs w:val="24"/>
          <w:highlight w:val="none"/>
          <w:lang w:eastAsia="zh-CN"/>
        </w:rPr>
        <w:t>比</w:t>
      </w:r>
      <w:r>
        <w:rPr>
          <w:rFonts w:hint="eastAsia" w:ascii="仿宋" w:hAnsi="仿宋" w:eastAsia="仿宋" w:cs="仿宋"/>
          <w:strike w:val="0"/>
          <w:dstrike w:val="0"/>
          <w:color w:val="auto"/>
          <w:sz w:val="24"/>
          <w:szCs w:val="24"/>
          <w:highlight w:val="none"/>
          <w:lang w:val="en-US" w:eastAsia="zh-CN"/>
        </w:rPr>
        <w:t>选</w:t>
      </w:r>
      <w:r>
        <w:rPr>
          <w:rFonts w:hint="eastAsia" w:ascii="仿宋" w:hAnsi="仿宋" w:eastAsia="仿宋" w:cs="仿宋"/>
          <w:strike w:val="0"/>
          <w:dstrike w:val="0"/>
          <w:color w:val="auto"/>
          <w:sz w:val="24"/>
          <w:szCs w:val="24"/>
          <w:highlight w:val="none"/>
        </w:rPr>
        <w:t>邀请中所述项目的采购项目。</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strike w:val="0"/>
          <w:dstrike w:val="0"/>
          <w:color w:val="auto"/>
          <w:sz w:val="24"/>
          <w:szCs w:val="24"/>
          <w:highlight w:val="none"/>
          <w:lang w:val="en-US" w:eastAsia="zh-CN"/>
        </w:rPr>
        <w:t>3.</w:t>
      </w:r>
      <w:r>
        <w:rPr>
          <w:rFonts w:hint="eastAsia" w:ascii="仿宋" w:hAnsi="仿宋" w:eastAsia="仿宋" w:cs="仿宋"/>
          <w:b/>
          <w:bCs/>
          <w:color w:val="auto"/>
          <w:sz w:val="24"/>
          <w:szCs w:val="24"/>
          <w:highlight w:val="none"/>
        </w:rPr>
        <w:t>关于中小微企业</w:t>
      </w:r>
      <w:r>
        <w:rPr>
          <w:rFonts w:hint="eastAsia" w:ascii="仿宋" w:hAnsi="仿宋" w:eastAsia="仿宋" w:cs="仿宋"/>
          <w:b/>
          <w:bCs/>
          <w:color w:val="auto"/>
          <w:sz w:val="24"/>
          <w:szCs w:val="24"/>
          <w:highlight w:val="none"/>
          <w:lang w:eastAsia="zh-CN"/>
        </w:rPr>
        <w:t>响应</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 。</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产品中仅有部分小型和微型企业产品的，则此部分按所投小型和微型企业产品的价格予以扣除。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根据财库〔2014〕68号《财政部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时，提供由省级以上监狱管理局、戒毒管理局(含新疆生产建设兵团)出具的属于监狱企业的证明文件，不再提供《中小企业声明函》。</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监狱企业视同小型、微型企业，享受评审中价格扣除。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残疾人福利性单位视同小型、微型企业，享受评审中价格扣除。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同时为小型、微型企业、监狱企业、残疾人福利性单位任两种或以上情况的，评审中只享受一次价格扣除，不重复进行价格扣除。</w:t>
      </w:r>
    </w:p>
    <w:p>
      <w:pPr>
        <w:pStyle w:val="11"/>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4.纪律与保密</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不得相互串通</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报价，不得妨碍其他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的公平竞争，不得损害采购人或其他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的合法权益，</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不得以向采购人、</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行贿或者采取其他不正当手段谋取</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供应商之前，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不得与采购人就</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价格、</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方案等实质性内容进行谈判，也不得私下接触</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成员。</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试图在</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文件审查、澄清、比较和评价时对</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、采购人施加任何影响都可能导致其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无效。</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获得本</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者，须履行本项目下保密义务，不得将因本次项目获得的信息向第三人外传，不得将</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用作本次</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以外的任何用途。</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由采购人向</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结束后，应采购人要求，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应归还所有从采购人处获得的保密资料。</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采购人有权将供应商提供的所有资料向有关政府部门或评审小组披露。</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11"/>
        <w:adjustRightInd w:val="0"/>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color w:val="auto"/>
          <w:sz w:val="24"/>
          <w:szCs w:val="24"/>
          <w:highlight w:val="none"/>
        </w:rPr>
        <w:t>比选的语言及计量</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除非比选文件中另有规定，供应商在响应文件中及其与采购单位的所有往来文件中的计量单位均应采用中华人民共和国法定计量单位。</w:t>
      </w:r>
    </w:p>
    <w:p>
      <w:pPr>
        <w:pStyle w:val="11"/>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响应文件的构成应符合法律法规及比选文件的要求。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color w:val="auto"/>
          <w:sz w:val="24"/>
          <w:szCs w:val="24"/>
          <w:highlight w:val="none"/>
        </w:rPr>
        <w:t>现场踏勘（如有）</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规定组织踏勘现场的，采购人按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踏勘项目现场。</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自行承担踏勘现场发生的责任、风险和自身费用。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采购人在踏勘现场中介绍的资料和数据等，只是为了使</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能够利用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现有的资料。</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人对</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由此而作出的推论、解释和结论概不负责。</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三、比选文件澄清和修改</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（1）比选文件的澄清是指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对比选文件中的遗漏、错误、词义表达不清或对比较复杂的事项进行说明，回答供应商提出的各种问题。比选文件的修改是指采购人对比选文件中出现的错误进行修订。</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lang w:val="en-US" w:eastAsia="zh-CN"/>
        </w:rPr>
        <w:t>报名成功的</w:t>
      </w:r>
      <w:r>
        <w:rPr>
          <w:rFonts w:hint="eastAsia" w:ascii="仿宋" w:hAnsi="仿宋" w:eastAsia="仿宋" w:cs="仿宋"/>
          <w:color w:val="auto"/>
          <w:sz w:val="24"/>
          <w:szCs w:val="24"/>
          <w:highlight w:val="none"/>
        </w:rPr>
        <w:t>供应商（答复中不包括问题的来源）。不足3日的，顺延提交响应文件的截止时间。该答复作为比选文件的一部分，对供应商有约束力。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（3）比选文件的修改将在比选文件规定的响应文件递交截止时间3日之前由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以书面形式通知所有潜在（报名成功的）供应商，并对其具有约束力。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）采购人可以视采购具体情况，延长响应文件递交截止时间，但至少应当在比选文件规定的响应文件递交截止时间3日前，并将变更时间书面通知所有已获取比选文件的潜在供应商。</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1.响应文件编制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响应供应商应完整、真实、准确的填写比选文件中规定的所有内容，对响应文件所提供的全部资料的真实性承担法律责任，并无条件接受我院</w:t>
      </w:r>
      <w:r>
        <w:rPr>
          <w:rFonts w:hint="eastAsia" w:ascii="仿宋" w:hAnsi="仿宋" w:eastAsia="仿宋" w:cs="仿宋"/>
          <w:color w:val="auto"/>
          <w:sz w:val="24"/>
          <w:szCs w:val="24"/>
          <w:highlight w:val="none"/>
          <w:lang w:eastAsia="zh-CN"/>
        </w:rPr>
        <w:t>招采</w:t>
      </w:r>
      <w:r>
        <w:rPr>
          <w:rFonts w:hint="eastAsia" w:ascii="仿宋" w:hAnsi="仿宋" w:eastAsia="仿宋" w:cs="仿宋"/>
          <w:color w:val="auto"/>
          <w:sz w:val="24"/>
          <w:szCs w:val="24"/>
          <w:highlight w:val="none"/>
          <w:lang w:val="en-US" w:eastAsia="zh-CN"/>
        </w:rPr>
        <w:t>部门</w:t>
      </w:r>
      <w:r>
        <w:rPr>
          <w:rFonts w:hint="eastAsia" w:ascii="仿宋" w:hAnsi="仿宋" w:eastAsia="仿宋" w:cs="仿宋"/>
          <w:color w:val="auto"/>
          <w:sz w:val="24"/>
          <w:szCs w:val="24"/>
          <w:highlight w:val="none"/>
        </w:rPr>
        <w:t>和监督管理小组等对其中任何资料进行核实的要求。供应商必须对响应文件所提供的全部资料的真实性承担法律责任。</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如果因为供应商响应文件填报的内容不详，或没有提供比选文件中所要求的全部资料及数据，由此造成的后果，其责任由供应商承担。</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响应文件的递交</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供应商应将《报价单》单独密封提交，并在信封上清晰标明“报价信封”字样。供应商应将响应文件密封包装。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响应的信封袋或者文件袋外包装上应注明采购项目名称、项目编号 “在（比选文件中规定的比选日期和时点）之前不得拆封”字样，封口处加盖公章。未按要求密封和标记的，我院对误投或提前启封概不负责。</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将拒绝接收。</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3.响应文件的修改、撤回与撤销</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rPr>
        <w:t>撤回</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供应商所提交的响应文件在比选结束后，无论成交与否都不予退还。</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strike w:val="0"/>
          <w:color w:val="auto"/>
          <w:sz w:val="24"/>
          <w:szCs w:val="24"/>
          <w:highlight w:val="none"/>
        </w:rPr>
        <w:t>有以下情形的，将视为响应供应商互相串通响应，不得报名或响应无效：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（1）不同供应商委托同一单位或个人办理报价事宜；</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（2）不同供应商的报价文件出现同一公章或者签字的；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（3）不同供应商的响应文件异常一致或者非比选文件格式要求，响应文件中出现错误字/词/句位置一致的，雷同内容达到20字及以上的；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（4）不同供应商的响应文件载明的项目管理成员或者联系人员为同一人；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（5）不同供应商的响应文件相互混装；</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（6）法定代表人为同一个人的两个及两个以上法人，母公司、全资子公司及其控股公司或有共同股东组成或主要管理人员中有共同人员的。</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strike w:val="0"/>
          <w:color w:val="auto"/>
          <w:sz w:val="24"/>
          <w:szCs w:val="24"/>
          <w:highlight w:val="none"/>
          <w:lang w:val="en-US" w:eastAsia="zh-CN"/>
        </w:rPr>
        <w:t>5.</w:t>
      </w:r>
      <w:r>
        <w:rPr>
          <w:rFonts w:hint="eastAsia" w:ascii="仿宋" w:hAnsi="仿宋" w:eastAsia="仿宋" w:cs="仿宋"/>
          <w:b/>
          <w:bCs/>
          <w:strike w:val="0"/>
          <w:color w:val="auto"/>
          <w:sz w:val="24"/>
          <w:szCs w:val="24"/>
          <w:highlight w:val="none"/>
        </w:rPr>
        <w:t>响应供应商有下列弄虚作假的行为的，不得报名或响应无效：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（1）使用伪造、变造的许可证件；</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（2）提供虚假的财务状况或者业绩；</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（3）提供虚假的项目负责人或者主要技术人员简历、劳动关系证明；</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（4）提供虚假的信用状况；</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（5）其他弄虚作假的行为；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（6）响应文件或报价文件的签名为代签或冒签的；</w:t>
      </w:r>
    </w:p>
    <w:p>
      <w:pPr>
        <w:pStyle w:val="11"/>
        <w:adjustRightInd w:val="0"/>
        <w:snapToGrid w:val="0"/>
        <w:spacing w:line="360" w:lineRule="auto"/>
        <w:ind w:firstLine="480" w:firstLineChars="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（7）被授权人委托他人提交响应文件的，无委托书的。</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无效的报价认定</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（1）报价文件没有有效签署的； </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（2）报价文件不响应评审小组评审时质疑提出的问题，且该问题将可能给采购人造成重大影响的；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（3）报价文件的报价明显过低，可能低于其成本，而供应商又不能作出合理说明的；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（4）报价文件的总价超出采购预算且采购人不能接受的；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（5）报价文件附有采购人不能接受的条件的；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（6）评审小组认为本次报价不响应比选文件实质性要求的；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（7）其它评审小组一致认为应作为无效报价的。</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★”号条款：必须实质响应的条款，响应供应商不可偏离，负偏离将导致评审时认定为响应无效。“▲”号条款：可以偏离的响应条款，将影响响应供应商的得分。</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以下情形，采购人有权拒收响应文件：</w:t>
      </w:r>
    </w:p>
    <w:p>
      <w:pPr>
        <w:pStyle w:val="11"/>
        <w:adjustRightInd w:val="0"/>
        <w:snapToGrid w:val="0"/>
        <w:spacing w:line="360" w:lineRule="auto"/>
        <w:ind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（1）逾期送达；</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（2）未按比选文件要求密封。</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有下列情形，评审小组将否决其响应：</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（1）响应文件未经响应单位盖章和法人或单位负责人签字；</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（2）响应联合体没有提交共同响应协议；</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（3）同一响应供应商提交两个以上不同的响应文件或者响应报价，比选文件要求提交备选响应的除外；</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（4）响应报价低于成本或者高于比选最高响应限价的；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（5）响应文件没有对比选文件的实质性要求和条件作出响应的，</w:t>
      </w:r>
      <w:r>
        <w:rPr>
          <w:rFonts w:hint="eastAsia" w:ascii="仿宋" w:hAnsi="仿宋" w:eastAsia="仿宋" w:cs="仿宋"/>
          <w:color w:val="auto"/>
          <w:sz w:val="24"/>
          <w:szCs w:val="24"/>
          <w:highlight w:val="none"/>
        </w:rPr>
        <w:t>评审小组认为明显不符合评审要求的技术规格、技术标准、采购数量；</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（6）响应供应商有串通响应、弄虚作假等违法行为的；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（7）比选现场存在争议的。</w:t>
      </w:r>
    </w:p>
    <w:p>
      <w:pPr>
        <w:pStyle w:val="11"/>
        <w:adjustRightInd w:val="0"/>
        <w:snapToGrid w:val="0"/>
        <w:spacing w:line="360" w:lineRule="auto"/>
        <w:ind w:firstLine="48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供应商在参加比选过程中出现的以下不良行为的，将列入我院黑名单管理，在此后的三年内不得参与我院任何采买活动：</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（1）远低于成本价恶意竞价或提供虚假材料谋求成交的；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（2）采取不正当手段诋毁、排挤其他潜在供应商的；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（3）与其他潜在供应商恶意串通的；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（4）随意申请撤换或放弃成交结果的；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（5）成交后无正当理由拒绝或迟迟不签订采购合同的；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（6）成交后，超过合同约定的供货（或服务）时间未按要求执行，给采购人造成损害的；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（7）在比选采购过程中，与相关部门协商谈判的；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（8）向医院涉及的相关部门行贿或者提供不正当利益的；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（9）拒绝有关部门监督检查或者提供虚假情况的；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（10）无正当理由拒绝履行合同和有关承诺，或擅自变更、中止（终止）采购合同的；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（11）提供假冒伪劣产品或走私物品的；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（12）不遵守比选现场纪律，扰乱评审现场，影响采购活动继续进行的；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（13）采购后擅自撤回采购相应文件，影响采购活动继续进行的；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（14）成交后，擅自将采购合同转包或分包给其他供应商的；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（15）不按比选、响应文件的要求和承诺执行或擅自降低响应承诺的产品质量和售后服务或以次充好、偷工减料的；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（16）实际提供的有关产品性能指标和技术服务能力明显低于采购响应文件时的承诺的；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（17）2年内有一次以上投诉查无实据、捏造事实或者提供虚假投诉材料的；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（18）累计两次供应商履约诚信量化评价得分不合格的供应商的；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（19）2年内累计达两次报名成功后未按规定提前一天发函告知不参加比选的。</w:t>
      </w:r>
    </w:p>
    <w:p>
      <w:pPr>
        <w:pStyle w:val="11"/>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响应供应商在响应比选文件中必须列出具体数值，如果响应供应商只注明“差不多”“接近”等不明确表述，或擅自修改比选文件的比选服务、商务等要求的将导致评审小组拒绝其响应。</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五、比选</w:t>
      </w:r>
    </w:p>
    <w:p>
      <w:pPr>
        <w:pStyle w:val="11"/>
        <w:adjustRightInd w:val="0"/>
        <w:snapToGrid w:val="0"/>
        <w:spacing w:line="360" w:lineRule="auto"/>
        <w:ind w:right="32" w:firstLine="482"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（一）比选前</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本比选文件规定的日期、时间和地点组织比选。参加比选的代表应签到以证明其出席,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供应商不参加现场比选的，视为无条件认同比选报价结果。</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szCs w:val="24"/>
          <w:highlight w:val="none"/>
        </w:rPr>
        <w:t>选派监督代表参加比选现场监督，只负责监督不负责评审工作。</w:t>
      </w:r>
    </w:p>
    <w:p>
      <w:pPr>
        <w:pStyle w:val="11"/>
        <w:adjustRightInd w:val="0"/>
        <w:snapToGrid w:val="0"/>
        <w:spacing w:line="360" w:lineRule="auto"/>
        <w:ind w:right="0" w:firstLine="480"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在响应供应商见证下、医院监督代表验证文件的密封性，并由工作人员现场宣读响应供应商名称、响应价格等实质内容。</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评审小组的组成</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评审小组按医院规定从专家库中随机抽取三名专家组成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rPr>
        <w:t>同一任职科室评审专家</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超过二名</w:t>
      </w:r>
      <w:r>
        <w:rPr>
          <w:rFonts w:hint="eastAsia"/>
          <w:color w:val="auto"/>
          <w:highlight w:val="none"/>
          <w:lang w:eastAsia="zh-CN"/>
        </w:rPr>
        <w:t>。</w:t>
      </w:r>
      <w:r>
        <w:rPr>
          <w:rFonts w:hint="eastAsia" w:ascii="仿宋" w:hAnsi="仿宋" w:eastAsia="仿宋" w:cs="仿宋"/>
          <w:color w:val="auto"/>
          <w:sz w:val="24"/>
          <w:szCs w:val="24"/>
          <w:highlight w:val="none"/>
        </w:rPr>
        <w:t>评审小组将本着公平、公正、科学、择优的原则，严格按照医院的</w:t>
      </w:r>
      <w:r>
        <w:rPr>
          <w:rFonts w:hint="eastAsia" w:ascii="仿宋" w:hAnsi="仿宋" w:eastAsia="仿宋" w:cs="仿宋"/>
          <w:color w:val="auto"/>
          <w:sz w:val="24"/>
          <w:szCs w:val="24"/>
          <w:highlight w:val="none"/>
          <w:lang w:val="en-US" w:eastAsia="zh-CN"/>
        </w:rPr>
        <w:t>医院招标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实施细则和比选文件的要求进行评审及推荐</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color w:val="auto"/>
          <w:kern w:val="0"/>
          <w:sz w:val="24"/>
          <w:szCs w:val="24"/>
          <w:highlight w:val="none"/>
        </w:rPr>
        <w:t>评审</w:t>
      </w:r>
      <w:r>
        <w:rPr>
          <w:rFonts w:hint="eastAsia" w:ascii="仿宋" w:hAnsi="仿宋" w:eastAsia="仿宋" w:cs="仿宋"/>
          <w:b/>
          <w:color w:val="auto"/>
          <w:sz w:val="24"/>
          <w:szCs w:val="24"/>
          <w:highlight w:val="none"/>
        </w:rPr>
        <w:t>方法、步骤及标准</w:t>
      </w:r>
    </w:p>
    <w:p>
      <w:pPr>
        <w:pStyle w:val="11"/>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根据比选响应相关法规确定以下评审方法、步骤及标准：</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（一）评审方法</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本次评审采用</w:t>
      </w:r>
      <w:r>
        <w:rPr>
          <w:rFonts w:hint="eastAsia" w:ascii="仿宋" w:hAnsi="仿宋" w:eastAsia="仿宋" w:cs="仿宋"/>
          <w:b/>
          <w:bCs/>
          <w:color w:val="auto"/>
          <w:sz w:val="24"/>
          <w:szCs w:val="24"/>
          <w:highlight w:val="none"/>
        </w:rPr>
        <w:t>综合评分法</w:t>
      </w:r>
      <w:r>
        <w:rPr>
          <w:rFonts w:hint="eastAsia" w:ascii="仿宋" w:hAnsi="仿宋" w:eastAsia="仿宋" w:cs="仿宋"/>
          <w:color w:val="auto"/>
          <w:sz w:val="24"/>
          <w:szCs w:val="24"/>
          <w:highlight w:val="none"/>
        </w:rPr>
        <w:t>。评审小组依据响应证明文件从商务评审、技术评审、价格评审等方面按公正、科学、客观、平等竞争的要求进行综合评审,按评审综合得分由高到低确定成交供应商。</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(二)评审步骤</w:t>
      </w:r>
    </w:p>
    <w:p>
      <w:pPr>
        <w:pStyle w:val="11"/>
        <w:adjustRightInd w:val="0"/>
        <w:snapToGrid w:val="0"/>
        <w:spacing w:line="360" w:lineRule="auto"/>
        <w:ind w:right="32" w:firstLine="460" w:firstLineChars="19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宣读评审纪律</w:t>
      </w:r>
    </w:p>
    <w:p>
      <w:pPr>
        <w:pStyle w:val="11"/>
        <w:adjustRightInd w:val="0"/>
        <w:snapToGrid w:val="0"/>
        <w:spacing w:line="360" w:lineRule="auto"/>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评审专家签到，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在评审开始前宣读评审纪律及比选文件说明。</w:t>
      </w:r>
    </w:p>
    <w:p>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0"/>
          <w:sz w:val="24"/>
          <w:highlight w:val="none"/>
        </w:rPr>
        <w:t>评审专家有下列情形之一的，受到邀请应主动提出回避，采购当事人也可以要求该评审专家回避：</w:t>
      </w:r>
    </w:p>
    <w:tbl>
      <w:tblPr>
        <w:tblStyle w:val="18"/>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7</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法律、法规、规章规定应当回避以及其他可能影响公正评审的。</w:t>
            </w:r>
          </w:p>
        </w:tc>
      </w:tr>
    </w:tbl>
    <w:p>
      <w:pPr>
        <w:autoSpaceDE w:val="0"/>
        <w:autoSpaceDN w:val="0"/>
        <w:adjustRightInd w:val="0"/>
        <w:snapToGrid w:val="0"/>
        <w:spacing w:line="360" w:lineRule="auto"/>
        <w:ind w:right="32"/>
        <w:rPr>
          <w:rFonts w:hint="eastAsia" w:ascii="仿宋" w:hAnsi="仿宋" w:eastAsia="仿宋" w:cs="仿宋"/>
          <w:b/>
          <w:color w:val="auto"/>
          <w:sz w:val="24"/>
          <w:highlight w:val="none"/>
        </w:rPr>
      </w:pPr>
    </w:p>
    <w:p>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3</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color w:val="auto"/>
          <w:sz w:val="24"/>
          <w:highlight w:val="none"/>
        </w:rPr>
        <w:t>推荐评审小组组长</w:t>
      </w:r>
    </w:p>
    <w:p>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eastAsia="zh-CN"/>
        </w:rPr>
        <w:t>评审小组</w:t>
      </w:r>
      <w:r>
        <w:rPr>
          <w:rFonts w:hint="eastAsia" w:ascii="仿宋" w:hAnsi="仿宋" w:eastAsia="仿宋" w:cs="仿宋"/>
          <w:b w:val="0"/>
          <w:bCs/>
          <w:color w:val="auto"/>
          <w:kern w:val="0"/>
          <w:sz w:val="24"/>
          <w:highlight w:val="none"/>
        </w:rPr>
        <w:t>按照少数服从多数的原则推荐组长。评</w:t>
      </w:r>
      <w:r>
        <w:rPr>
          <w:rFonts w:hint="eastAsia" w:ascii="仿宋" w:hAnsi="仿宋" w:eastAsia="仿宋" w:cs="仿宋"/>
          <w:b w:val="0"/>
          <w:bCs/>
          <w:color w:val="auto"/>
          <w:sz w:val="24"/>
          <w:highlight w:val="none"/>
        </w:rPr>
        <w:t>审</w:t>
      </w:r>
      <w:r>
        <w:rPr>
          <w:rFonts w:hint="eastAsia" w:ascii="仿宋" w:hAnsi="仿宋" w:eastAsia="仿宋" w:cs="仿宋"/>
          <w:b w:val="0"/>
          <w:bCs/>
          <w:color w:val="auto"/>
          <w:kern w:val="0"/>
          <w:sz w:val="24"/>
          <w:highlight w:val="none"/>
        </w:rPr>
        <w:t>小组成员在履行独立评审权利义务的同时，不得发表有失公正和不负责任的言论，不得相互串通和压制他人意见，不得将个人倾向性意见诱导、暗示或强加于他人认同。</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响应文件的资格性、符合性审查</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lang w:val="en-US" w:eastAsia="zh-CN"/>
        </w:rPr>
        <w:t>供应商资格、技术商务实质性响应</w:t>
      </w:r>
      <w:r>
        <w:rPr>
          <w:rFonts w:hint="eastAsia" w:ascii="仿宋" w:hAnsi="仿宋" w:eastAsia="仿宋" w:cs="仿宋"/>
          <w:bCs/>
          <w:color w:val="auto"/>
          <w:sz w:val="24"/>
          <w:szCs w:val="24"/>
          <w:highlight w:val="none"/>
        </w:rPr>
        <w:t>及报价的唯一性等，审查不合格者按响应无效处理。只有资格性符合性全部审查合格才能进入后续评审。</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val="en-US" w:eastAsia="zh-CN"/>
        </w:rPr>
        <w:t>小组</w:t>
      </w:r>
      <w:r>
        <w:rPr>
          <w:rFonts w:hint="eastAsia" w:ascii="仿宋" w:hAnsi="仿宋" w:eastAsia="仿宋" w:cs="仿宋"/>
          <w:bCs/>
          <w:color w:val="auto"/>
          <w:sz w:val="24"/>
          <w:szCs w:val="24"/>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pPr>
        <w:pStyle w:val="11"/>
        <w:adjustRightInd w:val="0"/>
        <w:snapToGrid w:val="0"/>
        <w:spacing w:line="360" w:lineRule="auto"/>
        <w:ind w:right="32" w:firstLine="460" w:firstLineChars="191"/>
        <w:rPr>
          <w:rFonts w:hint="eastAsia" w:ascii="仿宋" w:hAnsi="仿宋" w:eastAsia="仿宋" w:cs="仿宋"/>
          <w:bCs/>
          <w:color w:val="auto"/>
          <w:sz w:val="24"/>
          <w:szCs w:val="24"/>
          <w:highlight w:val="none"/>
        </w:rPr>
      </w:pP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不得恶意竞价，对于报价差异巨大的，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有权要求</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在规定的时间内提供相关证明材料，在规定时间内不能提供材料或者无法证明的,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有权裁定该报价是否为恶意报价。恶意竞价的</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将被取消成交资格，并列入黑名单，在此后五年内不得参与我院任何采买活动。</w:t>
      </w:r>
    </w:p>
    <w:tbl>
      <w:tblPr>
        <w:tblStyle w:val="18"/>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pPr>
              <w:keepNext w:val="0"/>
              <w:keepLines w:val="0"/>
              <w:suppressLineNumbers w:val="0"/>
              <w:spacing w:before="0" w:beforeAutospacing="0" w:after="0" w:afterAutospacing="0" w:line="380" w:lineRule="exact"/>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5760" w:type="dxa"/>
            <w:noWrap w:val="0"/>
            <w:vAlign w:val="center"/>
          </w:tcPr>
          <w:p>
            <w:pPr>
              <w:keepNext w:val="0"/>
              <w:keepLines w:val="0"/>
              <w:suppressLineNumbers w:val="0"/>
              <w:spacing w:before="0" w:beforeAutospacing="0" w:after="0" w:afterAutospacing="0" w:line="380" w:lineRule="exact"/>
              <w:ind w:left="-171" w:right="0"/>
              <w:jc w:val="center"/>
              <w:rPr>
                <w:rFonts w:hint="eastAsia"/>
                <w:color w:val="auto"/>
                <w:highlight w:val="none"/>
              </w:rPr>
            </w:pPr>
            <w:r>
              <w:rPr>
                <w:rFonts w:hint="eastAsia" w:ascii="仿宋" w:hAnsi="仿宋" w:eastAsia="仿宋" w:cs="仿宋"/>
                <w:b/>
                <w:bCs/>
                <w:color w:val="auto"/>
                <w:szCs w:val="21"/>
                <w:highlight w:val="none"/>
              </w:rPr>
              <w:t>比选/采购文件要求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highlight w:val="none"/>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至今任意一年经审计的审计报告复印件（包含审计报告中所涉及的财务报表和报表附注）；或②</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人内部的财务报表复印件（新成立公司提供成立至今的月或季度财务报表复印件）；或③截至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w:t>
            </w:r>
            <w:r>
              <w:rPr>
                <w:rFonts w:hint="eastAsia" w:ascii="仿宋" w:hAnsi="仿宋" w:eastAsia="仿宋" w:cs="仿宋"/>
                <w:color w:val="auto"/>
                <w:szCs w:val="21"/>
                <w:highlight w:val="none"/>
              </w:rPr>
              <w:t>要缴纳）</w:t>
            </w:r>
            <w:r>
              <w:rPr>
                <w:rFonts w:hint="eastAsia" w:ascii="仿宋" w:hAnsi="仿宋" w:eastAsia="仿宋" w:cs="仿宋"/>
                <w:color w:val="auto"/>
                <w:szCs w:val="21"/>
                <w:highlight w:val="none"/>
                <w:lang w:eastAsia="zh-CN"/>
              </w:rPr>
              <w:t>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履行合同所必需的设备和专业技术能力的证明材料或书面声明；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7.信用记录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8.控股关系</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9.不得参加本项目情况</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10.联合体</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11.落实政府采购政策需满足的资格要求</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本项目是专门面向中小企业采购的项目，供应商应为中小微企业。（提供《中小企业声明函》,具体格式文件见比选文件</w:t>
            </w:r>
            <w:r>
              <w:rPr>
                <w:rFonts w:hint="eastAsia" w:ascii="仿宋" w:hAnsi="仿宋" w:eastAsia="仿宋" w:cs="仿宋"/>
                <w:b/>
                <w:bCs/>
                <w:color w:val="auto"/>
                <w:szCs w:val="21"/>
                <w:highlight w:val="none"/>
              </w:rPr>
              <w:t>P</w:t>
            </w:r>
            <w:r>
              <w:rPr>
                <w:rFonts w:hint="eastAsia" w:ascii="仿宋" w:hAnsi="仿宋" w:eastAsia="仿宋" w:cs="仿宋"/>
                <w:b/>
                <w:bCs/>
                <w:color w:val="auto"/>
                <w:szCs w:val="21"/>
                <w:highlight w:val="none"/>
                <w:lang w:val="en-US" w:eastAsia="zh-CN"/>
              </w:rPr>
              <w:t>52</w:t>
            </w:r>
            <w:r>
              <w:rPr>
                <w:rFonts w:hint="eastAsia" w:ascii="仿宋" w:hAnsi="仿宋" w:eastAsia="仿宋" w:cs="仿宋"/>
                <w:color w:val="auto"/>
                <w:szCs w:val="21"/>
                <w:highlight w:val="none"/>
              </w:rPr>
              <w:t>中小企业声明函，未按要求提供声明函的将导致响应无效）。本项目中小企业划分标准所属行业为：软件和信息技术服务业</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12.报名</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已在医院办公室报名。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5760" w:type="dxa"/>
            <w:tcBorders>
              <w:bottom w:val="single" w:color="auto" w:sz="4" w:space="0"/>
            </w:tcBorders>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实质性（“★”项）商务条款是否全部完全响应；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实质性（“★”项）技术要求条款是否全部完全响应；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按有关法律、法规、规章和比选文件中规定的其他无效响应情形。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761"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c>
          <w:tcPr>
            <w:tcW w:w="7792" w:type="dxa"/>
            <w:gridSpan w:val="2"/>
            <w:noWrap w:val="0"/>
            <w:vAlign w:val="center"/>
          </w:tcPr>
          <w:p>
            <w:pPr>
              <w:keepNext w:val="0"/>
              <w:keepLines w:val="0"/>
              <w:suppressLineNumbers w:val="0"/>
              <w:tabs>
                <w:tab w:val="left" w:pos="2880"/>
              </w:tabs>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响应文件一式</w:t>
            </w:r>
            <w:r>
              <w:rPr>
                <w:rFonts w:hint="eastAsia" w:ascii="仿宋" w:hAnsi="仿宋" w:eastAsia="仿宋" w:cs="仿宋"/>
                <w:color w:val="auto"/>
                <w:szCs w:val="21"/>
                <w:highlight w:val="none"/>
                <w:lang w:eastAsia="zh-CN"/>
              </w:rPr>
              <w:t>两</w:t>
            </w:r>
            <w:r>
              <w:rPr>
                <w:rFonts w:hint="eastAsia" w:ascii="仿宋" w:hAnsi="仿宋" w:eastAsia="仿宋" w:cs="仿宋"/>
                <w:color w:val="auto"/>
                <w:szCs w:val="21"/>
                <w:highlight w:val="none"/>
              </w:rPr>
              <w:t>份，其中正本一份和副本</w:t>
            </w:r>
            <w:r>
              <w:rPr>
                <w:rFonts w:hint="eastAsia" w:ascii="仿宋" w:hAnsi="仿宋" w:eastAsia="仿宋" w:cs="仿宋"/>
                <w:color w:val="auto"/>
                <w:szCs w:val="21"/>
                <w:highlight w:val="none"/>
                <w:lang w:eastAsia="zh-CN"/>
              </w:rPr>
              <w:t>一</w:t>
            </w:r>
            <w:r>
              <w:rPr>
                <w:rFonts w:hint="eastAsia" w:ascii="仿宋" w:hAnsi="仿宋" w:eastAsia="仿宋" w:cs="仿宋"/>
                <w:color w:val="auto"/>
                <w:szCs w:val="21"/>
                <w:highlight w:val="none"/>
              </w:rPr>
              <w:t>份</w:t>
            </w:r>
          </w:p>
        </w:tc>
      </w:tr>
    </w:tbl>
    <w:p>
      <w:pPr>
        <w:pStyle w:val="11"/>
        <w:adjustRightInd w:val="0"/>
        <w:snapToGrid w:val="0"/>
        <w:spacing w:line="360" w:lineRule="auto"/>
        <w:ind w:right="32"/>
        <w:rPr>
          <w:rFonts w:hint="eastAsia" w:ascii="仿宋" w:hAnsi="仿宋" w:eastAsia="仿宋" w:cs="仿宋"/>
          <w:b w:val="0"/>
          <w:bCs/>
          <w:color w:val="auto"/>
          <w:sz w:val="24"/>
          <w:szCs w:val="24"/>
          <w:highlight w:val="none"/>
        </w:rPr>
      </w:pPr>
    </w:p>
    <w:p>
      <w:pPr>
        <w:pStyle w:val="11"/>
        <w:adjustRightInd w:val="0"/>
        <w:snapToGrid w:val="0"/>
        <w:spacing w:line="360" w:lineRule="auto"/>
        <w:ind w:right="32" w:firstLine="480" w:firstLineChars="200"/>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文件澄清</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对于</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文件中含义不明确、同类问题表述不一致或者有明显文字和计算错误的内容，</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应当在评审过程中发起澄清，要求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针对价格或内容做出必要的澄清、说明或补正。若因</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的澄清、说明或者补正不得超出</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文件的范围或者改变</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文件的实质性内容。</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不接受</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主动提出的澄清、说明或补正。</w:t>
      </w:r>
    </w:p>
    <w:p>
      <w:pPr>
        <w:pStyle w:val="11"/>
        <w:adjustRightInd w:val="0"/>
        <w:snapToGrid w:val="0"/>
        <w:spacing w:line="360" w:lineRule="auto"/>
        <w:ind w:right="32" w:firstLine="458" w:firstLineChars="191"/>
        <w:rPr>
          <w:rFonts w:hint="default"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提交的澄清、说明或补正有疑问的，可以要求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进一步澄清、说明或补正。</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响应文件的比较和评价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小组按比选文件中规定的评审方法和标准，对审查合格的响应文件的商务、技术、服务和价格进行评估，最后进行综合比较与评价。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评审小组对技术规格偏离表、服务响应偏离表的响应资料等进行评审，并填写相关表格。</w:t>
      </w:r>
    </w:p>
    <w:tbl>
      <w:tblPr>
        <w:tblStyle w:val="18"/>
        <w:tblW w:w="8729" w:type="dxa"/>
        <w:tblInd w:w="0" w:type="dxa"/>
        <w:tblLayout w:type="fixed"/>
        <w:tblCellMar>
          <w:top w:w="0" w:type="dxa"/>
          <w:left w:w="108" w:type="dxa"/>
          <w:bottom w:w="0" w:type="dxa"/>
          <w:right w:w="108" w:type="dxa"/>
        </w:tblCellMar>
      </w:tblPr>
      <w:tblGrid>
        <w:gridCol w:w="750"/>
        <w:gridCol w:w="1794"/>
        <w:gridCol w:w="714"/>
        <w:gridCol w:w="5471"/>
      </w:tblGrid>
      <w:tr>
        <w:tblPrEx>
          <w:tblCellMar>
            <w:top w:w="0" w:type="dxa"/>
            <w:left w:w="108" w:type="dxa"/>
            <w:bottom w:w="0" w:type="dxa"/>
            <w:right w:w="108" w:type="dxa"/>
          </w:tblCellMar>
        </w:tblPrEx>
        <w:trPr>
          <w:trHeight w:val="434" w:hRule="atLeast"/>
        </w:trPr>
        <w:tc>
          <w:tcPr>
            <w:tcW w:w="87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评审标准（</w:t>
            </w:r>
            <w:r>
              <w:rPr>
                <w:rFonts w:hint="eastAsia" w:ascii="仿宋" w:hAnsi="仿宋" w:eastAsia="仿宋" w:cs="仿宋"/>
                <w:color w:val="auto"/>
                <w:kern w:val="0"/>
                <w:sz w:val="24"/>
                <w:szCs w:val="24"/>
                <w:highlight w:val="none"/>
                <w:lang w:val="en-US" w:eastAsia="zh-CN"/>
              </w:rPr>
              <w:t>100分</w:t>
            </w:r>
            <w:r>
              <w:rPr>
                <w:rFonts w:hint="eastAsia" w:ascii="仿宋" w:hAnsi="仿宋" w:eastAsia="仿宋" w:cs="仿宋"/>
                <w:color w:val="auto"/>
                <w:kern w:val="0"/>
                <w:sz w:val="24"/>
                <w:szCs w:val="24"/>
                <w:highlight w:val="none"/>
                <w:lang w:eastAsia="zh-CN"/>
              </w:rPr>
              <w:t>）</w:t>
            </w:r>
          </w:p>
        </w:tc>
      </w:tr>
      <w:tr>
        <w:tblPrEx>
          <w:tblCellMar>
            <w:top w:w="0" w:type="dxa"/>
            <w:left w:w="108" w:type="dxa"/>
            <w:bottom w:w="0" w:type="dxa"/>
            <w:right w:w="108" w:type="dxa"/>
          </w:tblCellMar>
        </w:tblPrEx>
        <w:trPr>
          <w:trHeight w:val="5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评审内容</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分值</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评分细则</w:t>
            </w:r>
          </w:p>
        </w:tc>
      </w:tr>
      <w:tr>
        <w:tblPrEx>
          <w:tblCellMar>
            <w:top w:w="0" w:type="dxa"/>
            <w:left w:w="108" w:type="dxa"/>
            <w:bottom w:w="0" w:type="dxa"/>
            <w:right w:w="108" w:type="dxa"/>
          </w:tblCellMar>
        </w:tblPrEx>
        <w:trPr>
          <w:trHeight w:val="86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对“技术标准与要求”的响应程度(▲号条款)(</w:t>
            </w:r>
          </w:p>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strike w:val="0"/>
                <w:color w:val="auto"/>
                <w:kern w:val="0"/>
                <w:sz w:val="24"/>
                <w:szCs w:val="24"/>
                <w:highlight w:val="none"/>
                <w:lang w:val="en-US" w:eastAsia="zh-CN"/>
              </w:rPr>
              <w:t>30</w:t>
            </w:r>
            <w:r>
              <w:rPr>
                <w:rFonts w:hint="eastAsia" w:ascii="仿宋" w:hAnsi="仿宋" w:eastAsia="仿宋" w:cs="仿宋"/>
                <w:color w:val="auto"/>
                <w:kern w:val="0"/>
                <w:sz w:val="24"/>
                <w:szCs w:val="24"/>
                <w:highlight w:val="none"/>
                <w:lang w:val="en-US" w:eastAsia="zh-CN"/>
              </w:rPr>
              <w:t>分)</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strike w:val="0"/>
                <w:color w:val="auto"/>
                <w:kern w:val="0"/>
                <w:sz w:val="24"/>
                <w:szCs w:val="24"/>
                <w:highlight w:val="none"/>
                <w:lang w:val="en-US" w:eastAsia="zh-CN"/>
              </w:rPr>
              <w:t>30</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对用户服务需求中带▲号的响应程度进行评分：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完全满足带▲号的一般技术参数，得</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有一项带▲号条款负偏离，得</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lang w:eastAsia="zh-CN"/>
              </w:rPr>
              <w:t xml:space="preserve">分； </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有二项带▲号条款负偏离，得</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以此类推，当带▲号条款负偏离达到</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项（含）以上时，视为严重偏离此评分项不得分。</w:t>
            </w:r>
          </w:p>
          <w:p>
            <w:pPr>
              <w:keepNext w:val="0"/>
              <w:keepLines w:val="0"/>
              <w:widowControl/>
              <w:spacing w:before="0" w:after="0"/>
              <w:jc w:val="left"/>
              <w:rPr>
                <w:rFonts w:hint="eastAsia"/>
                <w:color w:val="auto"/>
                <w:highlight w:val="none"/>
                <w:lang w:val="en-US" w:eastAsia="zh-CN"/>
              </w:rPr>
            </w:pPr>
            <w:r>
              <w:rPr>
                <w:rFonts w:hint="eastAsia" w:ascii="仿宋" w:hAnsi="仿宋" w:eastAsia="仿宋" w:cs="仿宋"/>
                <w:color w:val="auto"/>
                <w:sz w:val="24"/>
                <w:szCs w:val="24"/>
                <w:highlight w:val="none"/>
                <w:lang w:eastAsia="zh-CN"/>
              </w:rPr>
              <w:t>注：在每项带“▲”号的技术条款中，若要求提供佐证材料的则须按要求提供，未按采购文件要求提供证明材料的技术参数，以响应文件格式技术和服务要求响应表为准。</w:t>
            </w:r>
          </w:p>
        </w:tc>
      </w:tr>
      <w:tr>
        <w:tblPrEx>
          <w:tblCellMar>
            <w:top w:w="0" w:type="dxa"/>
            <w:left w:w="108" w:type="dxa"/>
            <w:bottom w:w="0" w:type="dxa"/>
            <w:right w:w="108" w:type="dxa"/>
          </w:tblCellMar>
        </w:tblPrEx>
        <w:trPr>
          <w:trHeight w:val="86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对“技术标准与要求”的响应程度(非▲号条款)(1</w:t>
            </w:r>
            <w:r>
              <w:rPr>
                <w:rFonts w:hint="eastAsia" w:ascii="仿宋" w:hAnsi="仿宋" w:eastAsia="仿宋" w:cs="仿宋"/>
                <w:strike w:val="0"/>
                <w:color w:val="auto"/>
                <w:kern w:val="0"/>
                <w:sz w:val="24"/>
                <w:szCs w:val="24"/>
                <w:highlight w:val="none"/>
                <w:lang w:val="en-US" w:eastAsia="zh-CN"/>
              </w:rPr>
              <w:t>5</w:t>
            </w:r>
            <w:r>
              <w:rPr>
                <w:rFonts w:hint="eastAsia" w:ascii="仿宋" w:hAnsi="仿宋" w:eastAsia="仿宋" w:cs="仿宋"/>
                <w:color w:val="auto"/>
                <w:kern w:val="0"/>
                <w:sz w:val="24"/>
                <w:szCs w:val="24"/>
                <w:highlight w:val="none"/>
                <w:lang w:val="en-US" w:eastAsia="zh-CN"/>
              </w:rPr>
              <w:t>分)</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完全满足技术参数要求中不带▲号的一般技术参数，得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eastAsia="zh-CN"/>
              </w:rPr>
              <w:t>分；有一项不带▲号条款负偏离，得</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eastAsia="zh-CN"/>
              </w:rPr>
              <w:t>分；有二项不带▲号条款负偏离，得</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eastAsia="zh-CN"/>
              </w:rPr>
              <w:t>分；有三项不带▲号条款负偏离，得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分；以此类推，当不带▲号条款负偏离达到</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eastAsia="zh-CN"/>
              </w:rPr>
              <w:t>项（含）以上时，视为严重偏离此评分项不得分。</w:t>
            </w:r>
          </w:p>
          <w:p>
            <w:pPr>
              <w:keepNext w:val="0"/>
              <w:keepLines w:val="0"/>
              <w:widowControl/>
              <w:spacing w:before="0" w:after="0"/>
              <w:jc w:val="left"/>
              <w:rPr>
                <w:rFonts w:hint="eastAsia"/>
                <w:color w:val="auto"/>
                <w:highlight w:val="none"/>
                <w:lang w:eastAsia="zh-CN"/>
              </w:rPr>
            </w:pPr>
            <w:r>
              <w:rPr>
                <w:rFonts w:hint="eastAsia" w:ascii="仿宋" w:hAnsi="仿宋" w:eastAsia="仿宋" w:cs="仿宋"/>
                <w:color w:val="auto"/>
                <w:sz w:val="24"/>
                <w:szCs w:val="24"/>
                <w:highlight w:val="none"/>
                <w:lang w:eastAsia="zh-CN"/>
              </w:rPr>
              <w:t>注：采购文件未要求提供证明材料的技术参数，以响应文件格式技术要求响应表为准。</w:t>
            </w:r>
          </w:p>
        </w:tc>
      </w:tr>
      <w:tr>
        <w:tblPrEx>
          <w:tblCellMar>
            <w:top w:w="0" w:type="dxa"/>
            <w:left w:w="108" w:type="dxa"/>
            <w:bottom w:w="0" w:type="dxa"/>
            <w:right w:w="108" w:type="dxa"/>
          </w:tblCellMar>
        </w:tblPrEx>
        <w:trPr>
          <w:trHeight w:val="379"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项目服务方案</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根据响应供应商所提供的技术方案内容进行评价：</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方案详细周全、科学合理、针对性强的，得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方案基本合理、清晰可行的，得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方案较简略、针对性不强的，得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未提供方案的，得0分。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eastAsia="zh-Hans"/>
              </w:rPr>
              <w:t>企业技术和服务保障实力</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响应供应商具备以下有效证书的，每提供一项得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分，最高得</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（1）具有质量管理体系认证证书；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（2）具有环境管理体系认证证书；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（3）具有职业健康安全管理体系认证证书。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 xml:space="preserve">注：响应供应商需提供证书扫描件及在全国认证认可信息公共服务平台上对证书的查询结果截图为证明材料，并加盖响应供应商公章，否则不得分。 </w:t>
            </w:r>
          </w:p>
        </w:tc>
      </w:tr>
      <w:tr>
        <w:tblPrEx>
          <w:tblCellMar>
            <w:top w:w="0" w:type="dxa"/>
            <w:left w:w="108" w:type="dxa"/>
            <w:bottom w:w="0" w:type="dxa"/>
            <w:right w:w="108" w:type="dxa"/>
          </w:tblCellMar>
        </w:tblPrEx>
        <w:trPr>
          <w:trHeight w:val="247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履约能力</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before="0" w:beforeAutospacing="0" w:after="0" w:afterAutospacing="0"/>
              <w:ind w:left="0" w:right="0" w:rightChars="0"/>
              <w:jc w:val="left"/>
              <w:rPr>
                <w:rFonts w:hint="eastAsia"/>
                <w:color w:val="auto"/>
                <w:highlight w:val="none"/>
                <w:lang w:val="en-US" w:eastAsia="zh-CN"/>
              </w:rPr>
            </w:pPr>
            <w:r>
              <w:rPr>
                <w:rFonts w:hint="eastAsia" w:ascii="仿宋" w:hAnsi="仿宋" w:eastAsia="仿宋" w:cs="仿宋"/>
                <w:color w:val="auto"/>
                <w:kern w:val="0"/>
                <w:sz w:val="24"/>
                <w:szCs w:val="24"/>
                <w:highlight w:val="none"/>
                <w:lang w:val="en-US" w:eastAsia="zh-CN"/>
              </w:rPr>
              <w:t>根据</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kern w:val="0"/>
                <w:sz w:val="24"/>
                <w:szCs w:val="24"/>
                <w:highlight w:val="none"/>
                <w:lang w:val="en-US" w:eastAsia="zh-CN"/>
              </w:rPr>
              <w:t>为本项目投入的项目团队、人员构成、分工、等各方面进行综合评比：</w:t>
            </w:r>
          </w:p>
          <w:p>
            <w:pPr>
              <w:keepNext w:val="0"/>
              <w:keepLines w:val="0"/>
              <w:widowControl/>
              <w:numPr>
                <w:ilvl w:val="0"/>
                <w:numId w:val="7"/>
              </w:numPr>
              <w:suppressLineNumbers w:val="0"/>
              <w:spacing w:before="0" w:beforeAutospacing="0" w:after="0" w:afterAutospacing="0"/>
              <w:ind w:left="0" w:right="0" w:righ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人员岗位职责明确、技术服务团队专业结构合理、人员岗位计划安排合理的，得5分；</w:t>
            </w:r>
          </w:p>
          <w:p>
            <w:pPr>
              <w:keepNext w:val="0"/>
              <w:keepLines w:val="0"/>
              <w:widowControl/>
              <w:numPr>
                <w:ilvl w:val="0"/>
                <w:numId w:val="7"/>
              </w:numPr>
              <w:suppressLineNumbers w:val="0"/>
              <w:spacing w:before="0" w:beforeAutospacing="0" w:after="0" w:afterAutospacing="0"/>
              <w:ind w:left="0" w:right="0" w:rightChars="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人员岗位职责较明确、技术服务团队专业结构较合理、人员岗位计划安排较合理，得3分。</w:t>
            </w:r>
          </w:p>
          <w:p>
            <w:pPr>
              <w:keepNext w:val="0"/>
              <w:keepLines w:val="0"/>
              <w:widowControl/>
              <w:numPr>
                <w:ilvl w:val="0"/>
                <w:numId w:val="7"/>
              </w:numPr>
              <w:suppressLineNumbers w:val="0"/>
              <w:spacing w:before="0" w:beforeAutospacing="0" w:after="0" w:afterAutospacing="0"/>
              <w:ind w:left="0" w:right="0" w:rightChars="0"/>
              <w:jc w:val="left"/>
              <w:rPr>
                <w:rFonts w:hint="eastAsia" w:ascii="仿宋" w:hAnsi="仿宋" w:eastAsia="仿宋" w:cs="仿宋"/>
                <w:color w:val="auto"/>
                <w:kern w:val="0"/>
                <w:sz w:val="24"/>
                <w:szCs w:val="24"/>
                <w:highlight w:val="none"/>
                <w:lang w:val="en-GB" w:eastAsia="zh-CN"/>
              </w:rPr>
            </w:pPr>
            <w:r>
              <w:rPr>
                <w:rFonts w:hint="eastAsia" w:ascii="仿宋" w:hAnsi="仿宋" w:eastAsia="仿宋" w:cs="仿宋"/>
                <w:color w:val="auto"/>
                <w:kern w:val="0"/>
                <w:sz w:val="24"/>
                <w:szCs w:val="24"/>
                <w:highlight w:val="none"/>
                <w:lang w:val="en-US" w:eastAsia="zh-CN"/>
              </w:rPr>
              <w:t>人员岗位职责基本明确、技术服务团队专业结构基本合理、人员岗位计划安排基本合理，得1分。</w:t>
            </w:r>
          </w:p>
        </w:tc>
      </w:tr>
      <w:tr>
        <w:tblPrEx>
          <w:tblCellMar>
            <w:top w:w="0" w:type="dxa"/>
            <w:left w:w="108" w:type="dxa"/>
            <w:bottom w:w="0" w:type="dxa"/>
            <w:right w:w="108" w:type="dxa"/>
          </w:tblCellMar>
        </w:tblPrEx>
        <w:trPr>
          <w:trHeight w:val="2191"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拟投入项目团队人员</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before="0" w:beforeAutospacing="0" w:after="0" w:afterAutospacing="0"/>
              <w:ind w:left="0" w:right="0" w:righ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根据各</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kern w:val="0"/>
                <w:sz w:val="24"/>
                <w:szCs w:val="24"/>
                <w:highlight w:val="none"/>
                <w:lang w:val="en-US" w:eastAsia="zh-CN"/>
              </w:rPr>
              <w:t>针对本项目安排的人员进行评分：</w:t>
            </w:r>
          </w:p>
          <w:p>
            <w:pPr>
              <w:keepNext w:val="0"/>
              <w:keepLines w:val="0"/>
              <w:widowControl/>
              <w:numPr>
                <w:ilvl w:val="0"/>
                <w:numId w:val="0"/>
              </w:numPr>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项目团队成员具有系统集成项目管理工程师或数据库管理工程师证书，每提供1个得2.5分，此项最多得5分。</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highlight w:val="none"/>
              </w:rPr>
              <w:t>注：响应供应商须提供比选截止时间</w:t>
            </w:r>
            <w:r>
              <w:rPr>
                <w:rFonts w:hint="eastAsia" w:ascii="仿宋" w:hAnsi="仿宋" w:eastAsia="仿宋" w:cs="仿宋"/>
                <w:b w:val="0"/>
                <w:bCs w:val="0"/>
                <w:color w:val="auto"/>
                <w:kern w:val="0"/>
                <w:sz w:val="24"/>
                <w:szCs w:val="24"/>
                <w:highlight w:val="none"/>
                <w:lang w:val="en-US" w:eastAsia="zh-CN" w:bidi="ar-SA"/>
              </w:rPr>
              <w:t>半年内缴纳的社保明细（若公司成立未到半年，按公司成立实际时间提供实），并由公司盖章</w:t>
            </w:r>
            <w:r>
              <w:rPr>
                <w:rFonts w:hint="eastAsia" w:ascii="仿宋" w:hAnsi="仿宋" w:eastAsia="仿宋" w:cs="仿宋"/>
                <w:color w:val="auto"/>
                <w:kern w:val="0"/>
                <w:sz w:val="24"/>
                <w:highlight w:val="none"/>
                <w:lang w:eastAsia="zh-CN"/>
              </w:rPr>
              <w:t>；提供</w:t>
            </w:r>
            <w:r>
              <w:rPr>
                <w:rFonts w:hint="eastAsia" w:ascii="仿宋" w:hAnsi="仿宋" w:eastAsia="仿宋" w:cs="仿宋"/>
                <w:color w:val="auto"/>
                <w:kern w:val="0"/>
                <w:sz w:val="24"/>
                <w:highlight w:val="none"/>
              </w:rPr>
              <w:t>具有人力资源和社会保障部门颁发的工程师职称证书复印件作为佐证材料，无提供不得分。</w:t>
            </w:r>
          </w:p>
        </w:tc>
      </w:tr>
      <w:tr>
        <w:tblPrEx>
          <w:tblCellMar>
            <w:top w:w="0" w:type="dxa"/>
            <w:left w:w="108" w:type="dxa"/>
            <w:bottom w:w="0" w:type="dxa"/>
            <w:right w:w="108" w:type="dxa"/>
          </w:tblCellMar>
        </w:tblPrEx>
        <w:trPr>
          <w:trHeight w:val="37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GB" w:eastAsia="zh-CN" w:bidi="ar-SA"/>
              </w:rPr>
              <w:t>售后服务方案</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根据</w:t>
            </w:r>
            <w:r>
              <w:rPr>
                <w:rFonts w:hint="eastAsia" w:ascii="仿宋" w:hAnsi="仿宋" w:eastAsia="仿宋" w:cs="仿宋"/>
                <w:color w:val="auto"/>
                <w:kern w:val="0"/>
                <w:sz w:val="24"/>
                <w:szCs w:val="24"/>
                <w:highlight w:val="none"/>
                <w:lang w:val="en-US" w:eastAsia="zh-CN"/>
              </w:rPr>
              <w:t>各</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szCs w:val="24"/>
                <w:highlight w:val="none"/>
              </w:rPr>
              <w:t>提供的售后服务方案（包括质保期、维护保养方案、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的及时性、安排的合理性等）是否完善具体，各阶段服务计划是否详尽进行综合评审：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方案详细周全、科学合理、针对性强的，得</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方案基本合理、清晰可行的，得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方案较简略、针对性不强的，得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分；</w:t>
            </w:r>
          </w:p>
          <w:p>
            <w:pPr>
              <w:keepNext w:val="0"/>
              <w:keepLines w:val="0"/>
              <w:widowControl/>
              <w:suppressLineNumbers w:val="0"/>
              <w:spacing w:before="0" w:beforeAutospacing="0" w:after="0" w:afterAutospacing="0"/>
              <w:ind w:left="0" w:leftChars="0" w:right="0" w:rightChars="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未提供方案的，得0分。</w:t>
            </w:r>
          </w:p>
        </w:tc>
      </w:tr>
      <w:tr>
        <w:tblPrEx>
          <w:tblCellMar>
            <w:top w:w="0" w:type="dxa"/>
            <w:left w:w="108" w:type="dxa"/>
            <w:bottom w:w="0" w:type="dxa"/>
            <w:right w:w="108" w:type="dxa"/>
          </w:tblCellMar>
        </w:tblPrEx>
        <w:trPr>
          <w:trHeight w:val="322"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CN" w:bidi="ar-SA"/>
              </w:rPr>
              <w:t>培训方案</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响应供应商</w:t>
            </w:r>
            <w:r>
              <w:rPr>
                <w:rFonts w:hint="default" w:ascii="仿宋" w:hAnsi="仿宋" w:eastAsia="仿宋" w:cs="仿宋"/>
                <w:color w:val="auto"/>
                <w:kern w:val="0"/>
                <w:sz w:val="24"/>
                <w:szCs w:val="24"/>
                <w:highlight w:val="none"/>
                <w:lang w:val="en-US" w:eastAsia="zh-CN"/>
              </w:rPr>
              <w:t>能够针对本次项目提供出完善的培训体系及培训方案，能够为采购人提供专业的培训。</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r>
              <w:rPr>
                <w:rFonts w:hint="default" w:ascii="仿宋" w:hAnsi="仿宋" w:eastAsia="仿宋" w:cs="仿宋"/>
                <w:color w:val="auto"/>
                <w:kern w:val="0"/>
                <w:sz w:val="24"/>
                <w:szCs w:val="24"/>
                <w:highlight w:val="none"/>
                <w:lang w:val="en-US" w:eastAsia="zh-CN"/>
              </w:rPr>
              <w:t>培训方案详细</w:t>
            </w:r>
            <w:r>
              <w:rPr>
                <w:rFonts w:hint="eastAsia" w:ascii="仿宋" w:hAnsi="仿宋" w:eastAsia="仿宋" w:cs="仿宋"/>
                <w:color w:val="auto"/>
                <w:kern w:val="0"/>
                <w:sz w:val="24"/>
                <w:szCs w:val="24"/>
                <w:highlight w:val="none"/>
                <w:lang w:val="en-US" w:eastAsia="zh-CN"/>
              </w:rPr>
              <w:t>，可操作性强，</w:t>
            </w:r>
            <w:r>
              <w:rPr>
                <w:rFonts w:hint="default" w:ascii="仿宋" w:hAnsi="仿宋" w:eastAsia="仿宋" w:cs="仿宋"/>
                <w:color w:val="auto"/>
                <w:kern w:val="0"/>
                <w:sz w:val="24"/>
                <w:szCs w:val="24"/>
                <w:highlight w:val="none"/>
                <w:lang w:val="en-US" w:eastAsia="zh-CN"/>
              </w:rPr>
              <w:t>得</w:t>
            </w:r>
            <w:r>
              <w:rPr>
                <w:rFonts w:hint="eastAsia" w:ascii="仿宋" w:hAnsi="仿宋" w:eastAsia="仿宋" w:cs="仿宋"/>
                <w:color w:val="auto"/>
                <w:kern w:val="0"/>
                <w:sz w:val="24"/>
                <w:szCs w:val="24"/>
                <w:highlight w:val="none"/>
                <w:lang w:val="en-US" w:eastAsia="zh-CN"/>
              </w:rPr>
              <w:t>5</w:t>
            </w:r>
            <w:r>
              <w:rPr>
                <w:rFonts w:hint="default" w:ascii="仿宋" w:hAnsi="仿宋" w:eastAsia="仿宋" w:cs="仿宋"/>
                <w:color w:val="auto"/>
                <w:kern w:val="0"/>
                <w:sz w:val="24"/>
                <w:szCs w:val="24"/>
                <w:highlight w:val="none"/>
                <w:lang w:val="en-US" w:eastAsia="zh-CN"/>
              </w:rPr>
              <w:t>分；</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r>
              <w:rPr>
                <w:rFonts w:hint="default" w:ascii="仿宋" w:hAnsi="仿宋" w:eastAsia="仿宋" w:cs="仿宋"/>
                <w:color w:val="auto"/>
                <w:kern w:val="0"/>
                <w:sz w:val="24"/>
                <w:szCs w:val="24"/>
                <w:highlight w:val="none"/>
                <w:lang w:val="en-US" w:eastAsia="zh-CN"/>
              </w:rPr>
              <w:t>培训方案较详细</w:t>
            </w:r>
            <w:r>
              <w:rPr>
                <w:rFonts w:hint="eastAsia" w:ascii="仿宋" w:hAnsi="仿宋" w:eastAsia="仿宋" w:cs="仿宋"/>
                <w:color w:val="auto"/>
                <w:kern w:val="0"/>
                <w:sz w:val="24"/>
                <w:szCs w:val="24"/>
                <w:highlight w:val="none"/>
                <w:lang w:val="en-US" w:eastAsia="zh-CN"/>
              </w:rPr>
              <w:t>，有一定的操作性，</w:t>
            </w:r>
            <w:r>
              <w:rPr>
                <w:rFonts w:hint="default" w:ascii="仿宋" w:hAnsi="仿宋" w:eastAsia="仿宋" w:cs="仿宋"/>
                <w:color w:val="auto"/>
                <w:kern w:val="0"/>
                <w:sz w:val="24"/>
                <w:szCs w:val="24"/>
                <w:highlight w:val="none"/>
                <w:lang w:val="en-US" w:eastAsia="zh-CN"/>
              </w:rPr>
              <w:t>得</w:t>
            </w:r>
            <w:r>
              <w:rPr>
                <w:rFonts w:hint="eastAsia" w:ascii="仿宋" w:hAnsi="仿宋" w:eastAsia="仿宋" w:cs="仿宋"/>
                <w:color w:val="auto"/>
                <w:kern w:val="0"/>
                <w:sz w:val="24"/>
                <w:szCs w:val="24"/>
                <w:highlight w:val="none"/>
                <w:lang w:val="en-US" w:eastAsia="zh-CN"/>
              </w:rPr>
              <w:t>3</w:t>
            </w:r>
            <w:r>
              <w:rPr>
                <w:rFonts w:hint="default" w:ascii="仿宋" w:hAnsi="仿宋" w:eastAsia="仿宋" w:cs="仿宋"/>
                <w:color w:val="auto"/>
                <w:kern w:val="0"/>
                <w:sz w:val="24"/>
                <w:szCs w:val="24"/>
                <w:highlight w:val="none"/>
                <w:lang w:val="en-US" w:eastAsia="zh-CN"/>
              </w:rPr>
              <w:t>分；</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r>
              <w:rPr>
                <w:rFonts w:hint="default" w:ascii="仿宋" w:hAnsi="仿宋" w:eastAsia="仿宋" w:cs="仿宋"/>
                <w:color w:val="auto"/>
                <w:kern w:val="0"/>
                <w:sz w:val="24"/>
                <w:szCs w:val="24"/>
                <w:highlight w:val="none"/>
                <w:lang w:val="en-US" w:eastAsia="zh-CN"/>
              </w:rPr>
              <w:t>培训方案较粗略</w:t>
            </w:r>
            <w:r>
              <w:rPr>
                <w:rFonts w:hint="eastAsia" w:ascii="仿宋" w:hAnsi="仿宋" w:eastAsia="仿宋" w:cs="仿宋"/>
                <w:color w:val="auto"/>
                <w:kern w:val="0"/>
                <w:sz w:val="24"/>
                <w:szCs w:val="24"/>
                <w:highlight w:val="none"/>
                <w:lang w:val="en-US" w:eastAsia="zh-CN"/>
              </w:rPr>
              <w:t>，可操作性不强，</w:t>
            </w:r>
            <w:r>
              <w:rPr>
                <w:rFonts w:hint="default" w:ascii="仿宋" w:hAnsi="仿宋" w:eastAsia="仿宋" w:cs="仿宋"/>
                <w:color w:val="auto"/>
                <w:kern w:val="0"/>
                <w:sz w:val="24"/>
                <w:szCs w:val="24"/>
                <w:highlight w:val="none"/>
                <w:lang w:val="en-US" w:eastAsia="zh-CN"/>
              </w:rPr>
              <w:t>得</w:t>
            </w:r>
            <w:r>
              <w:rPr>
                <w:rFonts w:hint="eastAsia" w:ascii="仿宋" w:hAnsi="仿宋" w:eastAsia="仿宋" w:cs="仿宋"/>
                <w:color w:val="auto"/>
                <w:kern w:val="0"/>
                <w:sz w:val="24"/>
                <w:szCs w:val="24"/>
                <w:highlight w:val="none"/>
                <w:lang w:val="en-US" w:eastAsia="zh-CN"/>
              </w:rPr>
              <w:t>1</w:t>
            </w:r>
            <w:r>
              <w:rPr>
                <w:rFonts w:hint="default" w:ascii="仿宋" w:hAnsi="仿宋" w:eastAsia="仿宋" w:cs="仿宋"/>
                <w:color w:val="auto"/>
                <w:kern w:val="0"/>
                <w:sz w:val="24"/>
                <w:szCs w:val="24"/>
                <w:highlight w:val="none"/>
                <w:lang w:val="en-US"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Hans"/>
              </w:rPr>
            </w:pPr>
            <w:r>
              <w:rPr>
                <w:rFonts w:hint="eastAsia" w:ascii="仿宋" w:hAnsi="仿宋" w:eastAsia="仿宋" w:cs="仿宋"/>
                <w:color w:val="auto"/>
                <w:kern w:val="0"/>
                <w:sz w:val="24"/>
                <w:szCs w:val="24"/>
                <w:highlight w:val="none"/>
                <w:lang w:val="en-US" w:eastAsia="zh-CN"/>
              </w:rPr>
              <w:t>4.无提供不得分</w:t>
            </w:r>
            <w:r>
              <w:rPr>
                <w:rFonts w:hint="default" w:ascii="仿宋" w:hAnsi="仿宋" w:eastAsia="仿宋" w:cs="仿宋"/>
                <w:color w:val="auto"/>
                <w:kern w:val="0"/>
                <w:sz w:val="24"/>
                <w:szCs w:val="24"/>
                <w:highlight w:val="none"/>
                <w:lang w:val="en-US" w:eastAsia="zh-CN"/>
              </w:rPr>
              <w:t>。</w:t>
            </w:r>
          </w:p>
        </w:tc>
      </w:tr>
      <w:tr>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Hans" w:bidi="ar-SA"/>
              </w:rPr>
              <w:t>同类项目业绩</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6</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kern w:val="0"/>
                <w:sz w:val="24"/>
                <w:szCs w:val="24"/>
                <w:highlight w:val="none"/>
                <w:lang w:val="en-US" w:eastAsia="zh-CN"/>
              </w:rPr>
              <w:t>提供2022年1月1日至今（以签订合同时间为准）承担过的同类业绩情况进行评分，提供一个得2分，满分6分。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同类业绩证明文件是中标/成交通知书或合同关键页的复印件或扫描件（合同关键页是指包括：①能显示服务内容等相关信息；②签订合同双方的单位名称、合同项目名称；③签订合同双方的签章、盖章及签订日期），无提供不得分。</w:t>
            </w:r>
          </w:p>
        </w:tc>
      </w:tr>
      <w:tr>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响应</w:t>
            </w:r>
            <w:r>
              <w:rPr>
                <w:rFonts w:hint="eastAsia" w:ascii="仿宋" w:hAnsi="仿宋" w:eastAsia="仿宋" w:cs="仿宋"/>
                <w:color w:val="auto"/>
                <w:kern w:val="0"/>
                <w:sz w:val="24"/>
                <w:szCs w:val="24"/>
                <w:highlight w:val="none"/>
                <w:lang w:val="en-US" w:eastAsia="zh-Hans" w:bidi="ar-SA"/>
              </w:rPr>
              <w:t>报价得分</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响应报价得分＝（评审基准价/响应报价）×价格分值</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【注：满足比选文件要求且响应价格最低的响应报价为评审基准价。】最低报价不是成交的唯一依据。因落实政府采购政策进行价格调整的，以调整后的价格计算评审基准价和响应报价。</w:t>
            </w:r>
          </w:p>
        </w:tc>
      </w:tr>
    </w:tbl>
    <w:p>
      <w:pPr>
        <w:widowControl/>
        <w:jc w:val="center"/>
        <w:rPr>
          <w:rFonts w:hint="eastAsia" w:ascii="仿宋" w:hAnsi="仿宋" w:eastAsia="仿宋" w:cs="仿宋"/>
          <w:color w:val="auto"/>
          <w:kern w:val="0"/>
          <w:sz w:val="24"/>
          <w:szCs w:val="24"/>
          <w:highlight w:val="none"/>
        </w:rPr>
      </w:pP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确定成交候选供应商</w:t>
      </w:r>
    </w:p>
    <w:p>
      <w:pPr>
        <w:autoSpaceDE w:val="0"/>
        <w:autoSpaceDN w:val="0"/>
        <w:adjustRightInd w:val="0"/>
        <w:snapToGrid w:val="0"/>
        <w:spacing w:line="360" w:lineRule="auto"/>
        <w:ind w:right="32" w:firstLine="458" w:firstLineChars="191"/>
        <w:rPr>
          <w:rFonts w:ascii="仿宋" w:hAnsi="仿宋" w:eastAsia="仿宋" w:cs="仿宋"/>
          <w:b w:val="0"/>
          <w:bCs w:val="0"/>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小组出具书面的评审报告，按照响应供应商的综合得分由高到低的顺序对响应供应商进行排名，并确定成交候选供应商。综合得分相同的，按响应报价由低到高顺序推荐成交候选供应商，得分</w:t>
      </w:r>
      <w:r>
        <w:rPr>
          <w:rFonts w:hint="eastAsia" w:ascii="仿宋" w:hAnsi="仿宋" w:eastAsia="仿宋" w:cs="仿宋"/>
          <w:b w:val="0"/>
          <w:bCs w:val="0"/>
          <w:color w:val="auto"/>
          <w:kern w:val="0"/>
          <w:sz w:val="24"/>
          <w:highlight w:val="none"/>
        </w:rPr>
        <w:t>且</w:t>
      </w:r>
      <w:r>
        <w:rPr>
          <w:rFonts w:hint="eastAsia" w:ascii="仿宋" w:hAnsi="仿宋" w:eastAsia="仿宋" w:cs="仿宋"/>
          <w:b w:val="0"/>
          <w:bCs w:val="0"/>
          <w:color w:val="auto"/>
          <w:kern w:val="0"/>
          <w:sz w:val="24"/>
          <w:highlight w:val="none"/>
          <w:lang w:eastAsia="zh-CN"/>
        </w:rPr>
        <w:t>响应</w:t>
      </w:r>
      <w:r>
        <w:rPr>
          <w:rFonts w:hint="eastAsia" w:ascii="仿宋" w:hAnsi="仿宋" w:eastAsia="仿宋" w:cs="仿宋"/>
          <w:b w:val="0"/>
          <w:bCs w:val="0"/>
          <w:color w:val="auto"/>
          <w:kern w:val="0"/>
          <w:sz w:val="24"/>
          <w:highlight w:val="none"/>
        </w:rPr>
        <w:t>报价相同的，由</w:t>
      </w:r>
      <w:r>
        <w:rPr>
          <w:rFonts w:hint="eastAsia" w:ascii="仿宋" w:hAnsi="仿宋" w:eastAsia="仿宋" w:cs="仿宋"/>
          <w:b w:val="0"/>
          <w:bCs w:val="0"/>
          <w:color w:val="auto"/>
          <w:kern w:val="0"/>
          <w:sz w:val="24"/>
          <w:highlight w:val="none"/>
          <w:lang w:eastAsia="zh-CN"/>
        </w:rPr>
        <w:t>评审小组</w:t>
      </w:r>
      <w:r>
        <w:rPr>
          <w:rFonts w:hint="eastAsia" w:ascii="仿宋" w:hAnsi="仿宋" w:eastAsia="仿宋" w:cs="仿宋"/>
          <w:b w:val="0"/>
          <w:bCs w:val="0"/>
          <w:color w:val="auto"/>
          <w:kern w:val="0"/>
          <w:sz w:val="24"/>
          <w:highlight w:val="none"/>
        </w:rPr>
        <w:t>采取随机抽取的方式确定。</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公示</w:t>
      </w:r>
    </w:p>
    <w:p>
      <w:pPr>
        <w:autoSpaceDE w:val="0"/>
        <w:autoSpaceDN w:val="0"/>
        <w:adjustRightInd w:val="0"/>
        <w:snapToGrid w:val="0"/>
        <w:spacing w:line="360" w:lineRule="auto"/>
        <w:ind w:right="3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评审完成确定成交候选供应商后，</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发布成交公告，并向</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发出《成交通知书》。</w:t>
      </w:r>
    </w:p>
    <w:p>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询问、</w:t>
      </w:r>
      <w:r>
        <w:rPr>
          <w:rFonts w:hint="eastAsia" w:ascii="仿宋" w:hAnsi="仿宋" w:eastAsia="仿宋" w:cs="仿宋"/>
          <w:b/>
          <w:color w:val="auto"/>
          <w:sz w:val="24"/>
          <w:highlight w:val="none"/>
        </w:rPr>
        <w:t>质疑和投诉</w:t>
      </w:r>
    </w:p>
    <w:p>
      <w:pPr>
        <w:pStyle w:val="11"/>
        <w:adjustRightInd w:val="0"/>
        <w:snapToGrid w:val="0"/>
        <w:spacing w:line="360" w:lineRule="auto"/>
        <w:ind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（一）询问</w:t>
      </w:r>
    </w:p>
    <w:p>
      <w:pPr>
        <w:pStyle w:val="11"/>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对政府采购活动事项（</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邀请函》中“采购人的名称、地址和联系方式”。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对比选文件的质疑和处理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供应商对比选公告或文件有异议的，应在比选公告的有效期内书面向</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提出合理的质疑。公告期限内未收到书面质疑，视为潜在供应商认同比选文件的全部内容，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不再受理供应商对比选公告或文件的质疑。</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应当在接收到质疑函后起七个工作日内进行答复，并以书面形式通知质疑供应商和其他有关供应商。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对比选文件提出的质疑成立后，由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通过澄清或者修改，并以书面形式告知潜在的供应商后可以继续开展采购活动的，澄清或者修改比选文件后继续开展采购活动；否则应当修改比选文件后重新开展采购活动。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（二）对采购过程、成交结果的质疑和处理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供应商认为评审过程、成交结果使自己的权益受到损害的，可以在知道或者应知其权益受到损害之日起7个工作日内，以书面形式向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提出质疑。</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应于收到质疑函后起7个工作日内组织原评审小组协助答复质疑，并以书面形式通知质疑供应商和其他有关供应商。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（三）供应商提出质疑应当提交质疑函和必要的证明材料(包括证明材料清单、证明文件及获取途径说明)。质疑函应当包括下列内容：</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（1）供应商的姓名或者名称、地址、邮编、联系人及联系电话；</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（2）质疑项目的名称、编号；</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（3）具体、明确的质疑事项和与质疑事项相关的请求；</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（4）事实依据；</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（5）必要的法律依据；</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（6）提出质疑的日期。</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highlight w:val="none"/>
        </w:rPr>
        <w:t>提出书面投诉。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（五）质疑供应商未按以上规定进行质疑的，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将不予接收。</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（六）供应商捏造事实、提供虚假材料或者以非法手段取得证明材料进行质疑或投诉的，予以驳回，并列入黑名单。</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受理质疑后，质疑人书面申请撤回质疑的，应当终止质疑处理程序。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（八）同一供应商不能对同一事项重复质疑。</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、合同的订立和履行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合同的订立</w:t>
      </w:r>
    </w:p>
    <w:p>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采购人与成交供应商自成交通知书发出之日起三十日内，按比选文件要求和</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响应文件承诺签订采购合同。未按规定时间签订合同的，视为主动放弃成交资格。但不得超出比选文件和成交供应商响应文件的范围</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也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（1）采购合同订立后，合同各方不得擅自变更、中止或者终止合同。合同确需要变更的，应以书面形式报</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审批。</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、适用法律及规定</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采购人</w:t>
      </w:r>
      <w:r>
        <w:rPr>
          <w:rFonts w:hint="eastAsia" w:ascii="仿宋" w:hAnsi="仿宋" w:eastAsia="仿宋" w:cs="仿宋"/>
          <w:color w:val="auto"/>
          <w:kern w:val="0"/>
          <w:sz w:val="24"/>
          <w:highlight w:val="none"/>
        </w:rPr>
        <w:t>及供应商的一切采购活动均参考《中华人民共和国政府采购法》及医院的采购制度。</w:t>
      </w:r>
    </w:p>
    <w:p>
      <w:pPr>
        <w:pStyle w:val="11"/>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（2）单位负责人为同一人或者存在直接控股、管理关系的不同供应商，不得参加同一合同项下的采购活动。</w:t>
      </w:r>
      <w:r>
        <w:rPr>
          <w:rFonts w:hint="eastAsia" w:ascii="仿宋" w:hAnsi="仿宋" w:eastAsia="仿宋" w:cs="仿宋"/>
          <w:color w:val="auto"/>
          <w:kern w:val="0"/>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rPr>
        <w:t>存在以上情形的供应商应主动予以回避，否则自行承担相应的法律责任及后果。</w:t>
      </w:r>
    </w:p>
    <w:p>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utoSpaceDE w:val="0"/>
        <w:autoSpaceDN w:val="0"/>
        <w:adjustRightInd w:val="0"/>
        <w:snapToGrid w:val="0"/>
        <w:spacing w:line="360" w:lineRule="auto"/>
        <w:ind w:right="32" w:firstLine="562" w:firstLineChars="20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第四部分  合同书范本格式</w:t>
      </w:r>
      <w:r>
        <w:rPr>
          <w:rFonts w:hint="eastAsia" w:ascii="仿宋" w:hAnsi="仿宋" w:eastAsia="仿宋" w:cs="仿宋"/>
          <w:b/>
          <w:color w:val="auto"/>
          <w:sz w:val="28"/>
          <w:szCs w:val="28"/>
          <w:highlight w:val="none"/>
          <w:lang w:eastAsia="zh-CN"/>
        </w:rPr>
        <w:t>（参考）</w:t>
      </w:r>
    </w:p>
    <w:p>
      <w:pPr>
        <w:jc w:val="right"/>
        <w:rPr>
          <w:rFonts w:hint="eastAsia" w:ascii="仿宋" w:hAnsi="仿宋" w:eastAsia="仿宋" w:cs="仿宋"/>
          <w:color w:val="auto"/>
          <w:sz w:val="52"/>
          <w:highlight w:val="none"/>
        </w:rPr>
      </w:pPr>
      <w:r>
        <w:rPr>
          <w:rFonts w:hint="eastAsia" w:ascii="仿宋" w:hAnsi="仿宋" w:eastAsia="仿宋" w:cs="仿宋"/>
          <w:b/>
          <w:bCs/>
          <w:color w:val="auto"/>
          <w:sz w:val="24"/>
          <w:highlight w:val="none"/>
        </w:rPr>
        <w:t>合同编号：</w:t>
      </w:r>
    </w:p>
    <w:p>
      <w:pPr>
        <w:snapToGrid w:val="0"/>
        <w:spacing w:line="500" w:lineRule="exact"/>
        <w:jc w:val="center"/>
        <w:rPr>
          <w:rFonts w:hint="eastAsia" w:ascii="仿宋" w:hAnsi="仿宋" w:eastAsia="仿宋" w:cs="仿宋"/>
          <w:b/>
          <w:bCs/>
          <w:color w:val="auto"/>
          <w:sz w:val="48"/>
          <w:szCs w:val="48"/>
          <w:highlight w:val="none"/>
        </w:rPr>
      </w:pPr>
    </w:p>
    <w:p>
      <w:pPr>
        <w:autoSpaceDE w:val="0"/>
        <w:autoSpaceDN w:val="0"/>
        <w:adjustRightInd w:val="0"/>
        <w:spacing w:before="100" w:beforeAutospacing="1" w:after="100" w:afterAutospacing="1"/>
        <w:jc w:val="center"/>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技术服务合同</w:t>
      </w:r>
    </w:p>
    <w:p>
      <w:pPr>
        <w:spacing w:line="360" w:lineRule="auto"/>
        <w:ind w:right="480"/>
        <w:jc w:val="center"/>
        <w:rPr>
          <w:rFonts w:ascii="宋体"/>
          <w:bCs/>
          <w:color w:val="auto"/>
          <w:sz w:val="24"/>
          <w:highlight w:val="none"/>
        </w:rPr>
      </w:pPr>
    </w:p>
    <w:tbl>
      <w:tblPr>
        <w:tblStyle w:val="18"/>
        <w:tblpPr w:leftFromText="180" w:rightFromText="180" w:vertAnchor="text" w:horzAnchor="page" w:tblpX="2875" w:tblpY="1610"/>
        <w:tblOverlap w:val="never"/>
        <w:tblW w:w="6629" w:type="dxa"/>
        <w:tblInd w:w="0" w:type="dxa"/>
        <w:tblLayout w:type="fixed"/>
        <w:tblCellMar>
          <w:top w:w="0" w:type="dxa"/>
          <w:left w:w="108" w:type="dxa"/>
          <w:bottom w:w="0" w:type="dxa"/>
          <w:right w:w="108" w:type="dxa"/>
        </w:tblCellMar>
      </w:tblPr>
      <w:tblGrid>
        <w:gridCol w:w="6629"/>
      </w:tblGrid>
      <w:tr>
        <w:tblPrEx>
          <w:tblCellMar>
            <w:top w:w="0" w:type="dxa"/>
            <w:left w:w="108" w:type="dxa"/>
            <w:bottom w:w="0" w:type="dxa"/>
            <w:right w:w="108" w:type="dxa"/>
          </w:tblCellMar>
        </w:tblPrEx>
        <w:trPr>
          <w:trHeight w:val="446" w:hRule="atLeast"/>
        </w:trPr>
        <w:tc>
          <w:tcPr>
            <w:tcW w:w="6629" w:type="dxa"/>
            <w:noWrap w:val="0"/>
            <w:vAlign w:val="top"/>
          </w:tcPr>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p>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r>
              <w:rPr>
                <w:rFonts w:hint="eastAsia" w:hAnsi="宋体"/>
                <w:b/>
                <w:color w:val="auto"/>
                <w:sz w:val="30"/>
                <w:szCs w:val="30"/>
                <w:highlight w:val="none"/>
              </w:rPr>
              <w:t>采购编号：</w:t>
            </w:r>
          </w:p>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r>
              <w:rPr>
                <w:rFonts w:hint="eastAsia" w:hAnsi="宋体"/>
                <w:b/>
                <w:color w:val="auto"/>
                <w:sz w:val="30"/>
                <w:szCs w:val="30"/>
                <w:highlight w:val="none"/>
              </w:rPr>
              <w:t>项目名称：</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甲方：惠州市第一妇幼保健院</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乙方：</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签订地点：惠州市第一妇幼保健院</w:t>
            </w:r>
          </w:p>
          <w:p>
            <w:pPr>
              <w:keepNext w:val="0"/>
              <w:keepLines w:val="0"/>
              <w:suppressLineNumbers w:val="0"/>
              <w:tabs>
                <w:tab w:val="left" w:pos="720"/>
              </w:tabs>
              <w:spacing w:before="0" w:beforeAutospacing="0" w:after="0" w:afterAutospacing="0" w:line="360" w:lineRule="auto"/>
              <w:ind w:left="0" w:right="0"/>
              <w:rPr>
                <w:rFonts w:hint="default" w:ascii="宋体"/>
                <w:b/>
                <w:color w:val="auto"/>
                <w:sz w:val="30"/>
                <w:szCs w:val="30"/>
                <w:highlight w:val="none"/>
              </w:rPr>
            </w:pPr>
          </w:p>
        </w:tc>
      </w:tr>
    </w:tbl>
    <w:p>
      <w:pPr>
        <w:spacing w:line="360" w:lineRule="auto"/>
        <w:jc w:val="center"/>
        <w:rPr>
          <w:rFonts w:ascii="宋体"/>
          <w:b/>
          <w:color w:val="auto"/>
          <w:sz w:val="44"/>
          <w:szCs w:val="44"/>
          <w:highlight w:val="none"/>
        </w:rPr>
      </w:pPr>
      <w:r>
        <w:rPr>
          <w:rFonts w:ascii="宋体"/>
          <w:bCs/>
          <w:color w:val="auto"/>
          <w:sz w:val="24"/>
          <w:highlight w:val="none"/>
        </w:rPr>
        <w:br w:type="page"/>
      </w:r>
      <w:r>
        <w:rPr>
          <w:rFonts w:hint="eastAsia" w:ascii="宋体" w:hAnsi="宋体"/>
          <w:b/>
          <w:color w:val="auto"/>
          <w:sz w:val="44"/>
          <w:szCs w:val="44"/>
          <w:highlight w:val="none"/>
        </w:rPr>
        <w:t>合   同</w:t>
      </w:r>
    </w:p>
    <w:p>
      <w:pPr>
        <w:spacing w:line="360" w:lineRule="auto"/>
        <w:jc w:val="center"/>
        <w:rPr>
          <w:rFonts w:ascii="宋体"/>
          <w:b/>
          <w:color w:val="auto"/>
          <w:sz w:val="44"/>
          <w:szCs w:val="44"/>
          <w:highlight w:val="none"/>
        </w:rPr>
      </w:pPr>
    </w:p>
    <w:p>
      <w:pPr>
        <w:spacing w:line="360" w:lineRule="auto"/>
        <w:jc w:val="left"/>
        <w:rPr>
          <w:rFonts w:ascii="宋体"/>
          <w:b/>
          <w:color w:val="auto"/>
          <w:sz w:val="24"/>
          <w:highlight w:val="none"/>
        </w:rPr>
      </w:pPr>
      <w:r>
        <w:rPr>
          <w:rFonts w:hint="eastAsia" w:ascii="宋体" w:hAnsi="宋体"/>
          <w:b/>
          <w:color w:val="auto"/>
          <w:sz w:val="24"/>
          <w:highlight w:val="none"/>
        </w:rPr>
        <w:t>甲方：</w:t>
      </w:r>
      <w:r>
        <w:rPr>
          <w:rFonts w:hint="eastAsia" w:ascii="宋体" w:hAnsi="宋体"/>
          <w:b/>
          <w:color w:val="auto"/>
          <w:kern w:val="0"/>
          <w:sz w:val="24"/>
          <w:highlight w:val="none"/>
        </w:rPr>
        <w:t>惠州市第一妇幼保健院</w:t>
      </w:r>
    </w:p>
    <w:p>
      <w:pPr>
        <w:tabs>
          <w:tab w:val="left" w:pos="720"/>
        </w:tabs>
        <w:spacing w:line="360" w:lineRule="auto"/>
        <w:rPr>
          <w:rFonts w:ascii="宋体" w:hAnsi="宋体"/>
          <w:b/>
          <w:color w:val="auto"/>
          <w:kern w:val="0"/>
          <w:sz w:val="24"/>
          <w:highlight w:val="none"/>
        </w:rPr>
      </w:pPr>
      <w:r>
        <w:rPr>
          <w:rFonts w:hint="eastAsia" w:ascii="宋体" w:hAnsi="宋体"/>
          <w:b/>
          <w:color w:val="auto"/>
          <w:sz w:val="24"/>
          <w:highlight w:val="none"/>
        </w:rPr>
        <w:t>乙方：</w:t>
      </w:r>
    </w:p>
    <w:p>
      <w:pPr>
        <w:tabs>
          <w:tab w:val="left" w:pos="7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）的中标结果，按照《中华人民共和国政府采购法》、《中华人民共和国民法典》的规定，经双方协商，本着平等互利和诚实信用的原则，一致同意签订本合同如下。</w:t>
      </w:r>
    </w:p>
    <w:p>
      <w:pPr>
        <w:pStyle w:val="23"/>
        <w:numPr>
          <w:ilvl w:val="0"/>
          <w:numId w:val="8"/>
        </w:numPr>
        <w:tabs>
          <w:tab w:val="left" w:pos="960"/>
        </w:tabs>
        <w:spacing w:line="360" w:lineRule="auto"/>
        <w:ind w:firstLine="482"/>
        <w:rPr>
          <w:rFonts w:ascii="宋体" w:hAnsi="宋体"/>
          <w:b/>
          <w:color w:val="auto"/>
          <w:sz w:val="24"/>
          <w:highlight w:val="none"/>
        </w:rPr>
      </w:pPr>
      <w:r>
        <w:rPr>
          <w:rFonts w:hint="eastAsia" w:ascii="宋体" w:hAnsi="宋体"/>
          <w:b/>
          <w:color w:val="auto"/>
          <w:sz w:val="24"/>
          <w:highlight w:val="none"/>
        </w:rPr>
        <w:t>服务内容</w:t>
      </w:r>
    </w:p>
    <w:p>
      <w:pPr>
        <w:pStyle w:val="23"/>
        <w:tabs>
          <w:tab w:val="left" w:pos="960"/>
        </w:tabs>
        <w:spacing w:line="360" w:lineRule="auto"/>
        <w:ind w:firstLine="481" w:firstLineChars="0"/>
        <w:rPr>
          <w:rFonts w:ascii="宋体" w:hAnsi="宋体"/>
          <w:color w:val="auto"/>
          <w:sz w:val="24"/>
          <w:highlight w:val="none"/>
        </w:rPr>
      </w:pPr>
      <w:r>
        <w:rPr>
          <w:rFonts w:hint="eastAsia" w:ascii="宋体" w:hAnsi="宋体"/>
          <w:color w:val="auto"/>
          <w:sz w:val="24"/>
          <w:highlight w:val="none"/>
        </w:rPr>
        <w:t>本合同甲方委托乙方承当</w:t>
      </w:r>
      <w:r>
        <w:rPr>
          <w:rFonts w:hint="eastAsia" w:ascii="宋体" w:hAnsi="宋体"/>
          <w:color w:val="auto"/>
          <w:sz w:val="24"/>
          <w:highlight w:val="none"/>
          <w:u w:val="single"/>
        </w:rPr>
        <w:t xml:space="preserve">                                </w:t>
      </w:r>
      <w:r>
        <w:rPr>
          <w:rFonts w:hint="eastAsia" w:ascii="宋体" w:hAnsi="宋体"/>
          <w:color w:val="auto"/>
          <w:sz w:val="24"/>
          <w:highlight w:val="none"/>
        </w:rPr>
        <w:t>项目，并支付研究开发经费和报酬，乙方接受委托并进行此项研究开发工作。</w:t>
      </w:r>
    </w:p>
    <w:tbl>
      <w:tblPr>
        <w:tblStyle w:val="18"/>
        <w:tblW w:w="4996" w:type="pct"/>
        <w:tblInd w:w="0" w:type="dxa"/>
        <w:tblLayout w:type="autofit"/>
        <w:tblCellMar>
          <w:top w:w="0" w:type="dxa"/>
          <w:left w:w="108" w:type="dxa"/>
          <w:bottom w:w="0" w:type="dxa"/>
          <w:right w:w="108" w:type="dxa"/>
        </w:tblCellMar>
      </w:tblPr>
      <w:tblGrid>
        <w:gridCol w:w="856"/>
        <w:gridCol w:w="1369"/>
        <w:gridCol w:w="2216"/>
        <w:gridCol w:w="831"/>
        <w:gridCol w:w="1320"/>
        <w:gridCol w:w="1923"/>
      </w:tblGrid>
      <w:tr>
        <w:tblPrEx>
          <w:tblCellMar>
            <w:top w:w="0" w:type="dxa"/>
            <w:left w:w="108" w:type="dxa"/>
            <w:bottom w:w="0" w:type="dxa"/>
            <w:right w:w="108" w:type="dxa"/>
          </w:tblCellMar>
        </w:tblPrEx>
        <w:trPr>
          <w:trHeight w:val="480" w:hRule="atLeast"/>
        </w:trPr>
        <w:tc>
          <w:tcPr>
            <w:tcW w:w="5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序号</w:t>
            </w:r>
          </w:p>
        </w:tc>
        <w:tc>
          <w:tcPr>
            <w:tcW w:w="804"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产品编码</w:t>
            </w:r>
          </w:p>
        </w:tc>
        <w:tc>
          <w:tcPr>
            <w:tcW w:w="1301"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项目名称</w:t>
            </w:r>
          </w:p>
        </w:tc>
        <w:tc>
          <w:tcPr>
            <w:tcW w:w="488"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数量</w:t>
            </w:r>
          </w:p>
        </w:tc>
        <w:tc>
          <w:tcPr>
            <w:tcW w:w="775"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单价（元）</w:t>
            </w:r>
          </w:p>
        </w:tc>
        <w:tc>
          <w:tcPr>
            <w:tcW w:w="1127"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总金额（元）</w:t>
            </w:r>
          </w:p>
        </w:tc>
      </w:tr>
      <w:tr>
        <w:tblPrEx>
          <w:tblCellMar>
            <w:top w:w="0" w:type="dxa"/>
            <w:left w:w="108" w:type="dxa"/>
            <w:bottom w:w="0" w:type="dxa"/>
            <w:right w:w="108" w:type="dxa"/>
          </w:tblCellMar>
        </w:tblPrEx>
        <w:trPr>
          <w:trHeight w:val="630" w:hRule="atLeast"/>
        </w:trPr>
        <w:tc>
          <w:tcPr>
            <w:tcW w:w="503" w:type="pc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1</w:t>
            </w:r>
          </w:p>
        </w:tc>
        <w:tc>
          <w:tcPr>
            <w:tcW w:w="804" w:type="pct"/>
            <w:tcBorders>
              <w:top w:val="nil"/>
              <w:left w:val="nil"/>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 xml:space="preserve"> </w:t>
            </w:r>
          </w:p>
        </w:tc>
        <w:tc>
          <w:tcPr>
            <w:tcW w:w="1301" w:type="pct"/>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 xml:space="preserve"> </w:t>
            </w:r>
          </w:p>
        </w:tc>
        <w:tc>
          <w:tcPr>
            <w:tcW w:w="488" w:type="pct"/>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 xml:space="preserve"> </w:t>
            </w:r>
          </w:p>
        </w:tc>
        <w:tc>
          <w:tcPr>
            <w:tcW w:w="775" w:type="pct"/>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p>
        </w:tc>
        <w:tc>
          <w:tcPr>
            <w:tcW w:w="1127" w:type="pct"/>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p>
        </w:tc>
      </w:tr>
      <w:tr>
        <w:tblPrEx>
          <w:tblCellMar>
            <w:top w:w="0" w:type="dxa"/>
            <w:left w:w="108" w:type="dxa"/>
            <w:bottom w:w="0" w:type="dxa"/>
            <w:right w:w="108" w:type="dxa"/>
          </w:tblCellMar>
        </w:tblPrEx>
        <w:trPr>
          <w:trHeight w:val="720"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olor w:val="auto"/>
                <w:sz w:val="24"/>
                <w:highlight w:val="none"/>
              </w:rPr>
            </w:pPr>
          </w:p>
          <w:p>
            <w:pPr>
              <w:keepNext w:val="0"/>
              <w:keepLines w:val="0"/>
              <w:suppressLineNumbers w:val="0"/>
              <w:spacing w:before="0" w:beforeAutospacing="0" w:after="0" w:afterAutospacing="0"/>
              <w:ind w:left="0" w:right="0"/>
              <w:jc w:val="left"/>
              <w:rPr>
                <w:rFonts w:hint="default" w:ascii="宋体" w:hAnsi="宋体"/>
                <w:color w:val="auto"/>
                <w:sz w:val="24"/>
                <w:highlight w:val="none"/>
              </w:rPr>
            </w:pPr>
            <w:r>
              <w:rPr>
                <w:rFonts w:hint="eastAsia" w:ascii="宋体" w:hAnsi="宋体"/>
                <w:color w:val="auto"/>
                <w:sz w:val="24"/>
                <w:highlight w:val="none"/>
              </w:rPr>
              <w:t>发票名称：</w:t>
            </w:r>
          </w:p>
          <w:p>
            <w:pPr>
              <w:keepNext w:val="0"/>
              <w:keepLines w:val="0"/>
              <w:suppressLineNumbers w:val="0"/>
              <w:spacing w:before="0" w:beforeAutospacing="0" w:after="0" w:afterAutospacing="0"/>
              <w:ind w:left="0" w:right="0"/>
              <w:jc w:val="left"/>
              <w:rPr>
                <w:rFonts w:hint="default" w:ascii="宋体" w:hAnsi="宋体"/>
                <w:color w:val="auto"/>
                <w:sz w:val="24"/>
                <w:highlight w:val="none"/>
              </w:rPr>
            </w:pPr>
          </w:p>
          <w:p>
            <w:pPr>
              <w:keepNext w:val="0"/>
              <w:keepLines w:val="0"/>
              <w:suppressLineNumbers w:val="0"/>
              <w:spacing w:before="0" w:beforeAutospacing="0" w:after="0" w:afterAutospacing="0"/>
              <w:ind w:left="0" w:right="0"/>
              <w:jc w:val="left"/>
              <w:rPr>
                <w:rFonts w:hint="default" w:ascii="宋体" w:hAnsi="宋体"/>
                <w:color w:val="auto"/>
                <w:sz w:val="24"/>
                <w:highlight w:val="none"/>
              </w:rPr>
            </w:pPr>
            <w:r>
              <w:rPr>
                <w:rFonts w:hint="eastAsia" w:ascii="宋体" w:hAnsi="宋体"/>
                <w:color w:val="auto"/>
                <w:sz w:val="24"/>
                <w:highlight w:val="none"/>
              </w:rPr>
              <w:t xml:space="preserve">合计：（大写）人民币        元整；¥         元                       </w:t>
            </w:r>
          </w:p>
        </w:tc>
      </w:tr>
    </w:tbl>
    <w:p>
      <w:pPr>
        <w:spacing w:line="360" w:lineRule="auto"/>
        <w:ind w:firstLine="482" w:firstLineChars="200"/>
        <w:rPr>
          <w:rFonts w:ascii="宋体"/>
          <w:b/>
          <w:color w:val="auto"/>
          <w:sz w:val="24"/>
          <w:highlight w:val="none"/>
        </w:rPr>
      </w:pPr>
      <w:r>
        <w:rPr>
          <w:rFonts w:hint="eastAsia" w:ascii="宋体" w:hAnsi="宋体"/>
          <w:b/>
          <w:color w:val="auto"/>
          <w:sz w:val="24"/>
          <w:highlight w:val="none"/>
        </w:rPr>
        <w:t>二、合同金额</w:t>
      </w:r>
    </w:p>
    <w:p>
      <w:pPr>
        <w:spacing w:line="360" w:lineRule="auto"/>
        <w:ind w:firstLine="480" w:firstLineChars="200"/>
        <w:rPr>
          <w:rFonts w:hAnsi="宋体" w:cs="宋体"/>
          <w:color w:val="auto"/>
          <w:kern w:val="0"/>
          <w:sz w:val="24"/>
          <w:szCs w:val="21"/>
          <w:highlight w:val="none"/>
        </w:rPr>
      </w:pPr>
      <w:r>
        <w:rPr>
          <w:rFonts w:hint="eastAsia" w:hAnsi="宋体"/>
          <w:color w:val="auto"/>
          <w:sz w:val="24"/>
          <w:highlight w:val="none"/>
        </w:rPr>
        <w:t>合同金额为：（大写）</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元整；（小写）¥</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szCs w:val="21"/>
          <w:highlight w:val="none"/>
          <w:u w:val="single"/>
        </w:rPr>
        <w:t>.00</w:t>
      </w:r>
      <w:r>
        <w:rPr>
          <w:rFonts w:hint="eastAsia" w:ascii="宋体" w:hAnsi="宋体" w:cs="宋体"/>
          <w:color w:val="auto"/>
          <w:kern w:val="0"/>
          <w:sz w:val="24"/>
          <w:szCs w:val="21"/>
          <w:highlight w:val="none"/>
        </w:rPr>
        <w:t>元</w:t>
      </w:r>
      <w:r>
        <w:rPr>
          <w:rFonts w:hint="eastAsia" w:hAnsi="宋体" w:cs="宋体"/>
          <w:color w:val="auto"/>
          <w:kern w:val="0"/>
          <w:sz w:val="24"/>
          <w:szCs w:val="21"/>
          <w:highlight w:val="none"/>
        </w:rPr>
        <w:t>。</w:t>
      </w:r>
    </w:p>
    <w:p>
      <w:pPr>
        <w:spacing w:line="360" w:lineRule="auto"/>
        <w:ind w:firstLine="480" w:firstLineChars="200"/>
        <w:rPr>
          <w:rFonts w:hAnsi="宋体"/>
          <w:color w:val="auto"/>
          <w:sz w:val="24"/>
          <w:highlight w:val="none"/>
        </w:rPr>
      </w:pPr>
      <w:r>
        <w:rPr>
          <w:rFonts w:hint="eastAsia" w:ascii="宋体" w:hAnsi="宋体"/>
          <w:color w:val="auto"/>
          <w:sz w:val="24"/>
          <w:highlight w:val="none"/>
        </w:rPr>
        <w:t>合同总额包括乙方设计、安装、随机零配件、标配工具、运输保险、调试、培训、质保期服务、各项税费及合同实施过程中不可预见费用等。</w:t>
      </w:r>
    </w:p>
    <w:p>
      <w:pPr>
        <w:spacing w:line="360" w:lineRule="auto"/>
        <w:ind w:firstLine="482" w:firstLineChars="200"/>
        <w:rPr>
          <w:rFonts w:ascii="宋体"/>
          <w:b/>
          <w:color w:val="auto"/>
          <w:sz w:val="24"/>
          <w:highlight w:val="none"/>
        </w:rPr>
      </w:pPr>
      <w:r>
        <w:rPr>
          <w:rFonts w:hint="eastAsia" w:ascii="宋体" w:hAnsi="宋体"/>
          <w:b/>
          <w:color w:val="auto"/>
          <w:sz w:val="24"/>
          <w:highlight w:val="none"/>
        </w:rPr>
        <w:t>三、服务要求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本合同项下所安装软件版本乙方提供自验收报告次日起为期</w:t>
      </w:r>
      <w:r>
        <w:rPr>
          <w:rFonts w:hint="eastAsia" w:ascii="宋体" w:hAnsi="宋体"/>
          <w:color w:val="auto"/>
          <w:sz w:val="24"/>
          <w:highlight w:val="none"/>
          <w:u w:val="single"/>
        </w:rPr>
        <w:t>壹年</w:t>
      </w:r>
      <w:r>
        <w:rPr>
          <w:rFonts w:hint="eastAsia" w:ascii="宋体" w:hAnsi="宋体"/>
          <w:color w:val="auto"/>
          <w:sz w:val="24"/>
          <w:highlight w:val="none"/>
        </w:rPr>
        <w:t>的免费纠错性维护。免费维护期内，乙方提供给甲方软件应用的支持和培训服务，包括</w:t>
      </w:r>
      <w:r>
        <w:rPr>
          <w:rFonts w:hint="eastAsia" w:ascii="宋体" w:hAnsi="宋体"/>
          <w:color w:val="auto"/>
          <w:sz w:val="24"/>
          <w:highlight w:val="none"/>
          <w:u w:val="single"/>
        </w:rPr>
        <w:t>软件远程电话支持、用户培训、故障维护</w:t>
      </w:r>
      <w:r>
        <w:rPr>
          <w:rFonts w:hint="eastAsia" w:ascii="宋体" w:hAnsi="宋体"/>
          <w:color w:val="auto"/>
          <w:sz w:val="24"/>
          <w:highlight w:val="none"/>
        </w:rPr>
        <w:t>等，具体说明如下：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1.乙方保障软件的正常运行，对软件中存在的缺陷进行升级和优化，确保软件的正常使用；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乙方配合甲方解决系统运行过程中由于网络、服务器、计算机、操作系统等原因所产生的软件无法正常运行的情况，保障系统的正常运行，并在完成故障处理后出具产品维护报告，包含问题的原因、解决办法及建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3.乙方负责软件操作的使用培训，培训对象为甲方的医生、护士、技术工程师、业务科室的关键用户。乙方同时向甲方提供使用说明文档。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4.乙方提供7×24小时电话支持服务，解答甲方在产品使用、维护过程中遇到的问题，及时提出解决问题的建议和操作方法。</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5.若产品出现相关故障，在甲方报修后30分钟内，乙方予以远程支持或提供解决方案。若措施无效，乙方应立即启动更高级别的响应措施，包括但不限于派出客户服务工程师上门现场服务。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6.软件运行过程中新发现的软件错误，乙方负责维护并及时改进，同时向甲方提供软件维护说明。</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7.系统在运行过程中，乙方不定期地向甲方提供科室软件建设建议方案。</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8.经甲方许可，乙方每季度进行一次定期现场巡检，对甲方应用软件的软硬件环境进行检查，发现系统稳定运行的隐患因素并及时排除。乙方向甲方出具系统巡检报告，内容包含巡检范围、结果及巡检建议。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9.由甲方操作引起的系统问题，相同问题出现三次以上的，乙方将其排除在免费维护项目以外。</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10.本合同软件产品在免费维护期结束后，如需乙方继续向甲方提供软件维护服务，甲方需每年向乙方另行支付维护费用，金额为本合同软件部分的总金额的10%以内，乙方提供该年度本合同中软件产品的维护、技术支持等服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11.如果甲方未来有新的功能需求则另行协商。</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四、交货期、交货方式和交货地点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1.合同生效汇款后</w:t>
      </w:r>
      <w:r>
        <w:rPr>
          <w:rFonts w:hint="eastAsia" w:ascii="宋体" w:hAnsi="宋体"/>
          <w:color w:val="auto"/>
          <w:sz w:val="24"/>
          <w:highlight w:val="none"/>
          <w:u w:val="single"/>
        </w:rPr>
        <w:t xml:space="preserve">     </w:t>
      </w:r>
      <w:r>
        <w:rPr>
          <w:rFonts w:hint="eastAsia" w:ascii="宋体" w:hAnsi="宋体"/>
          <w:color w:val="auto"/>
          <w:sz w:val="24"/>
          <w:highlight w:val="none"/>
        </w:rPr>
        <w:t>个工作日内。</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甲方通知乙方实施之前，必须确认实施地点已经具备本合同下产品的安装所需达到的相关条件，如未经确认或场地未达到安装所需条件，导致乙方安装人员到达现场后又无法安装而产生的差旅、住宿等所有费用均由甲方承担。</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3.产品安转站点数量及地点：</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五、付款方式</w:t>
      </w:r>
    </w:p>
    <w:p>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1.（支付工作安排以用户需求书为准。）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2.支付方式采用银行转账支付。</w:t>
      </w:r>
    </w:p>
    <w:p>
      <w:pPr>
        <w:pStyle w:val="9"/>
        <w:ind w:firstLine="480" w:firstLineChars="200"/>
        <w:rPr>
          <w:rFonts w:ascii="宋体" w:hAnsi="宋体"/>
          <w:color w:val="auto"/>
          <w:sz w:val="24"/>
          <w:highlight w:val="none"/>
        </w:rPr>
      </w:pPr>
      <w:r>
        <w:rPr>
          <w:rFonts w:hint="eastAsia" w:ascii="宋体" w:hAnsi="宋体"/>
          <w:color w:val="auto"/>
          <w:sz w:val="24"/>
          <w:highlight w:val="none"/>
        </w:rPr>
        <w:t>乙方账户信息如下：</w:t>
      </w:r>
    </w:p>
    <w:p>
      <w:pPr>
        <w:pStyle w:val="9"/>
        <w:ind w:firstLine="480" w:firstLineChars="200"/>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pStyle w:val="9"/>
        <w:ind w:firstLine="480" w:firstLineChars="200"/>
        <w:rPr>
          <w:rFonts w:ascii="宋体" w:hAnsi="宋体"/>
          <w:color w:val="auto"/>
          <w:sz w:val="24"/>
          <w:highlight w:val="none"/>
        </w:rPr>
      </w:pPr>
      <w:r>
        <w:rPr>
          <w:rFonts w:hint="eastAsia" w:ascii="宋体" w:hAnsi="宋体"/>
          <w:color w:val="auto"/>
          <w:sz w:val="24"/>
          <w:highlight w:val="none"/>
        </w:rPr>
        <w:t>账户名称：</w:t>
      </w:r>
      <w:r>
        <w:rPr>
          <w:rFonts w:hint="eastAsia" w:ascii="宋体" w:hAnsi="宋体"/>
          <w:color w:val="auto"/>
          <w:sz w:val="24"/>
          <w:highlight w:val="none"/>
          <w:u w:val="single"/>
        </w:rPr>
        <w:t xml:space="preserve">                                        </w:t>
      </w:r>
    </w:p>
    <w:p>
      <w:pPr>
        <w:pStyle w:val="9"/>
        <w:ind w:firstLine="480" w:firstLineChars="200"/>
        <w:rPr>
          <w:rFonts w:ascii="宋体" w:hAnsi="宋体"/>
          <w:color w:val="auto"/>
          <w:sz w:val="24"/>
          <w:highlight w:val="none"/>
        </w:rPr>
      </w:pPr>
      <w:r>
        <w:rPr>
          <w:rFonts w:hint="eastAsia" w:ascii="宋体" w:hAnsi="宋体"/>
          <w:color w:val="auto"/>
          <w:sz w:val="24"/>
          <w:highlight w:val="none"/>
        </w:rPr>
        <w:t>银行账户：</w:t>
      </w:r>
      <w:r>
        <w:rPr>
          <w:rFonts w:hint="eastAsia" w:ascii="宋体" w:hAnsi="宋体"/>
          <w:color w:val="auto"/>
          <w:sz w:val="24"/>
          <w:highlight w:val="none"/>
          <w:u w:val="single"/>
        </w:rPr>
        <w:t xml:space="preserve">                                        </w:t>
      </w:r>
    </w:p>
    <w:p>
      <w:pPr>
        <w:pStyle w:val="9"/>
        <w:ind w:firstLine="480" w:firstLineChars="200"/>
        <w:rPr>
          <w:rFonts w:ascii="宋体" w:hAnsi="宋体"/>
          <w:color w:val="auto"/>
          <w:sz w:val="24"/>
          <w:highlight w:val="none"/>
        </w:rPr>
      </w:pPr>
      <w:r>
        <w:rPr>
          <w:rFonts w:hint="eastAsia" w:ascii="宋体" w:hAnsi="宋体"/>
          <w:color w:val="auto"/>
          <w:sz w:val="24"/>
          <w:highlight w:val="none"/>
        </w:rPr>
        <w:t>税号：</w:t>
      </w:r>
      <w:r>
        <w:rPr>
          <w:rFonts w:hint="eastAsia" w:ascii="宋体" w:hAnsi="宋体"/>
          <w:color w:val="auto"/>
          <w:sz w:val="24"/>
          <w:highlight w:val="none"/>
          <w:u w:val="single"/>
        </w:rPr>
        <w:t xml:space="preserve">                                            </w:t>
      </w:r>
    </w:p>
    <w:p>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六、质保期及售后服务要求</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1.质保期自验收合格次日起保修期为12个月。</w:t>
      </w:r>
    </w:p>
    <w:p>
      <w:pPr>
        <w:spacing w:line="460" w:lineRule="exact"/>
        <w:ind w:firstLine="480" w:firstLineChars="200"/>
        <w:rPr>
          <w:rFonts w:ascii="宋体" w:hAnsi="宋体"/>
          <w:b/>
          <w:bCs/>
          <w:color w:val="auto"/>
          <w:sz w:val="24"/>
          <w:highlight w:val="none"/>
        </w:rPr>
      </w:pPr>
      <w:r>
        <w:rPr>
          <w:rFonts w:hint="eastAsia" w:ascii="宋体" w:hAnsi="宋体"/>
          <w:color w:val="auto"/>
          <w:sz w:val="24"/>
          <w:highlight w:val="none"/>
        </w:rPr>
        <w:t>2.售后服务要求</w:t>
      </w:r>
    </w:p>
    <w:p>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七、验收</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1、验收时间：安装后</w:t>
      </w:r>
      <w:r>
        <w:rPr>
          <w:rFonts w:hint="eastAsia" w:ascii="宋体" w:hAnsi="宋体"/>
          <w:color w:val="auto"/>
          <w:sz w:val="24"/>
          <w:highlight w:val="none"/>
          <w:u w:val="single"/>
        </w:rPr>
        <w:t xml:space="preserve">    </w:t>
      </w:r>
      <w:r>
        <w:rPr>
          <w:rFonts w:hint="eastAsia" w:ascii="宋体" w:hAnsi="宋体"/>
          <w:color w:val="auto"/>
          <w:sz w:val="24"/>
          <w:highlight w:val="none"/>
        </w:rPr>
        <w:t>个工作日内完成验收。</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2、验收流程：</w:t>
      </w:r>
    </w:p>
    <w:p>
      <w:pPr>
        <w:spacing w:line="46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①签订项目验收报告（详见附件一</w:t>
      </w:r>
      <w:r>
        <w:rPr>
          <w:rFonts w:hint="eastAsia" w:ascii="宋体" w:hAnsi="宋体"/>
          <w:color w:val="auto"/>
          <w:sz w:val="24"/>
          <w:highlight w:val="none"/>
          <w:lang w:eastAsia="zh-CN"/>
        </w:rPr>
        <w:t>）；</w:t>
      </w:r>
    </w:p>
    <w:p>
      <w:pPr>
        <w:spacing w:line="46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②甲方使用科室主任及信息科责任工程师、信息科主任签字确认</w:t>
      </w:r>
      <w:r>
        <w:rPr>
          <w:rFonts w:hint="eastAsia" w:ascii="宋体" w:hAnsi="宋体"/>
          <w:color w:val="auto"/>
          <w:sz w:val="24"/>
          <w:highlight w:val="none"/>
          <w:lang w:eastAsia="zh-CN"/>
        </w:rPr>
        <w:t>；</w:t>
      </w:r>
    </w:p>
    <w:p>
      <w:pPr>
        <w:spacing w:line="46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③乙方工程师签字确认</w:t>
      </w:r>
      <w:r>
        <w:rPr>
          <w:rFonts w:hint="eastAsia" w:ascii="宋体" w:hAnsi="宋体"/>
          <w:color w:val="auto"/>
          <w:sz w:val="24"/>
          <w:highlight w:val="none"/>
          <w:lang w:eastAsia="zh-CN"/>
        </w:rPr>
        <w:t>；</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④甲方乙双方盖章确认。</w:t>
      </w:r>
    </w:p>
    <w:p>
      <w:pPr>
        <w:tabs>
          <w:tab w:val="left" w:pos="900"/>
        </w:tabs>
        <w:spacing w:line="460" w:lineRule="exact"/>
        <w:ind w:firstLine="482" w:firstLineChars="200"/>
        <w:rPr>
          <w:rFonts w:ascii="宋体"/>
          <w:b/>
          <w:color w:val="auto"/>
          <w:sz w:val="24"/>
          <w:highlight w:val="none"/>
        </w:rPr>
      </w:pPr>
      <w:r>
        <w:rPr>
          <w:rFonts w:hint="eastAsia" w:ascii="宋体" w:hAnsi="宋体"/>
          <w:b/>
          <w:bCs/>
          <w:color w:val="auto"/>
          <w:sz w:val="24"/>
          <w:highlight w:val="none"/>
        </w:rPr>
        <w:t>八、</w:t>
      </w:r>
      <w:r>
        <w:rPr>
          <w:rFonts w:hint="eastAsia" w:ascii="宋体" w:hAnsi="宋体"/>
          <w:b/>
          <w:color w:val="auto"/>
          <w:sz w:val="24"/>
          <w:highlight w:val="none"/>
        </w:rPr>
        <w:t>违约责任与赔偿损失</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1.乙方交付的货物、工程、提供的服务不符合采购文件、报价文件或本合同规定的，甲方有权拒收，并且乙方须向甲方支付本合同金额5%的违约金。</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2.乙方未能按本合同规定的交货时间交付货物、工程、提供服务，从逾期之日起每日按本合同金额3‰的数额向甲方支付违约金；逾期半个月以上的，甲方有权终止合同，由此造成的甲方经济损失由乙方承担。</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3.甲方无正当理由拒收货物、接受服务，到期拒付货物、工程、提供服务款项的，甲方向乙方偿付本合同金额的5%的违约金。甲方逾期付款，则每日按本合同金额的3‰向乙方偿付违约金。</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4.其它违约责任按《中华人民共和国民法典》处理。</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九、争议的解决</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因履行本合同引起的或者与本合同有关的争议，甲乙双方应当通过友好协商方式解决；如协商不能解决的，</w:t>
      </w:r>
      <w:r>
        <w:rPr>
          <w:rFonts w:hint="eastAsia" w:ascii="宋体" w:hAnsi="宋体" w:cs="宋体"/>
          <w:color w:val="auto"/>
          <w:kern w:val="0"/>
          <w:sz w:val="24"/>
          <w:highlight w:val="none"/>
        </w:rPr>
        <w:t>双方均可向惠州市惠城区人民法院提起诉讼</w:t>
      </w:r>
      <w:r>
        <w:rPr>
          <w:rFonts w:ascii="宋体" w:hAnsi="宋体"/>
          <w:color w:val="auto"/>
          <w:sz w:val="24"/>
          <w:highlight w:val="none"/>
        </w:rPr>
        <w:t>。</w:t>
      </w:r>
    </w:p>
    <w:p>
      <w:pPr>
        <w:tabs>
          <w:tab w:val="left" w:pos="824"/>
        </w:tabs>
        <w:spacing w:line="460" w:lineRule="exact"/>
        <w:ind w:firstLine="482" w:firstLineChars="200"/>
        <w:rPr>
          <w:color w:val="auto"/>
          <w:highlight w:val="none"/>
        </w:rPr>
      </w:pPr>
      <w:r>
        <w:rPr>
          <w:rFonts w:hint="eastAsia" w:ascii="宋体" w:hAnsi="宋体"/>
          <w:b/>
          <w:bCs/>
          <w:color w:val="auto"/>
          <w:sz w:val="24"/>
          <w:highlight w:val="none"/>
        </w:rPr>
        <w:t>十、保密条款</w:t>
      </w:r>
    </w:p>
    <w:p>
      <w:pPr>
        <w:pStyle w:val="11"/>
        <w:spacing w:line="360" w:lineRule="auto"/>
        <w:ind w:firstLine="480" w:firstLineChars="200"/>
        <w:outlineLvl w:val="0"/>
        <w:rPr>
          <w:rFonts w:hAnsi="宋体" w:cs="Times New Roman"/>
          <w:color w:val="auto"/>
          <w:sz w:val="24"/>
          <w:szCs w:val="24"/>
          <w:highlight w:val="none"/>
        </w:rPr>
      </w:pPr>
      <w:r>
        <w:rPr>
          <w:rFonts w:hint="eastAsia" w:hAnsi="宋体" w:cs="Times New Roman"/>
          <w:color w:val="auto"/>
          <w:sz w:val="24"/>
          <w:szCs w:val="24"/>
          <w:highlight w:val="none"/>
        </w:rPr>
        <w:t>1.甲方和乙方承诺对合同相关资料保密，在未取得另一方同意之前，不得向第三方披露或为履行合同以外的目的使用这些资料。</w:t>
      </w:r>
    </w:p>
    <w:p>
      <w:pPr>
        <w:pStyle w:val="11"/>
        <w:spacing w:line="360" w:lineRule="auto"/>
        <w:ind w:firstLine="480" w:firstLineChars="200"/>
        <w:outlineLvl w:val="0"/>
        <w:rPr>
          <w:rFonts w:hAnsi="宋体" w:cs="Times New Roman"/>
          <w:color w:val="auto"/>
          <w:sz w:val="24"/>
          <w:szCs w:val="24"/>
          <w:highlight w:val="none"/>
        </w:rPr>
      </w:pPr>
      <w:r>
        <w:rPr>
          <w:rFonts w:hint="eastAsia" w:hAnsi="宋体" w:cs="Times New Roman"/>
          <w:color w:val="auto"/>
          <w:sz w:val="24"/>
          <w:szCs w:val="24"/>
          <w:highlight w:val="none"/>
        </w:rPr>
        <w:t>2.乙方遵循相应职业道德对开发过程中涉及甲方的有关数据机密进行严格保密。</w:t>
      </w:r>
    </w:p>
    <w:p>
      <w:pPr>
        <w:pStyle w:val="11"/>
        <w:spacing w:line="360" w:lineRule="auto"/>
        <w:ind w:firstLine="480" w:firstLineChars="200"/>
        <w:outlineLvl w:val="0"/>
        <w:rPr>
          <w:rFonts w:hAnsi="宋体" w:cs="Times New Roman"/>
          <w:color w:val="auto"/>
          <w:sz w:val="24"/>
          <w:szCs w:val="24"/>
          <w:highlight w:val="none"/>
        </w:rPr>
      </w:pPr>
      <w:r>
        <w:rPr>
          <w:rFonts w:hint="eastAsia" w:hAnsi="宋体" w:cs="Times New Roman"/>
          <w:color w:val="auto"/>
          <w:sz w:val="24"/>
          <w:szCs w:val="24"/>
          <w:highlight w:val="none"/>
        </w:rPr>
        <w:t>3.一方在未得到另一方事先同意前，任何一方均不得发布、寄送与本合同有关之公告、新闻稿、通讯或通函〔除非法律或法规要求〕。</w:t>
      </w:r>
    </w:p>
    <w:p>
      <w:pPr>
        <w:pStyle w:val="11"/>
        <w:spacing w:line="360" w:lineRule="auto"/>
        <w:ind w:firstLine="480" w:firstLineChars="200"/>
        <w:outlineLvl w:val="0"/>
        <w:rPr>
          <w:rFonts w:hAnsi="宋体" w:cs="Times New Roman"/>
          <w:color w:val="auto"/>
          <w:sz w:val="24"/>
          <w:szCs w:val="24"/>
          <w:highlight w:val="none"/>
        </w:rPr>
      </w:pPr>
      <w:r>
        <w:rPr>
          <w:rFonts w:hint="eastAsia" w:hAnsi="宋体" w:cs="Times New Roman"/>
          <w:color w:val="auto"/>
          <w:sz w:val="24"/>
          <w:szCs w:val="24"/>
          <w:highlight w:val="none"/>
        </w:rPr>
        <w:t>4.合同终止后，该保密条款仍然有效。</w:t>
      </w:r>
    </w:p>
    <w:p>
      <w:pPr>
        <w:tabs>
          <w:tab w:val="left" w:pos="824"/>
        </w:tabs>
        <w:spacing w:line="460" w:lineRule="exact"/>
        <w:ind w:firstLine="482" w:firstLineChars="200"/>
        <w:rPr>
          <w:rFonts w:ascii="宋体" w:hAnsi="宋体"/>
          <w:b/>
          <w:color w:val="auto"/>
          <w:sz w:val="24"/>
          <w:highlight w:val="none"/>
        </w:rPr>
      </w:pPr>
      <w:r>
        <w:rPr>
          <w:rFonts w:hint="eastAsia" w:ascii="宋体" w:hAnsi="宋体"/>
          <w:b/>
          <w:bCs/>
          <w:color w:val="auto"/>
          <w:sz w:val="24"/>
          <w:highlight w:val="none"/>
        </w:rPr>
        <w:t>十一、</w:t>
      </w:r>
      <w:r>
        <w:rPr>
          <w:rFonts w:hint="eastAsia" w:ascii="宋体" w:hAnsi="宋体"/>
          <w:b/>
          <w:color w:val="auto"/>
          <w:sz w:val="24"/>
          <w:highlight w:val="none"/>
        </w:rPr>
        <w:t>不可抗力</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1.由于不可预见、不可避免、不可克服等不可抗力的原因，一方不能履行合同义务的，应当在不可抗力发生之日起</w:t>
      </w:r>
      <w:r>
        <w:rPr>
          <w:rFonts w:ascii="宋体" w:hAnsi="宋体"/>
          <w:color w:val="auto"/>
          <w:sz w:val="24"/>
          <w:highlight w:val="none"/>
          <w:u w:val="single"/>
        </w:rPr>
        <w:t xml:space="preserve">     </w:t>
      </w:r>
      <w:r>
        <w:rPr>
          <w:rFonts w:ascii="宋体" w:hAnsi="宋体"/>
          <w:color w:val="auto"/>
          <w:sz w:val="24"/>
          <w:highlight w:val="none"/>
        </w:rPr>
        <w:t>天内以书面形式通知对方，证明不可抗力事件的存在。</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2.不可抗力事件发生后，甲方和乙方应当积极寻求以合理的方式履行本合同。如不可抗力无法消除，致使合同目的无法实现的</w:t>
      </w:r>
      <w:r>
        <w:rPr>
          <w:rFonts w:hint="eastAsia" w:ascii="宋体" w:hAnsi="宋体"/>
          <w:color w:val="auto"/>
          <w:sz w:val="24"/>
          <w:highlight w:val="none"/>
        </w:rPr>
        <w:t>，允许延期履行或修订合同，并根据情况可部分或全部免于承担违约责任。</w:t>
      </w:r>
      <w:r>
        <w:rPr>
          <w:rFonts w:ascii="宋体" w:hAnsi="宋体"/>
          <w:color w:val="auto"/>
          <w:sz w:val="24"/>
          <w:highlight w:val="none"/>
        </w:rPr>
        <w:t>双方均有权解除合同，且均不互相索赔。</w:t>
      </w:r>
    </w:p>
    <w:p>
      <w:pPr>
        <w:tabs>
          <w:tab w:val="left" w:pos="824"/>
        </w:tabs>
        <w:spacing w:line="460" w:lineRule="exact"/>
        <w:ind w:firstLine="480" w:firstLineChars="200"/>
        <w:rPr>
          <w:color w:val="auto"/>
          <w:highlight w:val="none"/>
        </w:rPr>
      </w:pPr>
      <w:r>
        <w:rPr>
          <w:rFonts w:hint="eastAsia" w:ascii="宋体" w:hAnsi="宋体"/>
          <w:color w:val="auto"/>
          <w:sz w:val="24"/>
          <w:highlight w:val="none"/>
        </w:rPr>
        <w:t xml:space="preserve">3.除不可抗力事件，任何一方不得违反本合同条款。 </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十二、税费</w:t>
      </w:r>
    </w:p>
    <w:p>
      <w:pPr>
        <w:spacing w:line="460" w:lineRule="exact"/>
        <w:ind w:firstLine="480" w:firstLineChars="200"/>
        <w:rPr>
          <w:rFonts w:ascii="宋体"/>
          <w:color w:val="auto"/>
          <w:sz w:val="24"/>
          <w:highlight w:val="none"/>
        </w:rPr>
      </w:pPr>
      <w:r>
        <w:rPr>
          <w:rFonts w:hint="eastAsia" w:ascii="宋体" w:hAnsi="宋体"/>
          <w:color w:val="auto"/>
          <w:sz w:val="24"/>
          <w:highlight w:val="none"/>
        </w:rPr>
        <w:t>在中国境内、外发生的与本合同执行有关的一切税费均由乙方负担。</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十三、其它</w:t>
      </w:r>
    </w:p>
    <w:p>
      <w:pPr>
        <w:spacing w:line="460" w:lineRule="exact"/>
        <w:ind w:firstLine="480" w:firstLineChars="200"/>
        <w:rPr>
          <w:rFonts w:ascii="宋体"/>
          <w:b/>
          <w:color w:val="auto"/>
          <w:sz w:val="24"/>
          <w:highlight w:val="none"/>
        </w:rPr>
      </w:pPr>
      <w:r>
        <w:rPr>
          <w:rFonts w:hint="eastAsia" w:ascii="宋体" w:hAnsi="宋体"/>
          <w:color w:val="auto"/>
          <w:sz w:val="24"/>
          <w:highlight w:val="none"/>
        </w:rPr>
        <w:t>1.本合同所有附件、采购文件、</w:t>
      </w:r>
      <w:r>
        <w:rPr>
          <w:rFonts w:hint="eastAsia" w:ascii="宋体" w:hAnsi="宋体"/>
          <w:color w:val="auto"/>
          <w:sz w:val="24"/>
          <w:highlight w:val="none"/>
          <w:lang w:eastAsia="zh-CN"/>
        </w:rPr>
        <w:t>响应</w:t>
      </w:r>
      <w:r>
        <w:rPr>
          <w:rFonts w:hint="eastAsia" w:ascii="宋体" w:hAnsi="宋体"/>
          <w:color w:val="auto"/>
          <w:sz w:val="24"/>
          <w:highlight w:val="none"/>
        </w:rPr>
        <w:t>文件、</w:t>
      </w:r>
      <w:r>
        <w:rPr>
          <w:rFonts w:hint="eastAsia" w:ascii="宋体" w:hAnsi="宋体"/>
          <w:color w:val="auto"/>
          <w:sz w:val="24"/>
          <w:highlight w:val="none"/>
          <w:lang w:eastAsia="zh-CN"/>
        </w:rPr>
        <w:t>成交</w:t>
      </w:r>
      <w:r>
        <w:rPr>
          <w:rFonts w:hint="eastAsia" w:ascii="宋体" w:hAnsi="宋体"/>
          <w:color w:val="auto"/>
          <w:sz w:val="24"/>
          <w:highlight w:val="none"/>
        </w:rPr>
        <w:t>通知书均为合同的有效组成部分，与本合同具有同等法律效力，乙方除按本合同约定的履行合同义务外，还应按其提供的</w:t>
      </w:r>
      <w:r>
        <w:rPr>
          <w:rFonts w:hint="eastAsia" w:ascii="宋体" w:hAnsi="宋体"/>
          <w:color w:val="auto"/>
          <w:sz w:val="24"/>
          <w:highlight w:val="none"/>
          <w:lang w:eastAsia="zh-CN"/>
        </w:rPr>
        <w:t>响应</w:t>
      </w:r>
      <w:r>
        <w:rPr>
          <w:rFonts w:hint="eastAsia" w:ascii="宋体" w:hAnsi="宋体"/>
          <w:color w:val="auto"/>
          <w:sz w:val="24"/>
          <w:highlight w:val="none"/>
        </w:rPr>
        <w:t>文件中的承诺履行相关义务。</w:t>
      </w:r>
    </w:p>
    <w:p>
      <w:pPr>
        <w:spacing w:line="460" w:lineRule="exact"/>
        <w:ind w:firstLine="480" w:firstLineChars="200"/>
        <w:rPr>
          <w:rFonts w:ascii="宋体"/>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在执行本合同的过程中，所有经双方签署确认的文件（包括会议纪要、补充协议、往来信函）即成为本合同的有效组成部分。</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3.如一方地址、电话、传真号码有变更，应在变更当日内书面通知对方，否则，应承担相应责任。</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4.除甲方事先书面同意外，乙方不得部分或全部转让其应履行的合同项下的义务。</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十四、廉洁自律及其他条款</w:t>
      </w:r>
    </w:p>
    <w:p>
      <w:pPr>
        <w:spacing w:line="460" w:lineRule="exact"/>
        <w:ind w:firstLine="480" w:firstLineChars="200"/>
        <w:rPr>
          <w:rFonts w:ascii="宋体" w:hAnsi="宋体"/>
          <w:color w:val="auto"/>
          <w:sz w:val="24"/>
          <w:highlight w:val="none"/>
        </w:rPr>
      </w:pPr>
      <w:r>
        <w:rPr>
          <w:rFonts w:ascii="宋体" w:hAnsi="宋体"/>
          <w:color w:val="auto"/>
          <w:sz w:val="24"/>
          <w:highlight w:val="none"/>
        </w:rPr>
        <w:t>甲乙双方应自觉遵守廉洁自律制度，严禁商业贿赂行为。如有违反，按照国家法律法规及医院规章制度进行处理。</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十五、合同生效</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本合同在甲乙双方法人代表或其授权代表签字盖章后生效。</w:t>
      </w:r>
    </w:p>
    <w:p>
      <w:pPr>
        <w:spacing w:line="460" w:lineRule="exact"/>
        <w:ind w:firstLine="480" w:firstLineChars="200"/>
        <w:rPr>
          <w:rFonts w:ascii="宋体" w:hAnsi="宋体" w:cs="宋体"/>
          <w:color w:val="auto"/>
          <w:sz w:val="24"/>
          <w:highlight w:val="none"/>
        </w:rPr>
      </w:pPr>
      <w:r>
        <w:rPr>
          <w:rFonts w:hint="eastAsia" w:ascii="宋体" w:hAnsi="宋体"/>
          <w:color w:val="auto"/>
          <w:sz w:val="24"/>
          <w:highlight w:val="none"/>
        </w:rPr>
        <w:t>2.一式伍份，具有同等效力，甲方持肆份，乙方持壹份。</w:t>
      </w:r>
    </w:p>
    <w:p>
      <w:pPr>
        <w:spacing w:line="460" w:lineRule="exact"/>
        <w:ind w:left="5519" w:leftChars="228" w:hanging="5040" w:hangingChars="2100"/>
        <w:jc w:val="left"/>
        <w:rPr>
          <w:rFonts w:ascii="宋体"/>
          <w:color w:val="auto"/>
          <w:sz w:val="24"/>
          <w:highlight w:val="none"/>
        </w:rPr>
      </w:pPr>
      <w:r>
        <w:rPr>
          <w:rFonts w:hint="eastAsia" w:ascii="宋体" w:hAnsi="宋体" w:cs="宋体"/>
          <w:color w:val="auto"/>
          <w:sz w:val="24"/>
          <w:highlight w:val="none"/>
        </w:rPr>
        <w:t>甲方：惠州市第一妇幼保健院            乙方：</w:t>
      </w:r>
    </w:p>
    <w:p>
      <w:pPr>
        <w:spacing w:line="460" w:lineRule="exact"/>
        <w:ind w:firstLine="360" w:firstLineChars="150"/>
        <w:jc w:val="left"/>
        <w:rPr>
          <w:rFonts w:ascii="宋体"/>
          <w:color w:val="auto"/>
          <w:sz w:val="24"/>
          <w:highlight w:val="none"/>
        </w:rPr>
      </w:pPr>
      <w:r>
        <w:rPr>
          <w:rFonts w:hint="eastAsia" w:ascii="宋体"/>
          <w:color w:val="auto"/>
          <w:sz w:val="24"/>
          <w:highlight w:val="none"/>
        </w:rPr>
        <w:t>（20万及以上）法人代表或委托代表：    法人代表或委托代表：</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签约代表：                            签约代表：</w:t>
      </w:r>
    </w:p>
    <w:p>
      <w:pPr>
        <w:spacing w:line="460" w:lineRule="exact"/>
        <w:ind w:left="5519" w:leftChars="228" w:hanging="5040" w:hangingChars="2100"/>
        <w:jc w:val="left"/>
        <w:rPr>
          <w:rFonts w:ascii="宋体" w:hAnsi="宋体" w:cs="宋体"/>
          <w:color w:val="auto"/>
          <w:sz w:val="24"/>
          <w:highlight w:val="none"/>
        </w:rPr>
      </w:pPr>
      <w:r>
        <w:rPr>
          <w:rFonts w:hint="eastAsia" w:ascii="宋体" w:hAnsi="宋体" w:cs="宋体"/>
          <w:color w:val="auto"/>
          <w:sz w:val="24"/>
          <w:highlight w:val="none"/>
        </w:rPr>
        <w:t>地址：惠州市演达四路5号              地址：</w:t>
      </w:r>
    </w:p>
    <w:p>
      <w:pPr>
        <w:autoSpaceDE w:val="0"/>
        <w:autoSpaceDN w:val="0"/>
        <w:adjustRightInd w:val="0"/>
        <w:spacing w:line="460" w:lineRule="exact"/>
        <w:ind w:right="246" w:firstLine="480" w:firstLineChars="200"/>
        <w:rPr>
          <w:rFonts w:ascii="宋体" w:hAnsi="宋体" w:cs="宋体"/>
          <w:color w:val="auto"/>
          <w:sz w:val="24"/>
          <w:highlight w:val="none"/>
        </w:rPr>
      </w:pPr>
      <w:r>
        <w:rPr>
          <w:rFonts w:hint="eastAsia" w:ascii="宋体" w:hAnsi="宋体" w:cs="宋体"/>
          <w:color w:val="auto"/>
          <w:sz w:val="24"/>
          <w:highlight w:val="none"/>
        </w:rPr>
        <w:t xml:space="preserve">电话：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电话：</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传真： 0752-7806733                   传真：</w:t>
      </w:r>
    </w:p>
    <w:p>
      <w:pPr>
        <w:spacing w:line="4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日期：   年    月   日                日期：    年    月    日</w:t>
      </w:r>
    </w:p>
    <w:p>
      <w:pPr>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3"/>
        <w:numPr>
          <w:ilvl w:val="0"/>
          <w:numId w:val="0"/>
        </w:numPr>
        <w:jc w:val="left"/>
        <w:rPr>
          <w:rFonts w:hint="eastAsia"/>
          <w:color w:val="auto"/>
          <w:sz w:val="28"/>
          <w:szCs w:val="30"/>
          <w:highlight w:val="none"/>
        </w:rPr>
      </w:pPr>
    </w:p>
    <w:p>
      <w:pPr>
        <w:pStyle w:val="3"/>
        <w:numPr>
          <w:ilvl w:val="0"/>
          <w:numId w:val="0"/>
        </w:numPr>
        <w:jc w:val="left"/>
        <w:rPr>
          <w:rFonts w:hint="eastAsia"/>
          <w:color w:val="auto"/>
          <w:sz w:val="28"/>
          <w:szCs w:val="30"/>
          <w:highlight w:val="none"/>
        </w:rPr>
      </w:pPr>
    </w:p>
    <w:p>
      <w:pPr>
        <w:pStyle w:val="3"/>
        <w:numPr>
          <w:ilvl w:val="0"/>
          <w:numId w:val="0"/>
        </w:numPr>
        <w:jc w:val="left"/>
        <w:rPr>
          <w:rFonts w:hint="eastAsia"/>
          <w:color w:val="auto"/>
          <w:sz w:val="28"/>
          <w:szCs w:val="30"/>
          <w:highlight w:val="none"/>
        </w:rPr>
      </w:pPr>
    </w:p>
    <w:p>
      <w:pPr>
        <w:pStyle w:val="3"/>
        <w:numPr>
          <w:ilvl w:val="0"/>
          <w:numId w:val="0"/>
        </w:numPr>
        <w:jc w:val="left"/>
        <w:rPr>
          <w:rFonts w:hint="eastAsia"/>
          <w:color w:val="auto"/>
          <w:sz w:val="28"/>
          <w:szCs w:val="30"/>
          <w:highlight w:val="none"/>
        </w:rPr>
      </w:pPr>
    </w:p>
    <w:p>
      <w:pPr>
        <w:pStyle w:val="3"/>
        <w:numPr>
          <w:ilvl w:val="0"/>
          <w:numId w:val="0"/>
        </w:numPr>
        <w:jc w:val="left"/>
        <w:rPr>
          <w:color w:val="auto"/>
          <w:sz w:val="28"/>
          <w:szCs w:val="30"/>
          <w:highlight w:val="none"/>
        </w:rPr>
      </w:pPr>
      <w:r>
        <w:rPr>
          <w:rFonts w:hint="eastAsia"/>
          <w:color w:val="auto"/>
          <w:sz w:val="28"/>
          <w:szCs w:val="30"/>
          <w:highlight w:val="none"/>
        </w:rPr>
        <w:t>附件一：项目验收报告</w:t>
      </w:r>
    </w:p>
    <w:p>
      <w:pPr>
        <w:adjustRightInd w:val="0"/>
        <w:snapToGrid w:val="0"/>
        <w:spacing w:after="200"/>
        <w:jc w:val="center"/>
        <w:rPr>
          <w:rFonts w:ascii="宋体" w:hAnsi="宋体" w:eastAsia="微软雅黑"/>
          <w:b/>
          <w:bCs/>
          <w:color w:val="auto"/>
          <w:sz w:val="36"/>
          <w:szCs w:val="36"/>
          <w:highlight w:val="none"/>
        </w:rPr>
      </w:pPr>
      <w:r>
        <w:rPr>
          <w:rFonts w:hint="eastAsia" w:ascii="宋体" w:hAnsi="宋体" w:eastAsia="微软雅黑"/>
          <w:b/>
          <w:bCs/>
          <w:color w:val="auto"/>
          <w:sz w:val="36"/>
          <w:szCs w:val="36"/>
          <w:highlight w:val="none"/>
          <w:u w:val="single"/>
        </w:rPr>
        <w:t xml:space="preserve">        </w:t>
      </w:r>
      <w:r>
        <w:rPr>
          <w:rFonts w:hint="eastAsia" w:ascii="宋体" w:hAnsi="宋体" w:eastAsia="微软雅黑"/>
          <w:b/>
          <w:bCs/>
          <w:color w:val="auto"/>
          <w:sz w:val="36"/>
          <w:szCs w:val="36"/>
          <w:highlight w:val="none"/>
        </w:rPr>
        <w:t>项目验收报告</w:t>
      </w:r>
    </w:p>
    <w:p>
      <w:pPr>
        <w:adjustRightInd w:val="0"/>
        <w:snapToGrid w:val="0"/>
        <w:spacing w:after="200"/>
        <w:ind w:right="844"/>
        <w:jc w:val="center"/>
        <w:rPr>
          <w:rFonts w:ascii="宋体" w:hAnsi="宋体" w:eastAsia="微软雅黑"/>
          <w:b/>
          <w:bCs/>
          <w:color w:val="auto"/>
          <w:sz w:val="22"/>
          <w:szCs w:val="21"/>
          <w:highlight w:val="none"/>
        </w:rPr>
      </w:pPr>
      <w:r>
        <w:rPr>
          <w:rFonts w:hint="eastAsia" w:ascii="宋体" w:hAnsi="宋体" w:eastAsia="微软雅黑"/>
          <w:b/>
          <w:bCs/>
          <w:color w:val="auto"/>
          <w:sz w:val="22"/>
          <w:szCs w:val="21"/>
          <w:highlight w:val="none"/>
        </w:rPr>
        <w:t>年    月    日</w:t>
      </w:r>
    </w:p>
    <w:tbl>
      <w:tblPr>
        <w:tblStyle w:val="18"/>
        <w:tblW w:w="9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8"/>
        <w:gridCol w:w="1215"/>
        <w:gridCol w:w="4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甲方</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firstLine="2860" w:firstLineChars="130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合同号</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合同名称</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甲方项目负责人</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乙方项目负责人</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验收参加人员</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highlight w:val="none"/>
              </w:rPr>
            </w:pPr>
            <w:r>
              <w:rPr>
                <w:rFonts w:hint="eastAsia" w:ascii="宋体" w:hAnsi="宋体" w:eastAsia="微软雅黑"/>
                <w:color w:val="auto"/>
                <w:sz w:val="22"/>
                <w:szCs w:val="22"/>
                <w:highlight w:val="none"/>
              </w:rPr>
              <w:t>甲方：</w:t>
            </w:r>
          </w:p>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highlight w:val="none"/>
              </w:rPr>
            </w:pPr>
            <w:r>
              <w:rPr>
                <w:rFonts w:hint="eastAsia" w:ascii="宋体" w:hAnsi="宋体" w:eastAsia="微软雅黑"/>
                <w:color w:val="auto"/>
                <w:sz w:val="22"/>
                <w:szCs w:val="22"/>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主要完成工作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szCs w:val="22"/>
                <w:highlight w:val="none"/>
              </w:rPr>
            </w:pPr>
            <w:r>
              <w:rPr>
                <w:rFonts w:hint="eastAsia" w:ascii="宋体" w:hAnsi="宋体" w:eastAsia="微软雅黑"/>
                <w:color w:val="auto"/>
                <w:sz w:val="22"/>
                <w:szCs w:val="22"/>
                <w:highlight w:val="none"/>
              </w:rPr>
              <w:t>1.乙方协助甲方，完成项目入场前的软件、硬件准备工作。</w:t>
            </w:r>
          </w:p>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szCs w:val="22"/>
                <w:highlight w:val="none"/>
              </w:rPr>
            </w:pPr>
            <w:r>
              <w:rPr>
                <w:rFonts w:hint="eastAsia" w:ascii="宋体" w:hAnsi="宋体" w:eastAsia="微软雅黑"/>
                <w:color w:val="auto"/>
                <w:sz w:val="22"/>
                <w:szCs w:val="22"/>
                <w:highlight w:val="none"/>
              </w:rPr>
              <w:t>2.乙方系统经安装调试符合《销售合同》的要求。</w:t>
            </w:r>
          </w:p>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szCs w:val="22"/>
                <w:highlight w:val="none"/>
              </w:rPr>
            </w:pPr>
            <w:r>
              <w:rPr>
                <w:rFonts w:hint="eastAsia" w:ascii="宋体" w:hAnsi="宋体" w:eastAsia="微软雅黑"/>
                <w:color w:val="auto"/>
                <w:sz w:val="22"/>
                <w:szCs w:val="22"/>
                <w:highlight w:val="none"/>
              </w:rPr>
              <w:t>3.乙方完成甲方相关应用人员及维护人员的培训工作。</w:t>
            </w:r>
          </w:p>
          <w:p>
            <w:pPr>
              <w:keepNext w:val="0"/>
              <w:keepLines w:val="0"/>
              <w:suppressLineNumbers w:val="0"/>
              <w:adjustRightInd w:val="0"/>
              <w:snapToGrid w:val="0"/>
              <w:spacing w:before="0" w:beforeAutospacing="0" w:after="200" w:afterAutospacing="0"/>
              <w:ind w:left="0" w:right="0"/>
              <w:jc w:val="left"/>
              <w:rPr>
                <w:rFonts w:hint="default" w:ascii="宋体" w:hAnsi="宋体"/>
                <w:color w:val="auto"/>
                <w:szCs w:val="22"/>
                <w:highlight w:val="none"/>
              </w:rPr>
            </w:pPr>
            <w:r>
              <w:rPr>
                <w:rFonts w:hint="eastAsia" w:ascii="宋体" w:hAnsi="宋体" w:eastAsia="微软雅黑"/>
                <w:color w:val="auto"/>
                <w:sz w:val="22"/>
                <w:szCs w:val="22"/>
                <w:highlight w:val="none"/>
              </w:rPr>
              <w:t>4.乙方在项目撤场阶段与甲方信息科或临床科室项目负责人已完成相关文档资料移交。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甲方验收意见</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甲方代表签字（盖章）</w:t>
            </w:r>
          </w:p>
        </w:tc>
        <w:tc>
          <w:tcPr>
            <w:tcW w:w="4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乙方代表签字（盖章）</w:t>
            </w:r>
          </w:p>
        </w:tc>
      </w:tr>
    </w:tbl>
    <w:p>
      <w:pPr>
        <w:pStyle w:val="5"/>
        <w:ind w:firstLine="643"/>
        <w:rPr>
          <w:b/>
          <w:bCs/>
          <w:color w:val="auto"/>
          <w:sz w:val="32"/>
          <w:szCs w:val="32"/>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9"/>
        <w:rPr>
          <w:color w:val="auto"/>
          <w:highlight w:val="none"/>
        </w:rPr>
      </w:pP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第五部分  响应文件格式</w:t>
      </w: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p>
    <w:p>
      <w:pPr>
        <w:spacing w:line="360" w:lineRule="auto"/>
        <w:ind w:left="-930"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一、供应商应提供有效的公司资质或厂家资质、业务代表授权书、质量保证承诺书等。</w:t>
      </w:r>
    </w:p>
    <w:p>
      <w:pPr>
        <w:spacing w:line="360" w:lineRule="auto"/>
        <w:ind w:left="-930" w:firstLine="480"/>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w:t>
      </w:r>
      <w:r>
        <w:rPr>
          <w:rFonts w:hint="eastAsia" w:ascii="仿宋" w:hAnsi="仿宋" w:eastAsia="仿宋" w:cs="仿宋"/>
          <w:color w:val="auto"/>
          <w:sz w:val="24"/>
          <w:highlight w:val="none"/>
          <w:u w:val="single"/>
          <w:lang w:val="zh-CN"/>
        </w:rPr>
        <w:t>响应文件每页均应认真填写并加盖公章，包括附件，未盖章视为响应无效文件。所有页面必须清晰可分辨阅读，凡是有页面（含复印件）不清晰经专家讨论认为无法分辨的视为响应无效文件。</w:t>
      </w:r>
    </w:p>
    <w:p>
      <w:pPr>
        <w:spacing w:line="360" w:lineRule="auto"/>
        <w:ind w:left="-930" w:firstLine="480"/>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u w:val="single"/>
        </w:rPr>
        <w:t>响应供应商必须按照以下顺序进行响应书</w:t>
      </w:r>
      <w:r>
        <w:rPr>
          <w:rFonts w:hint="eastAsia" w:ascii="仿宋" w:hAnsi="仿宋" w:eastAsia="仿宋" w:cs="仿宋"/>
          <w:b/>
          <w:bCs/>
          <w:color w:val="auto"/>
          <w:sz w:val="24"/>
          <w:highlight w:val="none"/>
          <w:u w:val="single"/>
        </w:rPr>
        <w:t>编排装订（至少要简单装订成册，不得随意用回形针之类的别住）及盖章密封标记</w:t>
      </w:r>
      <w:r>
        <w:rPr>
          <w:rFonts w:hint="eastAsia" w:ascii="仿宋" w:hAnsi="仿宋" w:eastAsia="仿宋" w:cs="仿宋"/>
          <w:color w:val="auto"/>
          <w:sz w:val="24"/>
          <w:highlight w:val="none"/>
          <w:u w:val="single"/>
        </w:rPr>
        <w:t>，文件袋必须贴封条密封盖章，注明</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rPr>
        <w:t>，</w:t>
      </w:r>
      <w:r>
        <w:rPr>
          <w:rFonts w:hint="eastAsia" w:ascii="仿宋" w:hAnsi="仿宋" w:eastAsia="仿宋" w:cs="仿宋"/>
          <w:b/>
          <w:color w:val="auto"/>
          <w:sz w:val="24"/>
          <w:highlight w:val="none"/>
          <w:u w:val="single"/>
        </w:rPr>
        <w:t>一式</w:t>
      </w:r>
      <w:r>
        <w:rPr>
          <w:rFonts w:hint="eastAsia" w:ascii="仿宋" w:hAnsi="仿宋" w:eastAsia="仿宋" w:cs="仿宋"/>
          <w:b/>
          <w:color w:val="auto"/>
          <w:sz w:val="24"/>
          <w:highlight w:val="none"/>
          <w:u w:val="single"/>
          <w:lang w:eastAsia="zh-CN"/>
        </w:rPr>
        <w:t>两</w:t>
      </w:r>
      <w:r>
        <w:rPr>
          <w:rFonts w:hint="eastAsia" w:ascii="仿宋" w:hAnsi="仿宋" w:eastAsia="仿宋" w:cs="仿宋"/>
          <w:b/>
          <w:color w:val="auto"/>
          <w:sz w:val="24"/>
          <w:highlight w:val="none"/>
          <w:u w:val="single"/>
        </w:rPr>
        <w:t>份。</w:t>
      </w:r>
    </w:p>
    <w:p>
      <w:pPr>
        <w:spacing w:line="360" w:lineRule="auto"/>
        <w:ind w:left="-930"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四、响应文件散乱未装订者不予评审，按响应无效处理；响应供应商因响应文件未装订而造成评审中资料遗失影响评审结果的，后果自负。</w:t>
      </w: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响应文件格式如下：</w:t>
      </w:r>
    </w:p>
    <w:p>
      <w:pPr>
        <w:pStyle w:val="11"/>
        <w:adjustRightInd w:val="0"/>
        <w:snapToGrid w:val="0"/>
        <w:spacing w:line="360" w:lineRule="auto"/>
        <w:jc w:val="center"/>
        <w:rPr>
          <w:rFonts w:hint="eastAsia" w:ascii="仿宋" w:hAnsi="仿宋" w:eastAsia="仿宋" w:cs="仿宋"/>
          <w:b/>
          <w:color w:val="auto"/>
          <w:kern w:val="0"/>
          <w:sz w:val="72"/>
          <w:szCs w:val="72"/>
          <w:highlight w:val="none"/>
        </w:rPr>
      </w:pPr>
    </w:p>
    <w:p>
      <w:pPr>
        <w:pStyle w:val="11"/>
        <w:adjustRightInd w:val="0"/>
        <w:snapToGrid w:val="0"/>
        <w:spacing w:line="360" w:lineRule="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pPr>
        <w:pStyle w:val="11"/>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rPr>
        <w:t>响 应 文 件</w:t>
      </w:r>
    </w:p>
    <w:p>
      <w:pPr>
        <w:pStyle w:val="11"/>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（正本/副本）</w:t>
      </w:r>
    </w:p>
    <w:p>
      <w:pPr>
        <w:pStyle w:val="11"/>
        <w:adjustRightInd w:val="0"/>
        <w:snapToGrid w:val="0"/>
        <w:spacing w:line="360" w:lineRule="auto"/>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惠州市第一妇幼保健院</w:t>
      </w:r>
      <w:r>
        <w:rPr>
          <w:rFonts w:hint="eastAsia" w:ascii="仿宋" w:hAnsi="仿宋" w:eastAsia="仿宋" w:cs="仿宋"/>
          <w:b/>
          <w:color w:val="auto"/>
          <w:sz w:val="28"/>
          <w:szCs w:val="28"/>
          <w:highlight w:val="none"/>
        </w:rPr>
        <w:t>院内比选）</w:t>
      </w:r>
    </w:p>
    <w:p>
      <w:pPr>
        <w:pStyle w:val="11"/>
        <w:spacing w:line="360" w:lineRule="auto"/>
        <w:rPr>
          <w:rFonts w:hint="eastAsia" w:ascii="仿宋" w:hAnsi="仿宋" w:eastAsia="仿宋" w:cs="仿宋"/>
          <w:b/>
          <w:color w:val="auto"/>
          <w:sz w:val="28"/>
          <w:szCs w:val="28"/>
          <w:highlight w:val="none"/>
        </w:rPr>
      </w:pPr>
    </w:p>
    <w:p>
      <w:pPr>
        <w:pStyle w:val="11"/>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 xml:space="preserve">    项目编号：</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项目名称： </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 xml:space="preserve">响应供应商：                              </w:t>
      </w:r>
      <w:r>
        <w:rPr>
          <w:rFonts w:hint="eastAsia" w:ascii="仿宋" w:hAnsi="仿宋" w:eastAsia="仿宋" w:cs="仿宋"/>
          <w:b/>
          <w:color w:val="auto"/>
          <w:kern w:val="0"/>
          <w:sz w:val="24"/>
          <w:szCs w:val="24"/>
          <w:highlight w:val="none"/>
          <w:lang w:eastAsia="zh-CN"/>
        </w:rPr>
        <w:t>盖章</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日      期：</w:t>
      </w:r>
    </w:p>
    <w:p>
      <w:pPr>
        <w:pStyle w:val="11"/>
        <w:adjustRightInd w:val="0"/>
        <w:snapToGrid w:val="0"/>
        <w:spacing w:line="440" w:lineRule="exact"/>
        <w:rPr>
          <w:rFonts w:hint="eastAsia"/>
          <w:color w:val="auto"/>
          <w:highlight w:val="none"/>
        </w:rPr>
      </w:pPr>
      <w:r>
        <w:rPr>
          <w:color w:val="auto"/>
          <w:highlight w:val="none"/>
        </w:rPr>
        <w:br w:type="page"/>
      </w:r>
      <w:r>
        <w:rPr>
          <w:rFonts w:hint="eastAsia" w:ascii="仿宋" w:hAnsi="仿宋" w:eastAsia="仿宋" w:cs="仿宋"/>
          <w:b/>
          <w:bCs/>
          <w:color w:val="auto"/>
          <w:sz w:val="28"/>
          <w:highlight w:val="none"/>
        </w:rPr>
        <w:t>1 资格性/符合性自查表</w:t>
      </w:r>
    </w:p>
    <w:tbl>
      <w:tblPr>
        <w:tblStyle w:val="18"/>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7"/>
        <w:gridCol w:w="4179"/>
        <w:gridCol w:w="1849"/>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gridSpan w:val="2"/>
            <w:noWrap w:val="0"/>
            <w:vAlign w:val="top"/>
          </w:tcPr>
          <w:p>
            <w:pPr>
              <w:keepNext w:val="0"/>
              <w:keepLines w:val="0"/>
              <w:suppressLineNumbers w:val="0"/>
              <w:spacing w:before="0" w:beforeAutospacing="0" w:after="0" w:afterAutospacing="0"/>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417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采购文件要求</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自查结论</w:t>
            </w:r>
          </w:p>
        </w:tc>
        <w:tc>
          <w:tcPr>
            <w:tcW w:w="1204"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846" w:type="dxa"/>
            <w:vMerge w:val="restart"/>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rPr>
              <w:t>资格性审查</w:t>
            </w: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至今任意一年经审计的审计报告复印件（包含审计报告中所涉及的财务报表和报表附注）；或②</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人内部的财务报表复印件（新成立公司提供成立至今的月或季度财务报表复印件）；或③截至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w:t>
            </w:r>
            <w:r>
              <w:rPr>
                <w:rFonts w:hint="eastAsia" w:ascii="仿宋" w:hAnsi="仿宋" w:eastAsia="仿宋" w:cs="仿宋"/>
                <w:color w:val="auto"/>
                <w:highlight w:val="none"/>
                <w:lang w:eastAsia="zh-CN"/>
              </w:rPr>
              <w:t>或书面声明</w:t>
            </w:r>
            <w:r>
              <w:rPr>
                <w:rFonts w:hint="eastAsia" w:ascii="仿宋" w:hAnsi="仿宋" w:eastAsia="仿宋" w:cs="仿宋"/>
                <w:color w:val="auto"/>
                <w:highlight w:val="none"/>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履行合同所必需的设备和专业技术能力的证明材料或书面声明；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参加政府采购活动前3年内在经营活动中没有重大违法记录的书面声明。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7.信用记录</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8.控股关系</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9.不得参加本项目情况</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10.联合体</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11.落实政府采购政策需满足的资格要求</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本项目是专门面向中小企业采购的项目，供应商应为中小微企业。（提供《中小企业声明函》,具体格式文件见比选文件</w:t>
            </w:r>
            <w:r>
              <w:rPr>
                <w:rFonts w:hint="eastAsia" w:ascii="仿宋" w:hAnsi="仿宋" w:eastAsia="仿宋" w:cs="仿宋"/>
                <w:b/>
                <w:bCs/>
                <w:color w:val="auto"/>
                <w:szCs w:val="21"/>
                <w:highlight w:val="none"/>
                <w:lang w:eastAsia="zh-CN"/>
              </w:rPr>
              <w:t>P</w:t>
            </w:r>
            <w:r>
              <w:rPr>
                <w:rFonts w:hint="eastAsia" w:ascii="仿宋" w:hAnsi="仿宋" w:eastAsia="仿宋" w:cs="仿宋"/>
                <w:b/>
                <w:bCs/>
                <w:color w:val="auto"/>
                <w:szCs w:val="21"/>
                <w:highlight w:val="none"/>
                <w:lang w:val="en-US" w:eastAsia="zh-CN"/>
              </w:rPr>
              <w:t>52</w:t>
            </w:r>
            <w:r>
              <w:rPr>
                <w:rFonts w:hint="eastAsia" w:ascii="仿宋" w:hAnsi="仿宋" w:eastAsia="仿宋" w:cs="仿宋"/>
                <w:color w:val="auto"/>
                <w:szCs w:val="21"/>
                <w:highlight w:val="none"/>
                <w:lang w:eastAsia="zh-CN"/>
              </w:rPr>
              <w:t>中小企业声明函，未按要求提供声明函的将导致响应无效）。</w:t>
            </w:r>
            <w:r>
              <w:rPr>
                <w:rFonts w:hint="eastAsia" w:ascii="仿宋" w:hAnsi="仿宋" w:eastAsia="仿宋" w:cs="仿宋"/>
                <w:color w:val="auto"/>
                <w:szCs w:val="21"/>
                <w:highlight w:val="none"/>
              </w:rPr>
              <w:t>本项目中小企业划分标准所属行业为</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软件和信息技术服务业。</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12.报名</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已在医院办公室报名。</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6"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color w:val="auto"/>
                <w:highlight w:val="none"/>
              </w:rPr>
            </w:pPr>
            <w:r>
              <w:rPr>
                <w:rFonts w:hint="eastAsia" w:ascii="仿宋" w:hAnsi="仿宋" w:eastAsia="仿宋" w:cs="仿宋"/>
                <w:color w:val="auto"/>
                <w:szCs w:val="21"/>
                <w:highlight w:val="none"/>
              </w:rPr>
              <w:t>符合性审查</w:t>
            </w: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4179" w:type="dxa"/>
            <w:noWrap w:val="0"/>
            <w:vAlign w:val="center"/>
          </w:tcPr>
          <w:p>
            <w:pPr>
              <w:keepNext w:val="0"/>
              <w:keepLines w:val="0"/>
              <w:suppressLineNumbers w:val="0"/>
              <w:spacing w:before="0" w:beforeAutospacing="0" w:after="0" w:afterAutospacing="0" w:line="240" w:lineRule="auto"/>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4179"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color w:val="auto"/>
                <w:highlight w:val="none"/>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4179"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实质性（“★”项）商务条款是否全部完全响应；</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4179"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实质性（“★”项）技术要求条款是否全部完全响应；</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4179"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4179"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按有关法律、法规、规章和比选文件中规定的其他无效响应情形。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bl>
    <w:p>
      <w:pPr>
        <w:rPr>
          <w:rFonts w:hint="eastAsia"/>
          <w:color w:val="auto"/>
          <w:highlight w:val="none"/>
        </w:rPr>
      </w:pPr>
    </w:p>
    <w:p>
      <w:pPr>
        <w:pStyle w:val="8"/>
        <w:spacing w:line="360" w:lineRule="exact"/>
        <w:ind w:firstLine="56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注：以上材料将作为响应供应商</w:t>
      </w:r>
      <w:r>
        <w:rPr>
          <w:rFonts w:hint="eastAsia" w:ascii="仿宋" w:hAnsi="仿宋" w:eastAsia="仿宋" w:cs="仿宋"/>
          <w:color w:val="auto"/>
          <w:sz w:val="24"/>
          <w:szCs w:val="24"/>
          <w:highlight w:val="none"/>
          <w:lang w:val="en-US" w:eastAsia="zh-CN"/>
        </w:rPr>
        <w:t>资格性和符合性</w:t>
      </w:r>
      <w:r>
        <w:rPr>
          <w:rFonts w:hint="eastAsia" w:ascii="仿宋" w:hAnsi="仿宋" w:eastAsia="仿宋" w:cs="仿宋"/>
          <w:color w:val="auto"/>
          <w:sz w:val="24"/>
          <w:szCs w:val="24"/>
          <w:highlight w:val="none"/>
        </w:rPr>
        <w:t>审核的重要内容之一，响应供应商必须严格按照其内容及要求在响应文件中对应序列如实提供，对缺漏和不符合项将会直接导致响应无效！在对应的□打“√”，并标注页码。</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adjustRightInd w:val="0"/>
        <w:snapToGrid w:val="0"/>
        <w:spacing w:line="300" w:lineRule="auto"/>
        <w:rPr>
          <w:rFonts w:hint="eastAsia" w:ascii="仿宋" w:hAnsi="仿宋" w:eastAsia="仿宋" w:cs="仿宋"/>
          <w:color w:val="auto"/>
          <w:sz w:val="24"/>
          <w:highlight w:val="none"/>
        </w:rPr>
      </w:pPr>
    </w:p>
    <w:p>
      <w:pPr>
        <w:pStyle w:val="11"/>
        <w:adjustRightInd w:val="0"/>
        <w:snapToGrid w:val="0"/>
        <w:spacing w:line="440" w:lineRule="exact"/>
        <w:rPr>
          <w:rFonts w:hint="eastAsia" w:ascii="仿宋" w:hAnsi="仿宋" w:eastAsia="仿宋" w:cs="仿宋"/>
          <w:b/>
          <w:bCs/>
          <w:color w:val="auto"/>
          <w:sz w:val="28"/>
          <w:highlight w:val="none"/>
        </w:rPr>
      </w:pPr>
      <w:r>
        <w:rPr>
          <w:rFonts w:ascii="仿宋" w:hAnsi="仿宋" w:eastAsia="仿宋" w:cs="仿宋"/>
          <w:b/>
          <w:bCs/>
          <w:color w:val="auto"/>
          <w:sz w:val="28"/>
          <w:highlight w:val="none"/>
        </w:rPr>
        <w:br w:type="page"/>
      </w:r>
      <w:r>
        <w:rPr>
          <w:rFonts w:hint="eastAsia" w:ascii="仿宋" w:hAnsi="仿宋" w:eastAsia="仿宋" w:cs="仿宋"/>
          <w:b/>
          <w:bCs/>
          <w:color w:val="auto"/>
          <w:sz w:val="28"/>
          <w:highlight w:val="none"/>
        </w:rPr>
        <w:t>2 评审项目响应资料表</w:t>
      </w:r>
    </w:p>
    <w:tbl>
      <w:tblPr>
        <w:tblStyle w:val="18"/>
        <w:tblW w:w="8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32"/>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评审分项</w:t>
            </w:r>
          </w:p>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（评分标准）</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评审内容</w:t>
            </w:r>
          </w:p>
        </w:tc>
        <w:tc>
          <w:tcPr>
            <w:tcW w:w="1535" w:type="dxa"/>
            <w:noWrap w:val="0"/>
            <w:vAlign w:val="center"/>
          </w:tcPr>
          <w:p>
            <w:pPr>
              <w:pStyle w:val="24"/>
              <w:keepNext w:val="0"/>
              <w:keepLines w:val="0"/>
              <w:widowControl/>
              <w:suppressLineNumbers w:val="0"/>
              <w:adjustRightInd/>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对“技术标准与要求”的响应程度</w:t>
            </w:r>
          </w:p>
        </w:tc>
        <w:tc>
          <w:tcPr>
            <w:tcW w:w="5232"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对用户服务需求中带▲号的响应程度进行评分：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完全满足带▲号的一般技术参数，得</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有一项带▲号条款负偏离，得</w:t>
            </w:r>
            <w:r>
              <w:rPr>
                <w:rFonts w:hint="eastAsia" w:ascii="仿宋" w:hAnsi="仿宋" w:eastAsia="仿宋" w:cs="仿宋"/>
                <w:color w:val="auto"/>
                <w:sz w:val="21"/>
                <w:szCs w:val="21"/>
                <w:highlight w:val="none"/>
                <w:lang w:val="en-US" w:eastAsia="zh-CN"/>
              </w:rPr>
              <w:t>27</w:t>
            </w:r>
            <w:r>
              <w:rPr>
                <w:rFonts w:hint="eastAsia" w:ascii="仿宋" w:hAnsi="仿宋" w:eastAsia="仿宋" w:cs="仿宋"/>
                <w:color w:val="auto"/>
                <w:sz w:val="21"/>
                <w:szCs w:val="21"/>
                <w:highlight w:val="none"/>
                <w:lang w:eastAsia="zh-CN"/>
              </w:rPr>
              <w:t xml:space="preserve">分； </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有二项带▲号条款负偏离，得</w:t>
            </w:r>
            <w:r>
              <w:rPr>
                <w:rFonts w:hint="eastAsia" w:ascii="仿宋" w:hAnsi="仿宋" w:eastAsia="仿宋" w:cs="仿宋"/>
                <w:color w:val="auto"/>
                <w:sz w:val="21"/>
                <w:szCs w:val="21"/>
                <w:highlight w:val="none"/>
                <w:lang w:val="en-US" w:eastAsia="zh-CN"/>
              </w:rPr>
              <w:t>24</w:t>
            </w:r>
            <w:r>
              <w:rPr>
                <w:rFonts w:hint="eastAsia" w:ascii="仿宋" w:hAnsi="仿宋" w:eastAsia="仿宋" w:cs="仿宋"/>
                <w:color w:val="auto"/>
                <w:sz w:val="21"/>
                <w:szCs w:val="21"/>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以此类推，当带▲号条款负偏离达到</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eastAsia="zh-CN"/>
              </w:rPr>
              <w:t>项（含）以上时，视为严重偏离此评分项不得分。</w:t>
            </w:r>
          </w:p>
          <w:p>
            <w:pPr>
              <w:keepNext w:val="0"/>
              <w:keepLines w:val="0"/>
              <w:widowControl/>
              <w:spacing w:before="0" w:after="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sz w:val="21"/>
                <w:szCs w:val="21"/>
                <w:highlight w:val="none"/>
                <w:lang w:eastAsia="zh-CN"/>
              </w:rPr>
              <w:t>注：在每项带“▲”号的技术条款中，若要求提供佐证材料的则须按要求提供，未按采购文件要求提供证明材料的技术参数，以响应文件格式技术和服务要求响应表为准。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对“技术标准与要求”的响应程度</w:t>
            </w:r>
          </w:p>
        </w:tc>
        <w:tc>
          <w:tcPr>
            <w:tcW w:w="5232" w:type="dxa"/>
            <w:noWrap w:val="0"/>
            <w:vAlign w:val="center"/>
          </w:tcPr>
          <w:p>
            <w:pPr>
              <w:keepNext w:val="0"/>
              <w:keepLines w:val="0"/>
              <w:widowControl/>
              <w:spacing w:before="0" w:after="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完全满足技术参数要求中不带▲号的一般技术参数，得</w:t>
            </w: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lang w:eastAsia="zh-CN"/>
              </w:rPr>
              <w:t>分；有一项不带▲号条款负偏离，得</w:t>
            </w:r>
            <w:r>
              <w:rPr>
                <w:rFonts w:hint="eastAsia" w:ascii="仿宋" w:hAnsi="仿宋" w:eastAsia="仿宋" w:cs="仿宋"/>
                <w:color w:val="auto"/>
                <w:sz w:val="21"/>
                <w:szCs w:val="21"/>
                <w:highlight w:val="none"/>
                <w:lang w:val="en-US" w:eastAsia="zh-CN"/>
              </w:rPr>
              <w:t>14</w:t>
            </w:r>
            <w:r>
              <w:rPr>
                <w:rFonts w:hint="eastAsia" w:ascii="仿宋" w:hAnsi="仿宋" w:eastAsia="仿宋" w:cs="仿宋"/>
                <w:color w:val="auto"/>
                <w:sz w:val="21"/>
                <w:szCs w:val="21"/>
                <w:highlight w:val="none"/>
                <w:lang w:eastAsia="zh-CN"/>
              </w:rPr>
              <w:t>分；有二项不带▲号条款负偏离，得</w:t>
            </w:r>
            <w:r>
              <w:rPr>
                <w:rFonts w:hint="eastAsia" w:ascii="仿宋" w:hAnsi="仿宋" w:eastAsia="仿宋" w:cs="仿宋"/>
                <w:color w:val="auto"/>
                <w:sz w:val="21"/>
                <w:szCs w:val="21"/>
                <w:highlight w:val="none"/>
                <w:lang w:val="en-US" w:eastAsia="zh-CN"/>
              </w:rPr>
              <w:t>13</w:t>
            </w:r>
            <w:r>
              <w:rPr>
                <w:rFonts w:hint="eastAsia" w:ascii="仿宋" w:hAnsi="仿宋" w:eastAsia="仿宋" w:cs="仿宋"/>
                <w:color w:val="auto"/>
                <w:sz w:val="21"/>
                <w:szCs w:val="21"/>
                <w:highlight w:val="none"/>
                <w:lang w:eastAsia="zh-CN"/>
              </w:rPr>
              <w:t>分；有三项不带▲号条款负偏离，得</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lang w:eastAsia="zh-CN"/>
              </w:rPr>
              <w:t>分；以此类推，当不带▲号条款负偏离达到</w:t>
            </w: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lang w:eastAsia="zh-CN"/>
              </w:rPr>
              <w:t>项（含）以上时，视为严重偏离此评分项不得分。</w:t>
            </w:r>
          </w:p>
          <w:p>
            <w:pPr>
              <w:keepNext w:val="0"/>
              <w:keepLines w:val="0"/>
              <w:widowControl/>
              <w:spacing w:before="0" w:after="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sz w:val="21"/>
                <w:szCs w:val="21"/>
                <w:highlight w:val="none"/>
                <w:lang w:eastAsia="zh-CN"/>
              </w:rPr>
              <w:t>注：采购文件未要求提供证明材料的技术参数，以响应文件格式技术要求响应表为准。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项目服务方案</w:t>
            </w:r>
          </w:p>
        </w:tc>
        <w:tc>
          <w:tcPr>
            <w:tcW w:w="5232"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根据响应供应商所提供的技术方案内容进行评价：</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1.方案详细周全、科学合理、针对性强的，得3分；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2.方案基本合理、清晰可行的，得2分；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3.方案较简略、针对性不强的，得1分；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4.未提供方案的，得0分。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企业技术和服务保障实力</w:t>
            </w:r>
          </w:p>
        </w:tc>
        <w:tc>
          <w:tcPr>
            <w:tcW w:w="5232"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响应供应商具备以下有效证书的，每提供一项得2分，最高得6分。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（1）具有质量管理体系认证证书；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（2）具有环境管理体系认证证书；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（3）具有职业健康安全管理体系认证证书。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注：响应供应商需提供证书扫描件及在全国认证认可信息公共服务平台上对证书的查询结果截图为证明材料，并加盖响应供应商公章，否则不得分。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履约能力</w:t>
            </w:r>
          </w:p>
        </w:tc>
        <w:tc>
          <w:tcPr>
            <w:tcW w:w="5232"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根据响应供应商为本项目投入的项目团队、人员构成、分工、等各方面进行综合评比：</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1.人员岗位职责明确、技术服务团队专业结构合理、人员岗位计划安排合理的，得5分；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2.人员岗位职责较明确、技术服务团队专业结构较合理、人员岗位计划安排较合理，得3分。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人员岗位职责基本明确、技术服务团队专业结构基本合理、人员岗位计划安排基本合理，得1分。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拟投入项目团队人员</w:t>
            </w:r>
          </w:p>
        </w:tc>
        <w:tc>
          <w:tcPr>
            <w:tcW w:w="5232"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根据各响应供应商针对本项目安排的人员进行评分：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项目团队成员具有系统集成项目管理工程师或数据库管理工程师证书，每提供1个得2.5分，此项最多得5分。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注：响应供应商须提供比选截止时间半年内缴纳的社保明细（若公司成立未到半年，按公司成立实际时间提供实），并由公司盖章；提供具有人力资源和社会保障部门颁发的工程师职称证书复印件作为佐证材料，无提供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售后服务方案</w:t>
            </w:r>
          </w:p>
        </w:tc>
        <w:tc>
          <w:tcPr>
            <w:tcW w:w="5232"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根据各响应供应商提供的售后服务方案（包括质保期、维护保养方案、响应的及时性、安排的合理性等）是否完善具体，各阶段服务计划是否详尽进行综合评审：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1.方案详细周全、科学合理、针对性强的，得5分；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2.方案基本合理、清晰可行的，得3分；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3.方案较简略、针对性不强的，得1分；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4.未提供方案的，得0分。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培训方案</w:t>
            </w:r>
          </w:p>
        </w:tc>
        <w:tc>
          <w:tcPr>
            <w:tcW w:w="5232"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响应供应商能够针对本次项目提供出完善的培训体系及培训方案，能够为采购人提供专业的培训。</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1.培训方案详细，可操作性强，得5分；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2.培训方案较详细，有一定的操作性，得3分；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3.培训方案较粗略，可操作性不强，得1分；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4.无提供不得分。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同类项目业绩</w:t>
            </w:r>
          </w:p>
        </w:tc>
        <w:tc>
          <w:tcPr>
            <w:tcW w:w="5232"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响应供应商提供2022年1月1日至今（以签订合同时间为准）承担过的同类业绩情况进行评分，提供一个得2分，满分6分。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注：同类业绩证明文件是中标/成交通知书</w:t>
            </w:r>
            <w:r>
              <w:rPr>
                <w:rFonts w:hint="eastAsia" w:ascii="仿宋" w:hAnsi="仿宋" w:eastAsia="仿宋" w:cs="仿宋"/>
                <w:color w:val="auto"/>
                <w:kern w:val="0"/>
                <w:sz w:val="21"/>
                <w:szCs w:val="21"/>
                <w:highlight w:val="none"/>
                <w:lang w:eastAsia="zh-CN"/>
              </w:rPr>
              <w:t>或</w:t>
            </w:r>
            <w:r>
              <w:rPr>
                <w:rFonts w:hint="eastAsia" w:ascii="仿宋" w:hAnsi="仿宋" w:eastAsia="仿宋" w:cs="仿宋"/>
                <w:color w:val="auto"/>
                <w:kern w:val="0"/>
                <w:sz w:val="21"/>
                <w:szCs w:val="21"/>
                <w:highlight w:val="none"/>
              </w:rPr>
              <w:t>合同关键页的复印件或扫描件（合同关键页是指包括：①能显示服务内容等相关信息；②签订合同双方的单位名称、合同项目名称；③签订合同双方的签章、盖章及签订日期），无提供不得分。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报价得分</w:t>
            </w:r>
          </w:p>
        </w:tc>
        <w:tc>
          <w:tcPr>
            <w:tcW w:w="5232"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报价得分＝（</w:t>
            </w:r>
            <w:r>
              <w:rPr>
                <w:rFonts w:hint="eastAsia" w:ascii="仿宋" w:hAnsi="仿宋" w:eastAsia="仿宋" w:cs="仿宋"/>
                <w:color w:val="auto"/>
                <w:kern w:val="0"/>
                <w:sz w:val="21"/>
                <w:szCs w:val="21"/>
                <w:highlight w:val="none"/>
                <w:lang w:eastAsia="zh-CN"/>
              </w:rPr>
              <w:t>评审</w:t>
            </w:r>
            <w:r>
              <w:rPr>
                <w:rFonts w:hint="eastAsia" w:ascii="仿宋" w:hAnsi="仿宋" w:eastAsia="仿宋" w:cs="仿宋"/>
                <w:color w:val="auto"/>
                <w:kern w:val="0"/>
                <w:sz w:val="21"/>
                <w:szCs w:val="21"/>
                <w:highlight w:val="none"/>
              </w:rPr>
              <w:t>基准价/</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报价）×价格分值</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【注：满足</w:t>
            </w:r>
            <w:r>
              <w:rPr>
                <w:rFonts w:hint="eastAsia" w:ascii="仿宋" w:hAnsi="仿宋" w:eastAsia="仿宋" w:cs="仿宋"/>
                <w:color w:val="auto"/>
                <w:kern w:val="0"/>
                <w:sz w:val="21"/>
                <w:szCs w:val="21"/>
                <w:highlight w:val="none"/>
                <w:lang w:eastAsia="zh-CN"/>
              </w:rPr>
              <w:t>比选</w:t>
            </w:r>
            <w:r>
              <w:rPr>
                <w:rFonts w:hint="eastAsia" w:ascii="仿宋" w:hAnsi="仿宋" w:eastAsia="仿宋" w:cs="仿宋"/>
                <w:color w:val="auto"/>
                <w:kern w:val="0"/>
                <w:sz w:val="21"/>
                <w:szCs w:val="21"/>
                <w:highlight w:val="none"/>
              </w:rPr>
              <w:t>文件要求且</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价格最低的</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报价为</w:t>
            </w:r>
            <w:r>
              <w:rPr>
                <w:rFonts w:hint="eastAsia" w:ascii="仿宋" w:hAnsi="仿宋" w:eastAsia="仿宋" w:cs="仿宋"/>
                <w:color w:val="auto"/>
                <w:kern w:val="0"/>
                <w:sz w:val="21"/>
                <w:szCs w:val="21"/>
                <w:highlight w:val="none"/>
                <w:lang w:eastAsia="zh-CN"/>
              </w:rPr>
              <w:t>评审</w:t>
            </w:r>
            <w:r>
              <w:rPr>
                <w:rFonts w:hint="eastAsia" w:ascii="仿宋" w:hAnsi="仿宋" w:eastAsia="仿宋" w:cs="仿宋"/>
                <w:color w:val="auto"/>
                <w:kern w:val="0"/>
                <w:sz w:val="21"/>
                <w:szCs w:val="21"/>
                <w:highlight w:val="none"/>
              </w:rPr>
              <w:t>基准价。】最低报价不是</w:t>
            </w:r>
            <w:r>
              <w:rPr>
                <w:rFonts w:hint="eastAsia" w:ascii="仿宋" w:hAnsi="仿宋" w:eastAsia="仿宋" w:cs="仿宋"/>
                <w:color w:val="auto"/>
                <w:kern w:val="0"/>
                <w:sz w:val="21"/>
                <w:szCs w:val="21"/>
                <w:highlight w:val="none"/>
                <w:lang w:eastAsia="zh-CN"/>
              </w:rPr>
              <w:t>成交</w:t>
            </w:r>
            <w:r>
              <w:rPr>
                <w:rFonts w:hint="eastAsia" w:ascii="仿宋" w:hAnsi="仿宋" w:eastAsia="仿宋" w:cs="仿宋"/>
                <w:color w:val="auto"/>
                <w:kern w:val="0"/>
                <w:sz w:val="21"/>
                <w:szCs w:val="21"/>
                <w:highlight w:val="none"/>
              </w:rPr>
              <w:t>的唯一依据。因落实政府采购政策进行价格调整的，以调整后的价格计算</w:t>
            </w:r>
            <w:r>
              <w:rPr>
                <w:rFonts w:hint="eastAsia" w:ascii="仿宋" w:hAnsi="仿宋" w:eastAsia="仿宋" w:cs="仿宋"/>
                <w:color w:val="auto"/>
                <w:kern w:val="0"/>
                <w:sz w:val="21"/>
                <w:szCs w:val="21"/>
                <w:highlight w:val="none"/>
                <w:lang w:eastAsia="zh-CN"/>
              </w:rPr>
              <w:t>评审</w:t>
            </w:r>
            <w:r>
              <w:rPr>
                <w:rFonts w:hint="eastAsia" w:ascii="仿宋" w:hAnsi="仿宋" w:eastAsia="仿宋" w:cs="仿宋"/>
                <w:color w:val="auto"/>
                <w:kern w:val="0"/>
                <w:sz w:val="21"/>
                <w:szCs w:val="21"/>
                <w:highlight w:val="none"/>
              </w:rPr>
              <w:t>基准价和</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w:t>
            </w:r>
          </w:p>
        </w:tc>
        <w:tc>
          <w:tcPr>
            <w:tcW w:w="1535" w:type="dxa"/>
            <w:noWrap w:val="0"/>
            <w:vAlign w:val="center"/>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见响应文件第（      ）页</w:t>
            </w:r>
          </w:p>
        </w:tc>
      </w:tr>
    </w:tbl>
    <w:p>
      <w:pPr>
        <w:adjustRightInd w:val="0"/>
        <w:snapToGrid w:val="0"/>
        <w:spacing w:line="300" w:lineRule="auto"/>
        <w:rPr>
          <w:rFonts w:hint="default" w:ascii="仿宋" w:hAnsi="仿宋" w:eastAsia="仿宋" w:cs="仿宋"/>
          <w:color w:val="auto"/>
          <w:sz w:val="24"/>
          <w:highlight w:val="none"/>
          <w:lang w:val="en-US"/>
        </w:rPr>
      </w:pPr>
    </w:p>
    <w:p>
      <w:pPr>
        <w:adjustRightInd w:val="0"/>
        <w:snapToGrid w:val="0"/>
        <w:spacing w:line="300" w:lineRule="auto"/>
        <w:rPr>
          <w:rFonts w:hint="default" w:ascii="仿宋" w:hAnsi="仿宋" w:eastAsia="仿宋" w:cs="仿宋"/>
          <w:color w:val="auto"/>
          <w:sz w:val="24"/>
          <w:highlight w:val="none"/>
          <w:u w:val="single"/>
          <w:lang w:val="en-US"/>
        </w:rPr>
      </w:pPr>
      <w:r>
        <w:rPr>
          <w:rFonts w:hint="default" w:ascii="仿宋" w:hAnsi="仿宋" w:eastAsia="仿宋" w:cs="仿宋"/>
          <w:color w:val="auto"/>
          <w:sz w:val="24"/>
          <w:highlight w:val="none"/>
          <w:lang w:val="en-US"/>
        </w:rPr>
        <w:t>响应供应商法定代表人（或法定代表人授权代表）签字：</w:t>
      </w:r>
      <w:r>
        <w:rPr>
          <w:rFonts w:hint="default" w:ascii="仿宋" w:hAnsi="仿宋" w:eastAsia="仿宋" w:cs="仿宋"/>
          <w:color w:val="auto"/>
          <w:sz w:val="24"/>
          <w:highlight w:val="none"/>
          <w:u w:val="single"/>
          <w:lang w:val="en-US"/>
        </w:rPr>
        <w:t xml:space="preserve">                   </w:t>
      </w:r>
    </w:p>
    <w:p>
      <w:pPr>
        <w:adjustRightInd w:val="0"/>
        <w:snapToGrid w:val="0"/>
        <w:spacing w:line="300" w:lineRule="auto"/>
        <w:rPr>
          <w:rFonts w:hint="default" w:ascii="仿宋" w:hAnsi="仿宋" w:eastAsia="仿宋" w:cs="仿宋"/>
          <w:color w:val="auto"/>
          <w:sz w:val="24"/>
          <w:highlight w:val="none"/>
          <w:u w:val="single"/>
          <w:lang w:val="en-US"/>
        </w:rPr>
      </w:pPr>
      <w:r>
        <w:rPr>
          <w:rFonts w:hint="default" w:ascii="仿宋" w:hAnsi="仿宋" w:eastAsia="仿宋" w:cs="仿宋"/>
          <w:color w:val="auto"/>
          <w:sz w:val="24"/>
          <w:highlight w:val="none"/>
          <w:lang w:val="en-US"/>
        </w:rPr>
        <w:t>响应供应商名称（盖章）：</w:t>
      </w:r>
      <w:r>
        <w:rPr>
          <w:rFonts w:hint="default" w:ascii="仿宋" w:hAnsi="仿宋" w:eastAsia="仿宋" w:cs="仿宋"/>
          <w:color w:val="auto"/>
          <w:sz w:val="24"/>
          <w:highlight w:val="none"/>
          <w:u w:val="single"/>
          <w:lang w:val="en-US"/>
        </w:rPr>
        <w:t xml:space="preserve">                        </w:t>
      </w:r>
    </w:p>
    <w:p>
      <w:pPr>
        <w:rPr>
          <w:rFonts w:hint="default" w:ascii="仿宋" w:hAnsi="仿宋" w:eastAsia="仿宋" w:cs="仿宋"/>
          <w:color w:val="auto"/>
          <w:sz w:val="24"/>
          <w:highlight w:val="none"/>
          <w:lang w:val="en-US"/>
        </w:rPr>
      </w:pPr>
      <w:r>
        <w:rPr>
          <w:rFonts w:hint="default" w:ascii="仿宋" w:hAnsi="仿宋" w:eastAsia="仿宋" w:cs="仿宋"/>
          <w:color w:val="auto"/>
          <w:sz w:val="24"/>
          <w:highlight w:val="none"/>
          <w:lang w:val="en-US"/>
        </w:rPr>
        <w:t>日期：   年   月   日</w:t>
      </w:r>
    </w:p>
    <w:p>
      <w:pPr>
        <w:rPr>
          <w:rFonts w:hint="default" w:ascii="仿宋" w:hAnsi="仿宋" w:eastAsia="仿宋" w:cs="仿宋"/>
          <w:color w:val="auto"/>
          <w:sz w:val="24"/>
          <w:highlight w:val="none"/>
          <w:lang w:val="en-US"/>
        </w:rPr>
      </w:pPr>
    </w:p>
    <w:p>
      <w:pPr>
        <w:rPr>
          <w:rFonts w:hint="eastAsia" w:ascii="仿宋" w:hAnsi="仿宋" w:eastAsia="仿宋" w:cs="仿宋"/>
          <w:b/>
          <w:bCs/>
          <w:color w:val="auto"/>
          <w:sz w:val="28"/>
          <w:szCs w:val="28"/>
          <w:highlight w:val="none"/>
        </w:rPr>
      </w:pPr>
      <w:r>
        <w:rPr>
          <w:rFonts w:hint="default" w:ascii="仿宋" w:hAnsi="仿宋" w:eastAsia="仿宋" w:cs="仿宋"/>
          <w:color w:val="auto"/>
          <w:sz w:val="24"/>
          <w:highlight w:val="none"/>
          <w:lang w:val="en-US"/>
        </w:rPr>
        <w:br w:type="page"/>
      </w:r>
      <w:r>
        <w:rPr>
          <w:rFonts w:hint="default" w:ascii="仿宋" w:hAnsi="仿宋" w:eastAsia="仿宋" w:cs="仿宋"/>
          <w:b/>
          <w:bCs/>
          <w:color w:val="auto"/>
          <w:sz w:val="28"/>
          <w:szCs w:val="28"/>
          <w:highlight w:val="none"/>
          <w:lang w:val="en-US"/>
        </w:rPr>
        <w:t>3</w:t>
      </w:r>
      <w:r>
        <w:rPr>
          <w:rFonts w:hint="eastAsia" w:ascii="仿宋" w:hAnsi="仿宋" w:eastAsia="仿宋" w:cs="仿宋"/>
          <w:b/>
          <w:bCs/>
          <w:color w:val="auto"/>
          <w:sz w:val="28"/>
          <w:szCs w:val="28"/>
          <w:highlight w:val="none"/>
        </w:rPr>
        <w:t xml:space="preserve"> 资格性文件</w:t>
      </w:r>
    </w:p>
    <w:p>
      <w:pPr>
        <w:pStyle w:val="4"/>
        <w:spacing w:before="0"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响应函</w:t>
      </w:r>
    </w:p>
    <w:p>
      <w:pPr>
        <w:adjustRightInd w:val="0"/>
        <w:snapToGrid w:val="0"/>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rPr>
        <w:t>：</w:t>
      </w:r>
    </w:p>
    <w:p>
      <w:pPr>
        <w:autoSpaceDE w:val="0"/>
        <w:autoSpaceDN w:val="0"/>
        <w:spacing w:line="38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依据贵方</w:t>
      </w: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zh-CN"/>
        </w:rPr>
        <w:t>项目（</w:t>
      </w:r>
      <w:r>
        <w:rPr>
          <w:rFonts w:hint="eastAsia" w:ascii="仿宋" w:hAnsi="仿宋" w:eastAsia="仿宋" w:cs="仿宋"/>
          <w:color w:val="auto"/>
          <w:sz w:val="24"/>
          <w:highlight w:val="none"/>
          <w:u w:val="single"/>
        </w:rPr>
        <w:t>项目编号：</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）的</w:t>
      </w:r>
      <w:r>
        <w:rPr>
          <w:rFonts w:hint="eastAsia" w:ascii="仿宋" w:hAnsi="仿宋" w:eastAsia="仿宋" w:cs="仿宋"/>
          <w:color w:val="auto"/>
          <w:kern w:val="0"/>
          <w:sz w:val="24"/>
          <w:highlight w:val="none"/>
        </w:rPr>
        <w:t>响应邀请，我方代表</w:t>
      </w:r>
      <w:r>
        <w:rPr>
          <w:rFonts w:hint="eastAsia" w:ascii="仿宋" w:hAnsi="仿宋" w:eastAsia="仿宋" w:cs="仿宋"/>
          <w:color w:val="auto"/>
          <w:sz w:val="24"/>
          <w:highlight w:val="none"/>
          <w:u w:val="single"/>
        </w:rPr>
        <w:t>（姓名、职务）</w:t>
      </w:r>
      <w:r>
        <w:rPr>
          <w:rFonts w:hint="eastAsia" w:ascii="仿宋" w:hAnsi="仿宋" w:eastAsia="仿宋" w:cs="仿宋"/>
          <w:color w:val="auto"/>
          <w:kern w:val="0"/>
          <w:sz w:val="24"/>
          <w:highlight w:val="none"/>
        </w:rPr>
        <w:t>经正式授权并代表</w:t>
      </w:r>
      <w:r>
        <w:rPr>
          <w:rFonts w:hint="eastAsia" w:ascii="仿宋" w:hAnsi="仿宋" w:eastAsia="仿宋" w:cs="仿宋"/>
          <w:color w:val="auto"/>
          <w:sz w:val="24"/>
          <w:highlight w:val="none"/>
          <w:u w:val="single"/>
        </w:rPr>
        <w:t>（响应供应商名称、地址）</w:t>
      </w:r>
      <w:r>
        <w:rPr>
          <w:rFonts w:hint="eastAsia" w:ascii="仿宋" w:hAnsi="仿宋" w:eastAsia="仿宋" w:cs="仿宋"/>
          <w:color w:val="auto"/>
          <w:kern w:val="0"/>
          <w:sz w:val="24"/>
          <w:highlight w:val="none"/>
        </w:rPr>
        <w:t>提交下述文件一式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sz w:val="24"/>
          <w:highlight w:val="none"/>
        </w:rPr>
        <w:t>自查表</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sz w:val="24"/>
          <w:highlight w:val="none"/>
        </w:rPr>
        <w:t>资格性文件</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 </w:t>
      </w:r>
      <w:r>
        <w:rPr>
          <w:rFonts w:hint="eastAsia" w:ascii="仿宋" w:hAnsi="仿宋" w:eastAsia="仿宋" w:cs="仿宋"/>
          <w:color w:val="auto"/>
          <w:sz w:val="24"/>
          <w:highlight w:val="none"/>
        </w:rPr>
        <w:t>商务部分</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xml:space="preserve">4. </w:t>
      </w:r>
      <w:r>
        <w:rPr>
          <w:rFonts w:hint="eastAsia" w:ascii="仿宋" w:hAnsi="仿宋" w:eastAsia="仿宋" w:cs="仿宋"/>
          <w:color w:val="auto"/>
          <w:kern w:val="0"/>
          <w:sz w:val="24"/>
          <w:highlight w:val="none"/>
          <w:lang w:eastAsia="zh-CN"/>
        </w:rPr>
        <w:t>技术</w:t>
      </w:r>
      <w:r>
        <w:rPr>
          <w:rFonts w:hint="eastAsia" w:ascii="仿宋" w:hAnsi="仿宋" w:eastAsia="仿宋" w:cs="仿宋"/>
          <w:color w:val="auto"/>
          <w:kern w:val="0"/>
          <w:sz w:val="24"/>
          <w:highlight w:val="none"/>
        </w:rPr>
        <w:t>部分</w:t>
      </w:r>
      <w:r>
        <w:rPr>
          <w:rFonts w:hint="eastAsia" w:ascii="仿宋" w:hAnsi="仿宋" w:eastAsia="仿宋" w:cs="仿宋"/>
          <w:color w:val="auto"/>
          <w:kern w:val="0"/>
          <w:sz w:val="24"/>
          <w:highlight w:val="none"/>
          <w:lang w:eastAsia="zh-CN"/>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 价格部分</w:t>
      </w:r>
      <w:r>
        <w:rPr>
          <w:rFonts w:hint="eastAsia" w:ascii="仿宋" w:hAnsi="仿宋" w:eastAsia="仿宋" w:cs="仿宋"/>
          <w:color w:val="auto"/>
          <w:sz w:val="24"/>
          <w:highlight w:val="none"/>
        </w:rPr>
        <w:t>。</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在此，我方声明如下：</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1.同意并接受比选文件的各项要求，遵守比选文件中的各项规定，按比选文件的要求提供报价。</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2.响应有效期为递交响应文件之日起</w:t>
      </w:r>
      <w:r>
        <w:rPr>
          <w:rFonts w:hint="eastAsia" w:ascii="仿宋" w:hAnsi="仿宋" w:eastAsia="仿宋" w:cs="仿宋"/>
          <w:color w:val="auto"/>
          <w:sz w:val="24"/>
          <w:highlight w:val="none"/>
          <w:u w:val="single"/>
        </w:rPr>
        <w:t>90天</w:t>
      </w:r>
      <w:r>
        <w:rPr>
          <w:rFonts w:hint="eastAsia" w:ascii="仿宋" w:hAnsi="仿宋" w:eastAsia="仿宋" w:cs="仿宋"/>
          <w:color w:val="auto"/>
          <w:sz w:val="24"/>
          <w:highlight w:val="none"/>
        </w:rPr>
        <w:t>，成交人响应/比选有效期延至合同验收之日。</w:t>
      </w:r>
    </w:p>
    <w:p>
      <w:pPr>
        <w:spacing w:line="38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rPr>
        <w:t>我方已经详细地阅读了全部比选文件及其附件，包括澄清及参考文件(如果有的话)。我方已完全清晰理解比选文件的所有要求，不存在任何含糊不清和误解之处，同意放弃对这些文件所提出的异议和质疑的权利。</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4.我方已毫无保留地向贵方提供一切所需的证明材料。</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5.我方承诺在本次响应/响应文件中提供的一切文件，无论是原件还是复印件均为真实和准确的，绝无任何虚假、伪造和夸大的成份，否则，愿承担相应的后果和法律责任。</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6.我方完全服从贵院采购流程与规定并尊重</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所作的评定结果，同时清楚理解到报价最低并非意味着必定获得成交资格。</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pPr>
        <w:tabs>
          <w:tab w:val="left" w:pos="5250"/>
        </w:tabs>
        <w:autoSpaceDE w:val="0"/>
        <w:autoSpaceDN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账号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3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电子邮件：</w:t>
      </w:r>
      <w:r>
        <w:rPr>
          <w:rFonts w:hint="eastAsia" w:ascii="仿宋" w:hAnsi="仿宋" w:eastAsia="仿宋" w:cs="仿宋"/>
          <w:color w:val="auto"/>
          <w:kern w:val="0"/>
          <w:sz w:val="24"/>
          <w:highlight w:val="none"/>
          <w:u w:val="single"/>
        </w:rPr>
        <w:t xml:space="preserve">                           </w:t>
      </w:r>
    </w:p>
    <w:p>
      <w:pPr>
        <w:pStyle w:val="9"/>
        <w:rPr>
          <w:rFonts w:hint="eastAsia"/>
          <w:color w:val="auto"/>
          <w:highlight w:val="none"/>
        </w:rPr>
      </w:pPr>
    </w:p>
    <w:p>
      <w:pPr>
        <w:adjustRightInd w:val="0"/>
        <w:snapToGrid w:val="0"/>
        <w:spacing w:line="380" w:lineRule="exac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u w:val="single"/>
        </w:rPr>
        <w:br w:type="page"/>
      </w:r>
    </w:p>
    <w:p>
      <w:pPr>
        <w:pStyle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3.2法定代表人/负责人资格证明书及授权委托书</w:t>
      </w:r>
    </w:p>
    <w:p>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（1）法定代表人/负责人资格证明书</w:t>
      </w:r>
    </w:p>
    <w:p>
      <w:pPr>
        <w:pStyle w:val="22"/>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可使用下述格式，也可使用广东省工商行政管理局统一印制的法定代表人证明书格式）</w:t>
      </w:r>
    </w:p>
    <w:p>
      <w:pPr>
        <w:pStyle w:val="22"/>
        <w:jc w:val="center"/>
        <w:outlineLvl w:val="3"/>
        <w:rPr>
          <w:rFonts w:ascii="仿宋" w:hAnsi="仿宋" w:eastAsia="仿宋" w:cs="仿宋"/>
          <w:color w:val="auto"/>
          <w:sz w:val="24"/>
          <w:szCs w:val="24"/>
          <w:highlight w:val="none"/>
        </w:rPr>
      </w:pPr>
      <w:r>
        <w:rPr>
          <w:rFonts w:ascii="仿宋" w:hAnsi="仿宋" w:eastAsia="仿宋" w:cs="仿宋"/>
          <w:b/>
          <w:color w:val="auto"/>
          <w:sz w:val="24"/>
          <w:szCs w:val="24"/>
          <w:highlight w:val="none"/>
        </w:rPr>
        <w:t>法定代表人证明书</w:t>
      </w:r>
    </w:p>
    <w:p>
      <w:pPr>
        <w:pStyle w:val="22"/>
        <w:ind w:firstLine="480"/>
        <w:rPr>
          <w:rFonts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现任我单位</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职务，为法定代表人，特此证明。</w:t>
      </w:r>
    </w:p>
    <w:p>
      <w:pPr>
        <w:pStyle w:val="22"/>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有效期限：</w:t>
      </w:r>
      <w:r>
        <w:rPr>
          <w:rFonts w:hint="eastAsia" w:ascii="仿宋" w:hAnsi="仿宋" w:eastAsia="仿宋" w:cs="仿宋"/>
          <w:color w:val="auto"/>
          <w:sz w:val="24"/>
          <w:highlight w:val="none"/>
          <w:u w:val="single"/>
        </w:rPr>
        <w:t xml:space="preserve">                  </w:t>
      </w:r>
    </w:p>
    <w:p>
      <w:pPr>
        <w:pStyle w:val="22"/>
        <w:ind w:firstLine="480"/>
        <w:rPr>
          <w:rFonts w:hint="eastAsia" w:ascii="仿宋" w:hAnsi="仿宋" w:eastAsia="仿宋" w:cs="仿宋"/>
          <w:color w:val="auto"/>
          <w:sz w:val="24"/>
          <w:highlight w:val="none"/>
          <w:u w:val="single"/>
        </w:rPr>
      </w:pPr>
      <w:r>
        <w:rPr>
          <w:rFonts w:ascii="仿宋" w:hAnsi="仿宋" w:eastAsia="仿宋" w:cs="仿宋"/>
          <w:color w:val="auto"/>
          <w:sz w:val="24"/>
          <w:szCs w:val="24"/>
          <w:highlight w:val="none"/>
        </w:rPr>
        <w:t>附：代表人性别：</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年龄：</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身份证号码：</w:t>
      </w:r>
      <w:r>
        <w:rPr>
          <w:rFonts w:hint="eastAsia" w:ascii="仿宋" w:hAnsi="仿宋" w:eastAsia="仿宋" w:cs="仿宋"/>
          <w:color w:val="auto"/>
          <w:sz w:val="24"/>
          <w:highlight w:val="none"/>
          <w:u w:val="single"/>
        </w:rPr>
        <w:t xml:space="preserve">                  </w:t>
      </w:r>
    </w:p>
    <w:p>
      <w:pPr>
        <w:pStyle w:val="22"/>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注册号码：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企业类型：</w:t>
      </w:r>
    </w:p>
    <w:p>
      <w:pPr>
        <w:pStyle w:val="22"/>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经营范围：</w:t>
      </w:r>
      <w:r>
        <w:rPr>
          <w:rFonts w:hint="eastAsia" w:ascii="仿宋" w:hAnsi="仿宋" w:eastAsia="仿宋" w:cs="仿宋"/>
          <w:color w:val="auto"/>
          <w:sz w:val="24"/>
          <w:highlight w:val="none"/>
          <w:u w:val="single"/>
        </w:rPr>
        <w:t xml:space="preserve">            </w:t>
      </w:r>
    </w:p>
    <w:p>
      <w:pPr>
        <w:pStyle w:val="22"/>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pStyle w:val="22"/>
        <w:rPr>
          <w:rFonts w:hint="eastAsia" w:ascii="仿宋" w:hAnsi="仿宋" w:eastAsia="仿宋" w:cs="仿宋"/>
          <w:color w:val="auto"/>
          <w:sz w:val="24"/>
          <w:highlight w:val="none"/>
          <w:u w:val="single"/>
        </w:rPr>
      </w:pP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名称（盖章）：</w:t>
      </w:r>
      <w:r>
        <w:rPr>
          <w:rFonts w:hint="eastAsia" w:ascii="仿宋" w:hAnsi="仿宋" w:eastAsia="仿宋" w:cs="仿宋"/>
          <w:color w:val="auto"/>
          <w:sz w:val="24"/>
          <w:highlight w:val="none"/>
          <w:u w:val="single"/>
        </w:rPr>
        <w:t xml:space="preserve">                  </w:t>
      </w:r>
    </w:p>
    <w:p>
      <w:pPr>
        <w:pStyle w:val="22"/>
        <w:rPr>
          <w:rFonts w:ascii="仿宋" w:hAnsi="仿宋" w:eastAsia="仿宋" w:cs="仿宋"/>
          <w:color w:val="auto"/>
          <w:sz w:val="24"/>
          <w:szCs w:val="24"/>
          <w:highlight w:val="none"/>
        </w:rPr>
      </w:pPr>
      <w:r>
        <w:rPr>
          <w:rFonts w:ascii="仿宋" w:hAnsi="仿宋" w:eastAsia="仿宋" w:cs="仿宋"/>
          <w:color w:val="auto"/>
          <w:sz w:val="24"/>
          <w:szCs w:val="24"/>
          <w:highlight w:val="none"/>
        </w:rPr>
        <w:t>地址：</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响应供应商法定代表人</w:t>
      </w:r>
      <w:r>
        <w:rPr>
          <w:rFonts w:ascii="仿宋" w:hAnsi="仿宋" w:eastAsia="仿宋" w:cs="仿宋"/>
          <w:color w:val="auto"/>
          <w:sz w:val="24"/>
          <w:szCs w:val="24"/>
          <w:highlight w:val="none"/>
        </w:rPr>
        <w:t>（签字或盖章）：</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2"/>
        <w:rPr>
          <w:rFonts w:ascii="仿宋" w:hAnsi="仿宋" w:eastAsia="仿宋" w:cs="仿宋"/>
          <w:color w:val="auto"/>
          <w:sz w:val="24"/>
          <w:szCs w:val="24"/>
          <w:highlight w:val="none"/>
        </w:rPr>
      </w:pPr>
      <w:r>
        <w:rPr>
          <w:rFonts w:ascii="仿宋" w:hAnsi="仿宋" w:eastAsia="仿宋" w:cs="仿宋"/>
          <w:color w:val="auto"/>
          <w:sz w:val="24"/>
          <w:szCs w:val="24"/>
          <w:highlight w:val="none"/>
        </w:rPr>
        <w:t>职务：</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2"/>
        <w:rPr>
          <w:rFonts w:ascii="仿宋" w:hAnsi="仿宋" w:eastAsia="仿宋" w:cs="仿宋"/>
          <w:color w:val="auto"/>
          <w:sz w:val="24"/>
          <w:szCs w:val="24"/>
          <w:highlight w:val="none"/>
        </w:rPr>
      </w:pPr>
      <w:r>
        <w:rPr>
          <w:rFonts w:ascii="仿宋" w:hAnsi="仿宋" w:eastAsia="仿宋" w:cs="仿宋"/>
          <w:color w:val="auto"/>
          <w:sz w:val="24"/>
          <w:szCs w:val="24"/>
          <w:highlight w:val="none"/>
        </w:rPr>
        <w:t>日期： 年 月 日</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(为避免响应无效，请供应商务必提供本附件)</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2922905</wp:posOffset>
                </wp:positionH>
                <wp:positionV relativeFrom="paragraph">
                  <wp:posOffset>5715</wp:posOffset>
                </wp:positionV>
                <wp:extent cx="233362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65408;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VPlDdcAAAAIAQAADwAAAAAAAAAB&#10;ACAAAAAiAAAAZHJzL2Rvd25yZXYueG1sUEsBAhQAFAAAAAgAh07iQIj7VQ0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182880</wp:posOffset>
                </wp:positionH>
                <wp:positionV relativeFrom="paragraph">
                  <wp:posOffset>43815</wp:posOffset>
                </wp:positionV>
                <wp:extent cx="2333625" cy="1584325"/>
                <wp:effectExtent l="4445" t="4445" r="889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63360;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6S+wB1gAAAAgBAAAPAAAAAAAAAAEA&#10;IAAAACIAAABkcnMvZG93bnJldi54bWxQSwECFAAUAAAACACHTuJAteALPRECAAAQBAAADgAAAAAA&#10;AAABACAAAAAlAQAAZHJzL2Uyb0RvYy54bWxQSwUGAAAAAAYABgBZAQAAq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（对于银行、保险、电信、邮政、铁路等行业以及获得总公司</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授权的分公司，可以提供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分支机构负责人授权书）</w:t>
      </w:r>
    </w:p>
    <w:p>
      <w:pPr>
        <w:jc w:val="center"/>
        <w:rPr>
          <w:rFonts w:hint="eastAsia" w:ascii="仿宋" w:hAnsi="仿宋" w:eastAsia="仿宋" w:cs="仿宋"/>
          <w:b/>
          <w:color w:val="auto"/>
          <w:sz w:val="24"/>
          <w:highlight w:val="none"/>
        </w:rPr>
      </w:pPr>
    </w:p>
    <w:p>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法定代表人授权书</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惠州市第一妇幼保健院</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是注册于</w:t>
      </w:r>
      <w:r>
        <w:rPr>
          <w:rFonts w:hint="eastAsia" w:ascii="仿宋" w:hAnsi="仿宋" w:eastAsia="仿宋" w:cs="仿宋"/>
          <w:color w:val="auto"/>
          <w:sz w:val="24"/>
          <w:highlight w:val="none"/>
          <w:u w:val="single"/>
        </w:rPr>
        <w:t>（国家或地区）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响应供应商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职务，有效证件号码：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作为我公司的全权代理人，就“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”项目采购[采购项目编号为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和合同执行，以我方的名义处理一切与之有关的事宜。</w:t>
      </w:r>
    </w:p>
    <w:p>
      <w:pPr>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响应供应商法定代表人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法定代表人授权代表（签字或盖章）：</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ind w:firstLine="480"/>
        <w:rPr>
          <w:color w:val="auto"/>
          <w:highlight w:val="none"/>
        </w:rPr>
      </w:pPr>
    </w:p>
    <w:p>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84455</wp:posOffset>
                </wp:positionV>
                <wp:extent cx="2333625" cy="1584325"/>
                <wp:effectExtent l="4445" t="4445" r="889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4384;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l/zInXAAAACQEAAA8AAAAAAAAA&#10;AQAgAAAAIgAAAGRycy9kb3ducmV2LnhtbFBLAQIUABQAAAAIAIdO4kA7us+cEgIAABAEAAAOAAAA&#10;AAAAAAEAIAAAACYBAABkcnMvZTJvRG9jLnhtbFBLBQYAAAAABgAGAFkBAACq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7456" behindDoc="0" locked="0" layoutInCell="1" allowOverlap="1">
                <wp:simplePos x="0" y="0"/>
                <wp:positionH relativeFrom="column">
                  <wp:posOffset>2889885</wp:posOffset>
                </wp:positionH>
                <wp:positionV relativeFrom="paragraph">
                  <wp:posOffset>62230</wp:posOffset>
                </wp:positionV>
                <wp:extent cx="2333625" cy="1584325"/>
                <wp:effectExtent l="4445" t="4445" r="889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67456;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b59pdcAAAAJAQAADwAAAAAAAAAB&#10;ACAAAAAiAAAAZHJzL2Rvd25yZXYueG1sUEsBAhQAFAAAAAgAh07iQEGMc/w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6432" behindDoc="0" locked="0" layoutInCell="1" allowOverlap="1">
                <wp:simplePos x="0" y="0"/>
                <wp:positionH relativeFrom="column">
                  <wp:posOffset>1030605</wp:posOffset>
                </wp:positionH>
                <wp:positionV relativeFrom="paragraph">
                  <wp:posOffset>7917180</wp:posOffset>
                </wp:positionV>
                <wp:extent cx="2333625" cy="1584325"/>
                <wp:effectExtent l="4445" t="4445" r="889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66432;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cMse2QAAAA0BAAAPAAAAAAAA&#10;AAEAIAAAACIAAABkcnMvZG93bnJldi54bWxQSwECFAAUAAAACACHTuJA8s3pbRECAAAQBAAADgAA&#10;AAAAAAABACAAAAAoAQAAZHJzL2Uyb0RvYy54bWxQSwUGAAAAAAYABgBZAQAAqw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3．3关于资格的声明函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u w:val="single"/>
        </w:rPr>
        <w:t>：</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响应邀请，本签字人愿意参加响应，提供比选文件中规定的货物、服务及工程，并证明提交的下列文件和说明是准确的和真实的。</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1.具备《政府采购法》第二十二条规定的条件,且提供以下证明文件：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2022年</w:t>
      </w:r>
      <w:r>
        <w:rPr>
          <w:rFonts w:hint="eastAsia" w:ascii="仿宋" w:hAnsi="仿宋" w:eastAsia="仿宋" w:cs="仿宋"/>
          <w:color w:val="auto"/>
          <w:sz w:val="24"/>
          <w:highlight w:val="none"/>
        </w:rPr>
        <w:t>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2022年</w:t>
      </w:r>
      <w:r>
        <w:rPr>
          <w:rFonts w:hint="eastAsia" w:ascii="仿宋" w:hAnsi="仿宋" w:eastAsia="仿宋" w:cs="仿宋"/>
          <w:color w:val="auto"/>
          <w:sz w:val="24"/>
          <w:highlight w:val="none"/>
        </w:rPr>
        <w:t>度至今任意一年</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12个月内银行</w:t>
      </w:r>
      <w:r>
        <w:rPr>
          <w:rFonts w:hint="eastAsia" w:ascii="仿宋" w:hAnsi="仿宋" w:eastAsia="仿宋" w:cs="仿宋"/>
          <w:color w:val="auto"/>
          <w:sz w:val="24"/>
          <w:highlight w:val="none"/>
        </w:rPr>
        <w:t>出具的资信证明（复印件）；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（3）比选截止时间前一年内任意一个月的依法缴纳税收证明材料（如依法免税，则须提供相应文件证明其依法免税）；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（4）比选截止时间前一年内任意一个月的依法缴纳社会保险凭据（如依法不需要缴纳社保，则须提供相应文件证明其依法不需要缴纳）或书面声明；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3.单位负责人为同一人或者存在直接控股、管理关系的不同供应商，不得参加同一包号比选或者未划分包号的同一采购项目。(供应商出具声明函)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rPr>
        <w:t>(供应商出具声明函)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5.本项目不接受联合体参加比选，不允许响应供应商对各比选项目进行分包或转包(供应商出具声明函)。</w:t>
      </w:r>
    </w:p>
    <w:p>
      <w:pPr>
        <w:tabs>
          <w:tab w:val="left" w:pos="0"/>
        </w:tabs>
        <w:wordWrap w:val="0"/>
        <w:spacing w:line="360" w:lineRule="auto"/>
        <w:jc w:val="left"/>
        <w:rPr>
          <w:rFonts w:hint="eastAsia" w:ascii="仿宋" w:hAnsi="仿宋" w:eastAsia="仿宋" w:cs="仿宋"/>
          <w:b w:val="0"/>
          <w:bCs w:val="0"/>
          <w:strike/>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rPr>
        <w:t>本项目是专门面向中小企业采购的项目，供应商应为中小微企业。（提供《中小企业声明函》,具体格式文件见比选文件</w:t>
      </w:r>
      <w:r>
        <w:rPr>
          <w:rFonts w:hint="eastAsia" w:ascii="仿宋" w:hAnsi="仿宋" w:eastAsia="仿宋" w:cs="仿宋"/>
          <w:b/>
          <w:bCs/>
          <w:strike w:val="0"/>
          <w:color w:val="auto"/>
          <w:sz w:val="24"/>
          <w:highlight w:val="none"/>
        </w:rPr>
        <w:t>P</w:t>
      </w:r>
      <w:r>
        <w:rPr>
          <w:rFonts w:hint="eastAsia" w:ascii="仿宋" w:hAnsi="仿宋" w:eastAsia="仿宋" w:cs="仿宋"/>
          <w:b/>
          <w:bCs/>
          <w:strike w:val="0"/>
          <w:color w:val="auto"/>
          <w:sz w:val="24"/>
          <w:highlight w:val="none"/>
          <w:lang w:val="en-US" w:eastAsia="zh-CN"/>
        </w:rPr>
        <w:t>52</w:t>
      </w:r>
      <w:r>
        <w:rPr>
          <w:rFonts w:hint="eastAsia" w:ascii="仿宋" w:hAnsi="仿宋" w:eastAsia="仿宋" w:cs="仿宋"/>
          <w:strike w:val="0"/>
          <w:color w:val="auto"/>
          <w:sz w:val="24"/>
          <w:highlight w:val="none"/>
        </w:rPr>
        <w:t>中小企业声明函，未按要求提供声明函的将导致响应无效）。本项目中小企业划分标准所属行业为：软件和信息技术服务业</w:t>
      </w:r>
      <w:r>
        <w:rPr>
          <w:rFonts w:hint="eastAsia" w:ascii="仿宋" w:hAnsi="仿宋" w:eastAsia="仿宋" w:cs="仿宋"/>
          <w:strike w:val="0"/>
          <w:color w:val="auto"/>
          <w:sz w:val="24"/>
          <w:highlight w:val="none"/>
          <w:lang w:eastAsia="zh-CN"/>
        </w:rPr>
        <w:t>。</w:t>
      </w:r>
    </w:p>
    <w:p>
      <w:pPr>
        <w:tabs>
          <w:tab w:val="left" w:pos="0"/>
        </w:tabs>
        <w:wordWrap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（相关资质及证明文件附后）</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pStyle w:val="2"/>
        <w:rPr>
          <w:rFonts w:hint="eastAsia"/>
          <w:color w:val="auto"/>
          <w:sz w:val="24"/>
          <w:szCs w:val="24"/>
          <w:highlight w:val="none"/>
        </w:rPr>
      </w:pPr>
      <w:r>
        <w:rPr>
          <w:color w:val="auto"/>
          <w:sz w:val="24"/>
          <w:highlight w:val="none"/>
        </w:rPr>
        <w:br w:type="page"/>
      </w:r>
      <w:r>
        <w:rPr>
          <w:rFonts w:hint="eastAsia" w:ascii="仿宋" w:hAnsi="仿宋" w:eastAsia="仿宋" w:cs="仿宋"/>
          <w:color w:val="auto"/>
          <w:highlight w:val="none"/>
        </w:rPr>
        <w:t>4 商务部分</w:t>
      </w:r>
    </w:p>
    <w:p>
      <w:pPr>
        <w:tabs>
          <w:tab w:val="left" w:pos="540"/>
        </w:tabs>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val="en-GB"/>
        </w:rPr>
        <w:t>其它必需重要事项说明及承诺(单页)</w:t>
      </w:r>
    </w:p>
    <w:p>
      <w:pPr>
        <w:adjustRightInd w:val="0"/>
        <w:snapToGrid w:val="0"/>
        <w:spacing w:line="40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4.1.1近三年经营活动中无重大违法违规声明函</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参加本项目前三年内，在经营活动中没有违法记录承诺函。</w:t>
      </w:r>
    </w:p>
    <w:p>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近三年经营活动中无重大违法违规声明函</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响应供应商名称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法定代表人的资格，郑重声明：</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有权取消我公司的响应及成交资格，且我公司将无条件承担由此给本次比选带来的一切后果，包括经济损失。</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adjustRightInd w:val="0"/>
        <w:snapToGrid w:val="0"/>
        <w:spacing w:line="400" w:lineRule="exact"/>
        <w:ind w:firstLine="555"/>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4.1.2</w:t>
      </w:r>
      <w:r>
        <w:rPr>
          <w:rFonts w:hint="eastAsia" w:ascii="仿宋" w:hAnsi="仿宋" w:eastAsia="仿宋" w:cs="仿宋"/>
          <w:color w:val="auto"/>
          <w:sz w:val="24"/>
          <w:highlight w:val="none"/>
        </w:rPr>
        <w:t>诚信响应承诺书。</w:t>
      </w:r>
    </w:p>
    <w:p>
      <w:pPr>
        <w:spacing w:line="400" w:lineRule="exact"/>
        <w:jc w:val="center"/>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诚信响应承诺书(单页)</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本企业郑重承诺：</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一、遵守政府采购法律、法规和规章制度，维护医院采购市场秩序和公平竞争环境，不恶意竞价；</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二、依法诚信参与医院比选、响应采购活动，自觉维护采购人合法权益；</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三、严格保守医院比选采购活动中获取的国家秘密和商业秘密；</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四、依法履行采购合同和采购活动中的各项承诺，为采购人提供符合规定质量标准的货物、工程和服务，以及优良的售后服务；</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五、依法诚信进行质疑与投诉活动；</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六、主动接受医院比选采购监督管理部门的监督检查。</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本公司若有违反本承诺内容的行为，愿意承担相应的后果和法律责任，包括愿意接受医院作出的处罚。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备注：附上</w:t>
      </w:r>
      <w:r>
        <w:rPr>
          <w:rFonts w:hint="eastAsia" w:ascii="仿宋" w:hAnsi="仿宋" w:eastAsia="仿宋" w:cs="仿宋"/>
          <w:color w:val="auto"/>
          <w:sz w:val="24"/>
          <w:highlight w:val="none"/>
          <w:lang w:bidi="ar"/>
        </w:rPr>
        <w:t>国家企业信用信息公示系统/信用中国/中国政府采购网查询的征信情况。</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highlight w:val="none"/>
          <w:lang w:eastAsia="zh-CN"/>
        </w:rPr>
        <w:t>中小企业声明函</w:t>
      </w:r>
      <w:r>
        <w:rPr>
          <w:rFonts w:hint="eastAsia" w:ascii="仿宋" w:hAnsi="仿宋" w:eastAsia="仿宋" w:cs="仿宋"/>
          <w:color w:val="auto"/>
          <w:sz w:val="24"/>
          <w:highlight w:val="none"/>
        </w:rPr>
        <w:t>。</w:t>
      </w:r>
    </w:p>
    <w:p>
      <w:pPr>
        <w:numPr>
          <w:ilvl w:val="0"/>
          <w:numId w:val="0"/>
        </w:numPr>
        <w:rPr>
          <w:rFonts w:hint="eastAsia" w:ascii="仿宋" w:hAnsi="仿宋" w:eastAsia="仿宋" w:cs="仿宋"/>
          <w:color w:val="auto"/>
          <w:sz w:val="24"/>
          <w:highlight w:val="none"/>
        </w:rPr>
      </w:pP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numPr>
          <w:ilvl w:val="0"/>
          <w:numId w:val="0"/>
        </w:numPr>
        <w:rPr>
          <w:rFonts w:hint="eastAsia"/>
          <w:color w:val="auto"/>
          <w:highlight w:val="none"/>
        </w:rPr>
      </w:pPr>
      <w:r>
        <w:rPr>
          <w:rFonts w:hint="eastAsia" w:ascii="仿宋" w:hAnsi="仿宋" w:eastAsia="仿宋" w:cs="仿宋"/>
          <w:color w:val="auto"/>
          <w:sz w:val="24"/>
          <w:highlight w:val="none"/>
        </w:rPr>
        <w:t>中小企业声明函（所投产品制造商为中小企业时提交本函，所属行业应符合采购文件中明确的本项目所属行业）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highlight w:val="none"/>
        </w:rPr>
      </w:pPr>
      <w:r>
        <w:rPr>
          <w:rFonts w:hint="eastAsia" w:ascii="仿宋" w:hAnsi="仿宋" w:eastAsia="仿宋" w:cs="仿宋"/>
          <w:b/>
          <w:color w:val="auto"/>
          <w:sz w:val="30"/>
          <w:szCs w:val="30"/>
          <w:highlight w:val="none"/>
          <w:lang w:val="hr-HR"/>
        </w:rPr>
        <w:t>中小企业声明函（货物）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应当对其出具的《中小企业声明函》真实性负责，</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出具的《中小企业声明函》内容不实的，属于提供虚假材料谋取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。在实际操作中，</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希望获得中小企业扶持政策支持的，应从制造商处获得充分、准确的信息。对相关制造商信息了解不充分，或者不能确定相关信息真实、准确的，不建议出具《中小企业声明函》。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4.1.3.2</w:t>
      </w: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中小企业声明函（工程、服务）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应当自行核实是否属于小微企业，并认真填写声明函，若有虚假将追究其责任。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4.1.4</w:t>
      </w: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监狱企业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提供由监狱管理局、戒毒管理局（含新疆生产建设兵团）出具的属于监狱企业的证明文件。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残疾人福利性单位声明函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注：本函未填写或未勾选视作未做声明。</w:t>
      </w:r>
    </w:p>
    <w:p>
      <w:pPr>
        <w:rPr>
          <w:rFonts w:hint="default"/>
          <w:color w:val="auto"/>
          <w:highlight w:val="none"/>
          <w:lang w:val="en-US" w:eastAsia="zh-CN"/>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color w:val="auto"/>
          <w:sz w:val="20"/>
          <w:szCs w:val="22"/>
          <w:highlight w:val="none"/>
        </w:rPr>
      </w:pPr>
      <w:r>
        <w:rPr>
          <w:rFonts w:hint="eastAsia" w:ascii="仿宋" w:hAnsi="仿宋" w:eastAsia="仿宋" w:cs="仿宋"/>
          <w:b/>
          <w:color w:val="auto"/>
          <w:sz w:val="24"/>
          <w:highlight w:val="none"/>
        </w:rPr>
        <w:t>4.2商务条款响应</w:t>
      </w:r>
    </w:p>
    <w:p>
      <w:pPr>
        <w:adjustRightInd w:val="0"/>
        <w:snapToGrid w:val="0"/>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4.2.1 实质性响应商务条款</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65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要求</w:t>
            </w:r>
          </w:p>
        </w:tc>
        <w:tc>
          <w:tcPr>
            <w:tcW w:w="73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43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03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3651"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w:t>
      </w:r>
      <w:r>
        <w:rPr>
          <w:rFonts w:hint="eastAsia" w:ascii="仿宋" w:hAnsi="仿宋" w:eastAsia="仿宋" w:cs="仿宋"/>
          <w:color w:val="auto"/>
          <w:sz w:val="24"/>
          <w:highlight w:val="none"/>
          <w:lang w:val="en-GB"/>
        </w:rPr>
        <w:t>响应供应商</w:t>
      </w:r>
      <w:r>
        <w:rPr>
          <w:rFonts w:hint="eastAsia" w:ascii="仿宋" w:hAnsi="仿宋" w:eastAsia="仿宋" w:cs="仿宋"/>
          <w:color w:val="auto"/>
          <w:sz w:val="24"/>
          <w:highlight w:val="none"/>
        </w:rPr>
        <w:t>响应供应商必须对上述一般上述实质性商务条款逐条响应，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标“</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”项为不可负偏离（劣于），任何一项负偏离该响应无效。</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w:t>
      </w: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2.本表内容不得擅自修改。</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ascii="仿宋" w:hAnsi="仿宋" w:eastAsia="仿宋" w:cs="仿宋"/>
          <w:color w:val="auto"/>
          <w:sz w:val="24"/>
          <w:highlight w:val="none"/>
        </w:rPr>
      </w:pPr>
    </w:p>
    <w:p>
      <w:pPr>
        <w:pStyle w:val="4"/>
        <w:spacing w:before="0" w:after="0"/>
        <w:jc w:val="left"/>
        <w:rPr>
          <w:rFonts w:hint="eastAsia" w:ascii="仿宋" w:hAnsi="仿宋" w:eastAsia="仿宋" w:cs="仿宋"/>
          <w:color w:val="auto"/>
          <w:highlight w:val="none"/>
        </w:rPr>
      </w:pPr>
      <w:r>
        <w:rPr>
          <w:rFonts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4.2.2 一般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18"/>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94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一般商务条款要求</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1</w:t>
            </w:r>
          </w:p>
        </w:tc>
        <w:tc>
          <w:tcPr>
            <w:tcW w:w="3947" w:type="dxa"/>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完全理解并接受</w:t>
            </w:r>
            <w:r>
              <w:rPr>
                <w:rFonts w:hint="eastAsia" w:ascii="仿宋" w:hAnsi="仿宋" w:eastAsia="仿宋" w:cs="仿宋"/>
                <w:color w:val="auto"/>
                <w:szCs w:val="21"/>
                <w:highlight w:val="none"/>
                <w:lang w:eastAsia="zh-CN"/>
              </w:rPr>
              <w:t>商务</w:t>
            </w:r>
            <w:r>
              <w:rPr>
                <w:rFonts w:hint="eastAsia" w:ascii="仿宋" w:hAnsi="仿宋" w:eastAsia="仿宋" w:cs="仿宋"/>
                <w:color w:val="auto"/>
                <w:szCs w:val="21"/>
                <w:highlight w:val="none"/>
              </w:rPr>
              <w:t>条款要求</w:t>
            </w:r>
          </w:p>
        </w:tc>
        <w:tc>
          <w:tcPr>
            <w:tcW w:w="1381"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完全理解并接受对合格响应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、合格的货物、工程和服务要求</w:t>
            </w:r>
          </w:p>
        </w:tc>
        <w:tc>
          <w:tcPr>
            <w:tcW w:w="1381"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的各项须知、规约要求和责任义务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响应有效期：响应有效期为自递交响应文件起至确定正式成交人止不少于</w:t>
            </w:r>
            <w:r>
              <w:rPr>
                <w:rFonts w:hint="eastAsia" w:ascii="仿宋" w:hAnsi="仿宋" w:eastAsia="仿宋" w:cs="仿宋"/>
                <w:color w:val="auto"/>
                <w:szCs w:val="21"/>
                <w:highlight w:val="none"/>
                <w:u w:val="single"/>
              </w:rPr>
              <w:t xml:space="preserve">90 </w:t>
            </w:r>
            <w:r>
              <w:rPr>
                <w:rFonts w:hint="eastAsia" w:ascii="仿宋" w:hAnsi="仿宋" w:eastAsia="仿宋" w:cs="仿宋"/>
                <w:color w:val="auto"/>
                <w:szCs w:val="21"/>
                <w:highlight w:val="none"/>
              </w:rPr>
              <w:t>天，成交单位有效期至项目验收之日</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报价内容均涵盖报价要求之一切费用和伴随服务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同意接受合同范本所列述的各项条款</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同意按本项目要求缴付相关款项</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以任何形式对我方响应文件内容的真实性和有效性进行审查、验证</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3947" w:type="dxa"/>
            <w:noWrap w:val="0"/>
            <w:vAlign w:val="center"/>
          </w:tcPr>
          <w:p>
            <w:pPr>
              <w:pStyle w:val="15"/>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满足对服务的各项要求</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6650" w:type="dxa"/>
            <w:gridSpan w:val="3"/>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其它商务条款偏离说明：</w:t>
            </w:r>
          </w:p>
        </w:tc>
        <w:tc>
          <w:tcPr>
            <w:tcW w:w="1391"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 1.响应供应商</w:t>
      </w:r>
      <w:r>
        <w:rPr>
          <w:rFonts w:hint="eastAsia" w:ascii="仿宋" w:hAnsi="仿宋" w:eastAsia="仿宋" w:cs="仿宋"/>
          <w:color w:val="auto"/>
          <w:sz w:val="24"/>
          <w:highlight w:val="none"/>
        </w:rPr>
        <w:t>必须对上述一般商务条款逐条响应。</w:t>
      </w:r>
      <w:r>
        <w:rPr>
          <w:rFonts w:hint="eastAsia" w:ascii="仿宋" w:hAnsi="仿宋" w:eastAsia="仿宋" w:cs="仿宋"/>
          <w:b/>
          <w:bCs/>
          <w:color w:val="auto"/>
          <w:sz w:val="24"/>
          <w:highlight w:val="none"/>
        </w:rPr>
        <w:t>如有缺漏项视同不符合对应条款之要求。</w:t>
      </w:r>
      <w:r>
        <w:rPr>
          <w:rFonts w:hint="eastAsia" w:ascii="仿宋" w:hAnsi="仿宋" w:eastAsia="仿宋" w:cs="仿宋"/>
          <w:color w:val="auto"/>
          <w:sz w:val="24"/>
          <w:highlight w:val="none"/>
          <w:lang w:val="en-GB"/>
        </w:rPr>
        <w:t>请在“是否响应”填“是”或“否”（不得空白，空白视为“否”），并对照偏离情况请在“偏离说明”栏内扼要说明偏离情况，不响应视为负偏离。</w:t>
      </w:r>
    </w:p>
    <w:p>
      <w:pPr>
        <w:ind w:firstLine="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 xml:space="preserve"> 2.本表内容不得擅自修改。</w:t>
      </w:r>
    </w:p>
    <w:p>
      <w:pPr>
        <w:rPr>
          <w:rFonts w:hint="eastAsia" w:ascii="仿宋" w:hAnsi="仿宋" w:eastAsia="仿宋" w:cs="仿宋"/>
          <w:color w:val="auto"/>
          <w:szCs w:val="21"/>
          <w:highlight w:val="none"/>
          <w:lang w:val="en-GB"/>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r>
        <w:rPr>
          <w:rFonts w:hint="eastAsia"/>
          <w:color w:val="auto"/>
          <w:highlight w:val="none"/>
        </w:rPr>
        <w:br w:type="page"/>
      </w:r>
    </w:p>
    <w:p>
      <w:pPr>
        <w:tabs>
          <w:tab w:val="left" w:pos="540"/>
        </w:tabs>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所投项目业绩介绍（单页）</w:t>
      </w:r>
    </w:p>
    <w:tbl>
      <w:tblPr>
        <w:tblStyle w:val="18"/>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客户名称</w:t>
            </w: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项目名称及合同金额（万元）</w:t>
            </w: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签订合同时间</w:t>
            </w: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pStyle w:val="26"/>
              <w:keepNext w:val="0"/>
              <w:keepLines w:val="0"/>
              <w:suppressLineNumbers w:val="0"/>
              <w:spacing w:before="0" w:beforeAutospacing="0" w:after="0" w:afterAutospacing="0"/>
              <w:rPr>
                <w:rFonts w:hint="eastAsia" w:ascii="仿宋" w:hAnsi="仿宋" w:eastAsia="仿宋" w:cs="仿宋"/>
                <w:color w:val="auto"/>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pStyle w:val="26"/>
              <w:keepNext w:val="0"/>
              <w:keepLines w:val="0"/>
              <w:suppressLineNumbers w:val="0"/>
              <w:spacing w:before="0" w:beforeAutospacing="0" w:after="0" w:afterAutospacing="0"/>
              <w:rPr>
                <w:rFonts w:hint="eastAsia" w:ascii="仿宋" w:hAnsi="仿宋" w:eastAsia="仿宋" w:cs="仿宋"/>
                <w:color w:val="auto"/>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注：业绩是必须以响应供应商名义完成并已验收的项目。响应供应商必须提供合同复印件或成交通知书（请留意评审细则是否要求提供验收报告）。</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pStyle w:val="9"/>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 </w:t>
      </w:r>
      <w:r>
        <w:rPr>
          <w:rFonts w:hint="eastAsia" w:ascii="仿宋" w:hAnsi="仿宋" w:eastAsia="仿宋" w:cs="仿宋"/>
          <w:color w:val="auto"/>
          <w:sz w:val="24"/>
          <w:highlight w:val="none"/>
          <w:lang w:eastAsia="zh-CN"/>
        </w:rPr>
        <w:t>技术</w:t>
      </w:r>
      <w:r>
        <w:rPr>
          <w:rFonts w:hint="eastAsia" w:ascii="仿宋" w:hAnsi="仿宋" w:eastAsia="仿宋" w:cs="仿宋"/>
          <w:color w:val="auto"/>
          <w:sz w:val="24"/>
          <w:highlight w:val="none"/>
        </w:rPr>
        <w:t>部分</w:t>
      </w:r>
    </w:p>
    <w:p>
      <w:pPr>
        <w:pStyle w:val="11"/>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要求响应表（单页填写）</w:t>
      </w:r>
    </w:p>
    <w:p>
      <w:pPr>
        <w:pStyle w:val="11"/>
        <w:adjustRightInd w:val="0"/>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.1 实质性服务要求（“★”项）条款响应表</w:t>
      </w:r>
    </w:p>
    <w:tbl>
      <w:tblPr>
        <w:tblStyle w:val="18"/>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41"/>
        <w:gridCol w:w="1897"/>
        <w:gridCol w:w="1701"/>
        <w:gridCol w:w="871"/>
        <w:gridCol w:w="912"/>
        <w:gridCol w:w="77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pPr>
              <w:keepNext w:val="0"/>
              <w:keepLines w:val="0"/>
              <w:suppressLineNumbers w:val="0"/>
              <w:spacing w:before="0" w:beforeAutospacing="0" w:after="0" w:afterAutospacing="0"/>
              <w:ind w:left="0" w:right="0"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实质性服务要求（“★”项）条款响应表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12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名称</w:t>
            </w:r>
          </w:p>
        </w:tc>
        <w:tc>
          <w:tcPr>
            <w:tcW w:w="1897"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0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响应服务参数</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（填写响应的具体参数）</w:t>
            </w:r>
          </w:p>
        </w:tc>
        <w:tc>
          <w:tcPr>
            <w:tcW w:w="87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是否响应</w:t>
            </w:r>
          </w:p>
        </w:tc>
        <w:tc>
          <w:tcPr>
            <w:tcW w:w="91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偏离情况</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（正/负/无）</w:t>
            </w:r>
          </w:p>
        </w:tc>
        <w:tc>
          <w:tcPr>
            <w:tcW w:w="775"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偏离说明</w:t>
            </w:r>
          </w:p>
        </w:tc>
        <w:tc>
          <w:tcPr>
            <w:tcW w:w="11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 w:val="21"/>
                <w:szCs w:val="21"/>
                <w:highlight w:val="none"/>
                <w:lang w:val="en-US" w:eastAsia="zh-CN"/>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241"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 w:val="24"/>
                <w:highlight w:val="none"/>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1"/>
                <w:szCs w:val="21"/>
                <w:highlight w:val="none"/>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2" w:type="dxa"/>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2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备注：报价内容均涵盖报价要求之一切费用和伴随服务及税金等其他所有费用。</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名称（盖章）：</w:t>
      </w:r>
      <w:r>
        <w:rPr>
          <w:rFonts w:hint="eastAsia" w:ascii="仿宋" w:hAnsi="仿宋" w:eastAsia="仿宋" w:cs="仿宋"/>
          <w:color w:val="auto"/>
          <w:sz w:val="24"/>
          <w:highlight w:val="none"/>
          <w:u w:val="single"/>
        </w:rPr>
        <w:t xml:space="preserve">                        </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.2非实质性</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服务要求条款响应表</w:t>
      </w:r>
    </w:p>
    <w:tbl>
      <w:tblPr>
        <w:tblStyle w:val="18"/>
        <w:tblW w:w="9855"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25"/>
        <w:gridCol w:w="2641"/>
        <w:gridCol w:w="1764"/>
        <w:gridCol w:w="780"/>
        <w:gridCol w:w="1065"/>
        <w:gridCol w:w="66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855" w:type="dxa"/>
            <w:gridSpan w:val="8"/>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一般服务要求条款</w:t>
            </w:r>
            <w:r>
              <w:rPr>
                <w:rFonts w:hint="eastAsia" w:ascii="仿宋" w:hAnsi="仿宋" w:eastAsia="仿宋" w:cs="宋体"/>
                <w:color w:val="auto"/>
                <w:kern w:val="0"/>
                <w:sz w:val="24"/>
                <w:highlight w:val="none"/>
              </w:rPr>
              <w:t>和</w:t>
            </w:r>
            <w:r>
              <w:rPr>
                <w:rFonts w:hint="eastAsia" w:ascii="仿宋" w:hAnsi="仿宋" w:eastAsia="仿宋" w:cs="仿宋"/>
                <w:color w:val="auto"/>
                <w:sz w:val="24"/>
                <w:highlight w:val="none"/>
              </w:rPr>
              <w:t>含</w:t>
            </w:r>
            <w:r>
              <w:rPr>
                <w:rFonts w:hint="eastAsia" w:ascii="仿宋" w:hAnsi="仿宋" w:eastAsia="仿宋" w:cs="宋体"/>
                <w:color w:val="auto"/>
                <w:kern w:val="0"/>
                <w:sz w:val="24"/>
                <w:highlight w:val="none"/>
              </w:rPr>
              <w:t>“▲”的</w:t>
            </w:r>
            <w:r>
              <w:rPr>
                <w:rFonts w:hint="default" w:ascii="仿宋" w:hAnsi="仿宋" w:eastAsia="仿宋" w:cs="宋体"/>
                <w:color w:val="auto"/>
                <w:kern w:val="0"/>
                <w:sz w:val="24"/>
                <w:highlight w:val="none"/>
              </w:rPr>
              <w:t>主要</w:t>
            </w:r>
            <w:r>
              <w:rPr>
                <w:rFonts w:hint="eastAsia" w:ascii="仿宋" w:hAnsi="仿宋" w:eastAsia="仿宋" w:cs="宋体"/>
                <w:color w:val="auto"/>
                <w:kern w:val="0"/>
                <w:sz w:val="24"/>
                <w:highlight w:val="none"/>
              </w:rPr>
              <w:t>服务要求</w:t>
            </w:r>
            <w:r>
              <w:rPr>
                <w:rFonts w:hint="eastAsia" w:ascii="仿宋" w:hAnsi="仿宋" w:eastAsia="仿宋" w:cs="仿宋"/>
                <w:color w:val="auto"/>
                <w:sz w:val="24"/>
                <w:highlight w:val="none"/>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2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2641"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64"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响应服务参数</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（填写响应的具体参数）</w:t>
            </w:r>
          </w:p>
        </w:tc>
        <w:tc>
          <w:tcPr>
            <w:tcW w:w="78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06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66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1350" w:type="dxa"/>
            <w:shd w:val="clear" w:color="auto" w:fill="F1F1F1"/>
            <w:noWrap w:val="0"/>
            <w:vAlign w:val="top"/>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w:t>
            </w:r>
            <w:r>
              <w:rPr>
                <w:rFonts w:hint="default" w:ascii="仿宋" w:hAnsi="仿宋" w:eastAsia="仿宋" w:cs="仿宋"/>
                <w:color w:val="auto"/>
                <w:szCs w:val="21"/>
                <w:highlight w:val="none"/>
              </w:rPr>
              <w:t>材料</w:t>
            </w:r>
            <w:r>
              <w:rPr>
                <w:rFonts w:hint="eastAsia" w:ascii="仿宋" w:hAnsi="仿宋" w:eastAsia="仿宋" w:cs="仿宋"/>
                <w:color w:val="auto"/>
                <w:szCs w:val="21"/>
                <w:highlight w:val="none"/>
              </w:rPr>
              <w:t>条款所在位置，</w:t>
            </w:r>
            <w:r>
              <w:rPr>
                <w:rFonts w:hint="default" w:ascii="仿宋" w:hAnsi="仿宋" w:eastAsia="仿宋" w:cs="仿宋"/>
                <w:color w:val="auto"/>
                <w:szCs w:val="21"/>
                <w:highlight w:val="none"/>
              </w:rPr>
              <w:t>尤其是</w:t>
            </w:r>
            <w:r>
              <w:rPr>
                <w:rFonts w:hint="eastAsia" w:ascii="仿宋" w:hAnsi="仿宋" w:eastAsia="仿宋" w:cs="仿宋"/>
                <w:color w:val="auto"/>
                <w:szCs w:val="21"/>
                <w:highlight w:val="none"/>
              </w:rPr>
              <w:t>含</w:t>
            </w:r>
            <w:r>
              <w:rPr>
                <w:rFonts w:hint="eastAsia" w:ascii="仿宋" w:hAnsi="仿宋" w:eastAsia="仿宋" w:cs="宋体"/>
                <w:color w:val="auto"/>
                <w:kern w:val="0"/>
                <w:szCs w:val="21"/>
                <w:highlight w:val="none"/>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val="en-US" w:eastAsia="zh-CN"/>
              </w:rPr>
            </w:pP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rPr>
        <w:t>服务要求的内容逐条响应。</w:t>
      </w:r>
      <w:r>
        <w:rPr>
          <w:rFonts w:hint="eastAsia" w:ascii="仿宋" w:hAnsi="仿宋" w:eastAsia="仿宋" w:cs="仿宋"/>
          <w:b/>
          <w:bCs/>
          <w:color w:val="auto"/>
          <w:sz w:val="24"/>
          <w:highlight w:val="none"/>
        </w:rPr>
        <w:t>如有缺漏项视同不符合对应服务要求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服务要求必须按照比选文件的，不得作任何更改。否则视为不符合响应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w:t>
      </w:r>
    </w:p>
    <w:p>
      <w:pPr>
        <w:adjustRightInd w:val="0"/>
        <w:snapToGrid w:val="0"/>
        <w:spacing w:line="300" w:lineRule="auto"/>
        <w:rPr>
          <w:rFonts w:ascii="仿宋" w:hAnsi="仿宋" w:eastAsia="仿宋" w:cs="仿宋"/>
          <w:b/>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6.价格部分</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报价单</w:t>
      </w:r>
    </w:p>
    <w:p>
      <w:pPr>
        <w:rPr>
          <w:rFonts w:hint="eastAsia" w:ascii="仿宋" w:hAnsi="仿宋" w:eastAsia="仿宋" w:cs="仿宋"/>
          <w:color w:val="auto"/>
          <w:spacing w:val="20"/>
          <w:szCs w:val="21"/>
          <w:highlight w:val="none"/>
        </w:rPr>
      </w:pPr>
    </w:p>
    <w:tbl>
      <w:tblPr>
        <w:tblStyle w:val="18"/>
        <w:tblW w:w="882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54"/>
        <w:gridCol w:w="1969"/>
        <w:gridCol w:w="870"/>
        <w:gridCol w:w="1170"/>
        <w:gridCol w:w="1455"/>
        <w:gridCol w:w="111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42" w:hRule="atLeast"/>
        </w:trPr>
        <w:tc>
          <w:tcPr>
            <w:tcW w:w="2254" w:type="dxa"/>
            <w:noWrap w:val="0"/>
            <w:vAlign w:val="center"/>
          </w:tcPr>
          <w:p>
            <w:pPr>
              <w:pStyle w:val="17"/>
              <w:ind w:left="0" w:leftChars="0" w:right="0" w:rightChars="0" w:firstLine="0" w:firstLineChars="0"/>
              <w:jc w:val="center"/>
              <w:rPr>
                <w:rFonts w:hint="eastAsia" w:ascii="仿宋" w:hAnsi="仿宋" w:eastAsia="仿宋" w:cs="仿宋"/>
                <w:color w:val="auto"/>
                <w:spacing w:val="20"/>
                <w:szCs w:val="21"/>
                <w:highlight w:val="none"/>
              </w:rPr>
            </w:pPr>
            <w:r>
              <w:rPr>
                <w:rFonts w:hint="eastAsia" w:ascii="仿宋" w:hAnsi="仿宋" w:eastAsia="仿宋" w:cs="仿宋"/>
                <w:color w:val="auto"/>
                <w:kern w:val="2"/>
                <w:sz w:val="24"/>
                <w:szCs w:val="24"/>
                <w:highlight w:val="none"/>
                <w:lang w:val="en-US" w:eastAsia="zh-CN" w:bidi="ar-SA"/>
              </w:rPr>
              <w:t>项目名称</w:t>
            </w:r>
          </w:p>
        </w:tc>
        <w:tc>
          <w:tcPr>
            <w:tcW w:w="1969" w:type="dxa"/>
            <w:noWrap w:val="0"/>
            <w:vAlign w:val="center"/>
          </w:tcPr>
          <w:p>
            <w:pPr>
              <w:pStyle w:val="17"/>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名称</w:t>
            </w:r>
          </w:p>
        </w:tc>
        <w:tc>
          <w:tcPr>
            <w:tcW w:w="8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单位</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数量</w:t>
            </w:r>
          </w:p>
        </w:tc>
        <w:tc>
          <w:tcPr>
            <w:tcW w:w="1455"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金额</w:t>
            </w:r>
            <w:r>
              <w:rPr>
                <w:rFonts w:hint="eastAsia" w:ascii="仿宋" w:hAnsi="仿宋" w:eastAsia="仿宋" w:cs="仿宋"/>
                <w:color w:val="auto"/>
                <w:kern w:val="0"/>
                <w:sz w:val="24"/>
                <w:highlight w:val="none"/>
                <w:lang w:val="en-US" w:eastAsia="zh-CN"/>
              </w:rPr>
              <w:t>（元）</w:t>
            </w:r>
          </w:p>
        </w:tc>
        <w:tc>
          <w:tcPr>
            <w:tcW w:w="111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2254" w:type="dxa"/>
            <w:vMerge w:val="restart"/>
            <w:noWrap w:val="0"/>
            <w:vAlign w:val="center"/>
          </w:tcPr>
          <w:p>
            <w:pPr>
              <w:pStyle w:val="17"/>
              <w:ind w:left="0" w:leftChars="0" w:right="0" w:rightChars="0" w:firstLine="0" w:firstLineChars="0"/>
              <w:jc w:val="center"/>
              <w:rPr>
                <w:rFonts w:hint="eastAsia" w:ascii="仿宋" w:hAnsi="仿宋" w:eastAsia="仿宋" w:cs="仿宋"/>
                <w:color w:val="auto"/>
                <w:spacing w:val="20"/>
                <w:szCs w:val="21"/>
                <w:highlight w:val="none"/>
              </w:rPr>
            </w:pPr>
            <w:r>
              <w:rPr>
                <w:rFonts w:hint="eastAsia" w:ascii="仿宋" w:hAnsi="仿宋" w:eastAsia="仿宋" w:cs="仿宋"/>
                <w:color w:val="auto"/>
                <w:kern w:val="2"/>
                <w:sz w:val="24"/>
                <w:szCs w:val="24"/>
                <w:highlight w:val="none"/>
                <w:lang w:val="en-US" w:eastAsia="zh-CN" w:bidi="ar-SA"/>
              </w:rPr>
              <w:t>2025年合理用药系统接口开发及维保服务采购项目</w:t>
            </w:r>
          </w:p>
        </w:tc>
        <w:tc>
          <w:tcPr>
            <w:tcW w:w="1969"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eastAsia="zh-CN"/>
              </w:rPr>
              <w:t>接口开发服务</w:t>
            </w:r>
          </w:p>
        </w:tc>
        <w:tc>
          <w:tcPr>
            <w:tcW w:w="870" w:type="dxa"/>
            <w:noWrap w:val="0"/>
            <w:vAlign w:val="center"/>
          </w:tcPr>
          <w:p>
            <w:pPr>
              <w:pStyle w:val="17"/>
              <w:ind w:left="0" w:leftChars="0" w:right="0" w:rightChars="0" w:firstLine="0" w:firstLineChars="0"/>
              <w:jc w:val="center"/>
              <w:rPr>
                <w:rFonts w:hint="eastAsia"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项</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lang w:val="en-US" w:eastAsia="zh-CN"/>
              </w:rPr>
            </w:pPr>
          </w:p>
        </w:tc>
        <w:tc>
          <w:tcPr>
            <w:tcW w:w="1455"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1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2254" w:type="dxa"/>
            <w:vMerge w:val="continue"/>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969"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维保服务</w:t>
            </w:r>
          </w:p>
        </w:tc>
        <w:tc>
          <w:tcPr>
            <w:tcW w:w="870" w:type="dxa"/>
            <w:noWrap w:val="0"/>
            <w:vAlign w:val="center"/>
          </w:tcPr>
          <w:p>
            <w:pPr>
              <w:pStyle w:val="17"/>
              <w:ind w:left="0" w:leftChars="0" w:right="0" w:rightChars="0" w:firstLine="0" w:firstLineChars="0"/>
              <w:jc w:val="center"/>
              <w:rPr>
                <w:rFonts w:hint="eastAsia" w:ascii="仿宋" w:hAnsi="仿宋" w:eastAsia="仿宋" w:cs="仿宋"/>
                <w:color w:val="auto"/>
                <w:spacing w:val="20"/>
                <w:szCs w:val="21"/>
                <w:highlight w:val="none"/>
                <w:lang w:eastAsia="zh-CN"/>
              </w:rPr>
            </w:pPr>
            <w:r>
              <w:rPr>
                <w:rFonts w:hint="eastAsia" w:ascii="仿宋" w:hAnsi="仿宋" w:eastAsia="仿宋" w:cs="仿宋"/>
                <w:color w:val="auto"/>
                <w:spacing w:val="20"/>
                <w:szCs w:val="21"/>
                <w:highlight w:val="none"/>
                <w:lang w:eastAsia="zh-CN"/>
              </w:rPr>
              <w:t>项</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455"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1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6263" w:type="dxa"/>
            <w:gridSpan w:val="4"/>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 w:val="24"/>
                <w:szCs w:val="24"/>
                <w:highlight w:val="none"/>
                <w:lang w:eastAsia="zh-CN"/>
              </w:rPr>
              <w:t>合计（元）</w:t>
            </w:r>
          </w:p>
        </w:tc>
        <w:tc>
          <w:tcPr>
            <w:tcW w:w="2565"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备注：报价内容均涵盖报价要求之一切费用和伴随服务及税金等其他所有费用。</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名称（盖章）：</w:t>
      </w:r>
      <w:r>
        <w:rPr>
          <w:rFonts w:hint="eastAsia" w:ascii="仿宋" w:hAnsi="仿宋" w:eastAsia="仿宋" w:cs="仿宋"/>
          <w:color w:val="auto"/>
          <w:sz w:val="24"/>
          <w:highlight w:val="none"/>
          <w:u w:val="single"/>
        </w:rPr>
        <w:t xml:space="preserve">                        </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t>日期：   年   月   日</w:t>
      </w:r>
    </w:p>
    <w:p>
      <w:pPr>
        <w:rPr>
          <w:color w:val="auto"/>
          <w:highlight w:val="none"/>
        </w:rPr>
      </w:pPr>
    </w:p>
    <w:p>
      <w:pPr>
        <w:rPr>
          <w:b/>
          <w:bCs/>
          <w:color w:val="auto"/>
          <w:highlight w:val="none"/>
        </w:rPr>
      </w:pPr>
    </w:p>
    <w:p>
      <w:pPr>
        <w:rPr>
          <w:color w:val="auto"/>
          <w:highlight w:val="none"/>
        </w:rPr>
      </w:pPr>
    </w:p>
    <w:p>
      <w:pPr>
        <w:rPr>
          <w:color w:val="auto"/>
          <w:highlight w:val="none"/>
        </w:rPr>
      </w:pPr>
    </w:p>
    <w:p>
      <w:pPr>
        <w:rPr>
          <w:color w:val="auto"/>
          <w:highlight w:val="none"/>
        </w:rPr>
      </w:pPr>
    </w:p>
    <w:p>
      <w:pPr>
        <w:rPr>
          <w:b w:val="0"/>
          <w:bCs w:val="0"/>
          <w:color w:val="auto"/>
          <w:highlight w:val="none"/>
        </w:rPr>
      </w:pPr>
    </w:p>
    <w:p>
      <w:pPr>
        <w:rPr>
          <w:color w:val="auto"/>
          <w:highlight w:val="none"/>
        </w:rPr>
      </w:pPr>
    </w:p>
    <w:p>
      <w:pPr>
        <w:rPr>
          <w:color w:val="auto"/>
          <w:highlight w:val="none"/>
        </w:rPr>
      </w:pPr>
    </w:p>
    <w:p>
      <w:pPr>
        <w:rPr>
          <w:color w:val="auto"/>
          <w:highlight w:val="none"/>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FangSong_GB2312-Identity-H">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59</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59</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40C2CC"/>
    <w:multiLevelType w:val="singleLevel"/>
    <w:tmpl w:val="C140C2CC"/>
    <w:lvl w:ilvl="0" w:tentative="0">
      <w:start w:val="1"/>
      <w:numFmt w:val="chineseCounting"/>
      <w:suff w:val="nothing"/>
      <w:lvlText w:val="%1、"/>
      <w:lvlJc w:val="left"/>
      <w:rPr>
        <w:rFonts w:hint="eastAsia"/>
      </w:rPr>
    </w:lvl>
  </w:abstractNum>
  <w:abstractNum w:abstractNumId="1">
    <w:nsid w:val="C30507BB"/>
    <w:multiLevelType w:val="singleLevel"/>
    <w:tmpl w:val="C30507BB"/>
    <w:lvl w:ilvl="0" w:tentative="0">
      <w:start w:val="1"/>
      <w:numFmt w:val="decimal"/>
      <w:suff w:val="nothing"/>
      <w:lvlText w:val="（%1）"/>
      <w:lvlJc w:val="left"/>
    </w:lvl>
  </w:abstractNum>
  <w:abstractNum w:abstractNumId="2">
    <w:nsid w:val="01DD238B"/>
    <w:multiLevelType w:val="multilevel"/>
    <w:tmpl w:val="01DD238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B45C01"/>
    <w:multiLevelType w:val="singleLevel"/>
    <w:tmpl w:val="0BB45C01"/>
    <w:lvl w:ilvl="0" w:tentative="0">
      <w:start w:val="1"/>
      <w:numFmt w:val="decimal"/>
      <w:lvlText w:val="%1."/>
      <w:lvlJc w:val="left"/>
      <w:pPr>
        <w:tabs>
          <w:tab w:val="left" w:pos="312"/>
        </w:tabs>
      </w:pPr>
    </w:lvl>
  </w:abstractNum>
  <w:abstractNum w:abstractNumId="4">
    <w:nsid w:val="104E3CCC"/>
    <w:multiLevelType w:val="multilevel"/>
    <w:tmpl w:val="104E3CCC"/>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7D995A"/>
    <w:multiLevelType w:val="singleLevel"/>
    <w:tmpl w:val="557D995A"/>
    <w:lvl w:ilvl="0" w:tentative="0">
      <w:start w:val="1"/>
      <w:numFmt w:val="decimal"/>
      <w:suff w:val="nothing"/>
      <w:lvlText w:val="（%1）"/>
      <w:lvlJc w:val="left"/>
    </w:lvl>
  </w:abstractNum>
  <w:abstractNum w:abstractNumId="6">
    <w:nsid w:val="569C8C25"/>
    <w:multiLevelType w:val="singleLevel"/>
    <w:tmpl w:val="569C8C25"/>
    <w:lvl w:ilvl="0" w:tentative="0">
      <w:start w:val="1"/>
      <w:numFmt w:val="chineseCounting"/>
      <w:suff w:val="nothing"/>
      <w:lvlText w:val="%1、"/>
      <w:lvlJc w:val="left"/>
    </w:lvl>
  </w:abstractNum>
  <w:abstractNum w:abstractNumId="7">
    <w:nsid w:val="70222339"/>
    <w:multiLevelType w:val="multilevel"/>
    <w:tmpl w:val="70222339"/>
    <w:lvl w:ilvl="0" w:tentative="0">
      <w:start w:val="1"/>
      <w:numFmt w:val="decimal"/>
      <w:pStyle w:val="3"/>
      <w:lvlText w:val="%1."/>
      <w:lvlJc w:val="left"/>
      <w:pPr>
        <w:ind w:left="0" w:firstLine="0"/>
      </w:pPr>
      <w:rPr>
        <w:rFonts w:ascii="宋体" w:hAnsi="宋体" w:eastAsia="宋体"/>
        <w:b/>
        <w:i w:val="0"/>
        <w:iCs w:val="0"/>
        <w:caps w:val="0"/>
        <w:smallCaps w:val="0"/>
        <w:strike w:val="0"/>
        <w:dstrike w:val="0"/>
        <w:vanish w:val="0"/>
        <w:color w:val="000000"/>
        <w:spacing w:val="0"/>
        <w:position w:val="0"/>
        <w:u w:val="none"/>
        <w:vertAlign w:val="baseline"/>
      </w:rPr>
    </w:lvl>
    <w:lvl w:ilvl="1" w:tentative="0">
      <w:start w:val="1"/>
      <w:numFmt w:val="decimalZero"/>
      <w:isLgl/>
      <w:lvlText w:val="节 %1.%2"/>
      <w:lvlJc w:val="left"/>
      <w:pPr>
        <w:ind w:left="0" w:firstLine="0"/>
      </w:pPr>
    </w:lvl>
    <w:lvl w:ilvl="2" w:tentative="0">
      <w:start w:val="1"/>
      <w:numFmt w:val="lowerLetter"/>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7"/>
  </w:num>
  <w:num w:numId="2">
    <w:abstractNumId w:val="6"/>
  </w:num>
  <w:num w:numId="3">
    <w:abstractNumId w:val="4"/>
  </w:num>
  <w:num w:numId="4">
    <w:abstractNumId w:val="2"/>
  </w:num>
  <w:num w:numId="5">
    <w:abstractNumId w:val="1"/>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714FF"/>
    <w:rsid w:val="1015798D"/>
    <w:rsid w:val="18491255"/>
    <w:rsid w:val="1B3B4EE0"/>
    <w:rsid w:val="2B6C5589"/>
    <w:rsid w:val="3278047D"/>
    <w:rsid w:val="32FA43AF"/>
    <w:rsid w:val="330C4F1D"/>
    <w:rsid w:val="35047118"/>
    <w:rsid w:val="3B370333"/>
    <w:rsid w:val="3D5C65F8"/>
    <w:rsid w:val="43582C64"/>
    <w:rsid w:val="45A374B0"/>
    <w:rsid w:val="4A8300BE"/>
    <w:rsid w:val="59D10FA0"/>
    <w:rsid w:val="62457CA8"/>
    <w:rsid w:val="646C3E94"/>
    <w:rsid w:val="707963E0"/>
    <w:rsid w:val="71594450"/>
    <w:rsid w:val="73A156C5"/>
    <w:rsid w:val="74B83EC6"/>
    <w:rsid w:val="76C65CCB"/>
    <w:rsid w:val="7E733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widowControl w:val="0"/>
      <w:numPr>
        <w:ilvl w:val="0"/>
        <w:numId w:val="1"/>
      </w:numPr>
      <w:topLinePunct/>
      <w:spacing w:before="20" w:after="20" w:line="360" w:lineRule="auto"/>
      <w:jc w:val="both"/>
      <w:outlineLvl w:val="0"/>
    </w:pPr>
    <w:rPr>
      <w:rFonts w:ascii="Calibri" w:hAnsi="Calibri" w:eastAsia="宋体" w:cs="Times New Roman"/>
      <w:b/>
      <w:bCs/>
      <w:sz w:val="21"/>
      <w:szCs w:val="4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Verdana"/>
    </w:rPr>
  </w:style>
  <w:style w:type="paragraph" w:styleId="6">
    <w:name w:val="caption"/>
    <w:basedOn w:val="1"/>
    <w:next w:val="1"/>
    <w:qFormat/>
    <w:uiPriority w:val="0"/>
    <w:rPr>
      <w:rFonts w:ascii="Cambria" w:hAnsi="Cambria" w:eastAsia="黑体" w:cs="Times New Roman"/>
      <w:sz w:val="20"/>
      <w:szCs w:val="20"/>
    </w:rPr>
  </w:style>
  <w:style w:type="paragraph" w:styleId="7">
    <w:name w:val="annotation text"/>
    <w:basedOn w:val="1"/>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
    <w:qFormat/>
    <w:uiPriority w:val="0"/>
    <w:pPr>
      <w:spacing w:after="120"/>
    </w:pPr>
  </w:style>
  <w:style w:type="paragraph" w:styleId="10">
    <w:name w:val="List 2"/>
    <w:basedOn w:val="1"/>
    <w:qFormat/>
    <w:uiPriority w:val="0"/>
    <w:pPr>
      <w:ind w:left="100" w:leftChars="200" w:hanging="200" w:hangingChars="200"/>
    </w:p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style>
  <w:style w:type="paragraph" w:styleId="15">
    <w:name w:val="index heading"/>
    <w:basedOn w:val="1"/>
    <w:next w:val="16"/>
    <w:qFormat/>
    <w:uiPriority w:val="0"/>
    <w:rPr>
      <w:szCs w:val="20"/>
    </w:rPr>
  </w:style>
  <w:style w:type="paragraph" w:styleId="16">
    <w:name w:val="index 1"/>
    <w:basedOn w:val="1"/>
    <w:next w:val="1"/>
    <w:qFormat/>
    <w:uiPriority w:val="0"/>
  </w:style>
  <w:style w:type="paragraph" w:styleId="17">
    <w:name w:val="List"/>
    <w:basedOn w:val="1"/>
    <w:qFormat/>
    <w:uiPriority w:val="0"/>
    <w:pPr>
      <w:keepNext w:val="0"/>
      <w:keepLines w:val="0"/>
      <w:widowControl w:val="0"/>
      <w:suppressLineNumbers w:val="0"/>
      <w:spacing w:before="0" w:beforeAutospacing="0" w:after="0" w:afterAutospacing="0"/>
      <w:ind w:left="0" w:right="0" w:firstLine="0" w:firstLineChars="0"/>
      <w:contextualSpacing/>
      <w:jc w:val="both"/>
    </w:pPr>
    <w:rPr>
      <w:rFonts w:hint="default" w:ascii="Times New Roman" w:hAnsi="Times New Roman" w:eastAsia="宋体" w:cs="Times New Roman"/>
      <w:kern w:val="2"/>
      <w:sz w:val="21"/>
      <w:szCs w:val="21"/>
      <w:lang w:val="en-US" w:eastAsia="zh-CN" w:bidi="ar"/>
    </w:rPr>
  </w:style>
  <w:style w:type="paragraph" w:customStyle="1" w:styleId="20">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styleId="21">
    <w:name w:val="List Paragraph"/>
    <w:basedOn w:val="1"/>
    <w:qFormat/>
    <w:uiPriority w:val="34"/>
    <w:pPr>
      <w:ind w:firstLine="420"/>
    </w:pPr>
  </w:style>
  <w:style w:type="paragraph" w:customStyle="1" w:styleId="22">
    <w:name w:val="null3"/>
    <w:qFormat/>
    <w:uiPriority w:val="0"/>
    <w:rPr>
      <w:rFonts w:hint="eastAsia" w:ascii="Calibri" w:hAnsi="Calibri" w:eastAsia="宋体" w:cs="Times New Roman"/>
      <w:lang w:val="en-US" w:eastAsia="zh-Hans"/>
    </w:rPr>
  </w:style>
  <w:style w:type="paragraph" w:customStyle="1" w:styleId="23">
    <w:name w:val="列出段落1"/>
    <w:basedOn w:val="1"/>
    <w:qFormat/>
    <w:uiPriority w:val="99"/>
    <w:pPr>
      <w:ind w:firstLine="420" w:firstLineChars="200"/>
    </w:pPr>
  </w:style>
  <w:style w:type="paragraph" w:customStyle="1" w:styleId="24">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6">
    <w:name w:val="题注4"/>
    <w:basedOn w:val="1"/>
    <w:next w:val="6"/>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2025-09-03T03:58:00Z</dcterms:created>
  <dc:creator>Administrator.FY-202506050949.000</dc:creator>
  <cp:lastModifiedBy>Mao</cp:lastModifiedBy>
  <dcterms:modified xsi:type="dcterms:W3CDTF">2025-09-08T02:32:55Z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