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ind w:firstLine="723" w:firstLineChars="100"/>
        <w:jc w:val="both"/>
        <w:rPr>
          <w:rFonts w:hint="eastAsia" w:ascii="仿宋" w:hAnsi="仿宋" w:eastAsia="仿宋" w:cs="仿宋"/>
          <w:b/>
          <w:color w:val="auto"/>
          <w:sz w:val="72"/>
          <w:szCs w:val="72"/>
          <w:highlight w:val="none"/>
          <w:lang w:eastAsia="zh-CN"/>
        </w:rPr>
      </w:pPr>
    </w:p>
    <w:p>
      <w:pPr>
        <w:tabs>
          <w:tab w:val="left" w:pos="420"/>
          <w:tab w:val="left" w:pos="6660"/>
        </w:tabs>
        <w:spacing w:line="1600" w:lineRule="atLeast"/>
        <w:ind w:firstLine="723" w:firstLineChars="100"/>
        <w:jc w:val="both"/>
        <w:rPr>
          <w:rFonts w:hint="eastAsia" w:ascii="仿宋" w:hAnsi="仿宋" w:eastAsia="仿宋" w:cs="仿宋"/>
          <w:b/>
          <w:color w:val="auto"/>
          <w:sz w:val="72"/>
          <w:szCs w:val="72"/>
          <w:highlight w:val="none"/>
          <w:lang w:eastAsia="zh-CN"/>
        </w:rPr>
      </w:pPr>
    </w:p>
    <w:p>
      <w:pPr>
        <w:tabs>
          <w:tab w:val="left" w:pos="420"/>
          <w:tab w:val="left" w:pos="6660"/>
        </w:tabs>
        <w:spacing w:line="1600" w:lineRule="atLeast"/>
        <w:ind w:firstLine="723" w:firstLineChars="100"/>
        <w:jc w:val="both"/>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lang w:eastAsia="zh-CN"/>
        </w:rPr>
        <w:t>惠州市第一妇幼保健院</w:t>
      </w:r>
    </w:p>
    <w:p>
      <w:pPr>
        <w:tabs>
          <w:tab w:val="left" w:pos="420"/>
          <w:tab w:val="left" w:pos="6660"/>
        </w:tabs>
        <w:spacing w:line="1600" w:lineRule="atLeast"/>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 xml:space="preserve"> 院内比选文件</w:t>
      </w: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
          <w:color w:val="auto"/>
          <w:sz w:val="28"/>
          <w:szCs w:val="28"/>
          <w:highlight w:val="none"/>
        </w:rPr>
      </w:pPr>
    </w:p>
    <w:p>
      <w:pPr>
        <w:spacing w:line="500" w:lineRule="exact"/>
        <w:jc w:val="center"/>
        <w:rPr>
          <w:rFonts w:hint="eastAsia" w:ascii="仿宋" w:hAnsi="仿宋" w:eastAsia="仿宋" w:cs="仿宋"/>
          <w:bCs/>
          <w:color w:val="auto"/>
          <w:sz w:val="28"/>
          <w:szCs w:val="28"/>
          <w:highlight w:val="none"/>
        </w:rPr>
      </w:pPr>
    </w:p>
    <w:p>
      <w:pPr>
        <w:spacing w:line="500" w:lineRule="exact"/>
        <w:jc w:val="center"/>
        <w:rPr>
          <w:rFonts w:hint="default"/>
          <w:color w:val="auto"/>
          <w:highlight w:val="none"/>
          <w:lang w:val="en-US" w:eastAsia="zh-CN"/>
        </w:rPr>
      </w:pPr>
      <w:r>
        <w:rPr>
          <w:rFonts w:hint="eastAsia" w:ascii="仿宋" w:hAnsi="仿宋" w:eastAsia="仿宋" w:cs="仿宋"/>
          <w:b/>
          <w:color w:val="auto"/>
          <w:sz w:val="28"/>
          <w:szCs w:val="28"/>
          <w:highlight w:val="none"/>
        </w:rPr>
        <w:t>项目编号：</w:t>
      </w:r>
      <w:r>
        <w:rPr>
          <w:rFonts w:hint="eastAsia" w:ascii="仿宋" w:hAnsi="仿宋" w:eastAsia="仿宋" w:cs="仿宋"/>
          <w:b/>
          <w:color w:val="auto"/>
          <w:sz w:val="28"/>
          <w:szCs w:val="28"/>
          <w:highlight w:val="none"/>
          <w:lang w:val="en-US" w:eastAsia="zh-CN"/>
        </w:rPr>
        <w:t>ZCB-YN-2025017</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28"/>
          <w:szCs w:val="28"/>
          <w:highlight w:val="none"/>
        </w:rPr>
        <w:t xml:space="preserve"> 项目名称：</w:t>
      </w:r>
      <w:r>
        <w:rPr>
          <w:rFonts w:hint="eastAsia" w:ascii="仿宋" w:hAnsi="仿宋" w:eastAsia="仿宋" w:cs="仿宋"/>
          <w:b/>
          <w:color w:val="auto"/>
          <w:sz w:val="28"/>
          <w:szCs w:val="28"/>
          <w:highlight w:val="none"/>
          <w:lang w:eastAsia="zh-CN"/>
        </w:rPr>
        <w:t>2025年多媒体导引系统接口开发服务</w:t>
      </w:r>
    </w:p>
    <w:p>
      <w:pPr>
        <w:jc w:val="both"/>
        <w:rPr>
          <w:rFonts w:hint="eastAsia" w:ascii="仿宋" w:hAnsi="仿宋" w:eastAsia="仿宋" w:cs="仿宋"/>
          <w:b/>
          <w:color w:val="auto"/>
          <w:sz w:val="32"/>
          <w:szCs w:val="32"/>
          <w:highlight w:val="none"/>
        </w:rPr>
      </w:pPr>
    </w:p>
    <w:p>
      <w:pPr>
        <w:pStyle w:val="2"/>
        <w:rPr>
          <w:rFonts w:hint="eastAsia" w:ascii="仿宋" w:hAnsi="仿宋" w:eastAsia="仿宋" w:cs="仿宋"/>
          <w:b/>
          <w:color w:val="auto"/>
          <w:sz w:val="32"/>
          <w:szCs w:val="32"/>
          <w:highlight w:val="none"/>
        </w:rPr>
      </w:pPr>
    </w:p>
    <w:p>
      <w:pP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惠州市第一妇幼保健院</w:t>
      </w:r>
      <w:r>
        <w:rPr>
          <w:rFonts w:hint="eastAsia" w:ascii="仿宋" w:hAnsi="仿宋" w:eastAsia="仿宋" w:cs="仿宋"/>
          <w:b/>
          <w:color w:val="auto"/>
          <w:sz w:val="32"/>
          <w:szCs w:val="32"/>
          <w:highlight w:val="none"/>
        </w:rPr>
        <w:t>编制</w:t>
      </w:r>
    </w:p>
    <w:p>
      <w:pPr>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11</w:t>
      </w:r>
      <w:r>
        <w:rPr>
          <w:rFonts w:hint="eastAsia" w:ascii="仿宋" w:hAnsi="仿宋" w:eastAsia="仿宋" w:cs="仿宋"/>
          <w:b/>
          <w:color w:val="auto"/>
          <w:sz w:val="32"/>
          <w:szCs w:val="32"/>
          <w:highlight w:val="none"/>
        </w:rPr>
        <w:t>月</w:t>
      </w:r>
    </w:p>
    <w:p>
      <w:pPr>
        <w:jc w:val="center"/>
        <w:rPr>
          <w:rFonts w:hint="eastAsia" w:ascii="仿宋" w:hAnsi="仿宋" w:eastAsia="仿宋" w:cs="仿宋"/>
          <w:b/>
          <w:bCs/>
          <w:color w:val="auto"/>
          <w:sz w:val="52"/>
          <w:szCs w:val="52"/>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jc w:val="center"/>
        <w:rPr>
          <w:rFonts w:hint="eastAsia" w:ascii="仿宋" w:hAnsi="仿宋" w:eastAsia="仿宋" w:cs="仿宋"/>
          <w:b/>
          <w:bCs/>
          <w:color w:val="auto"/>
          <w:sz w:val="52"/>
          <w:szCs w:val="52"/>
          <w:highlight w:val="none"/>
          <w:lang w:eastAsia="zh-CN"/>
        </w:rPr>
      </w:pPr>
      <w:r>
        <w:rPr>
          <w:rFonts w:hint="eastAsia" w:ascii="仿宋" w:hAnsi="仿宋" w:eastAsia="仿宋" w:cs="仿宋"/>
          <w:b/>
          <w:bCs/>
          <w:color w:val="auto"/>
          <w:sz w:val="52"/>
          <w:szCs w:val="52"/>
          <w:highlight w:val="none"/>
        </w:rPr>
        <w:t>目      录</w:t>
      </w:r>
    </w:p>
    <w:p>
      <w:pPr>
        <w:pStyle w:val="9"/>
        <w:rPr>
          <w:rFonts w:hint="eastAsia"/>
          <w:color w:val="auto"/>
          <w:highlight w:val="none"/>
          <w:lang w:eastAsia="zh-CN"/>
        </w:rPr>
      </w:pPr>
    </w:p>
    <w:p>
      <w:pPr>
        <w:pStyle w:val="14"/>
        <w:tabs>
          <w:tab w:val="right" w:leader="dot" w:pos="9174"/>
        </w:tabs>
        <w:spacing w:line="360" w:lineRule="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第一部分  比选邀请函</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第二部分  采购项目内容</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第三部分  响应供应商须知</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第四部分  合同书格式</w:t>
      </w:r>
    </w:p>
    <w:p>
      <w:pPr>
        <w:rPr>
          <w:rFonts w:hint="eastAsia" w:ascii="仿宋" w:hAnsi="仿宋" w:eastAsia="仿宋" w:cs="仿宋"/>
          <w:b/>
          <w:bCs/>
          <w:color w:val="auto"/>
          <w:sz w:val="36"/>
          <w:szCs w:val="36"/>
          <w:highlight w:val="none"/>
        </w:rPr>
      </w:pPr>
    </w:p>
    <w:p>
      <w:pP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第五部分  响应文件格式</w:t>
      </w:r>
    </w:p>
    <w:p>
      <w:pPr>
        <w:spacing w:line="360" w:lineRule="auto"/>
        <w:rPr>
          <w:rFonts w:hint="eastAsia" w:ascii="仿宋" w:hAnsi="仿宋" w:eastAsia="仿宋" w:cs="仿宋"/>
          <w:b/>
          <w:color w:val="auto"/>
          <w:kern w:val="0"/>
          <w:sz w:val="28"/>
          <w:szCs w:val="28"/>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p>
    <w:p>
      <w:pPr>
        <w:spacing w:line="42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第一部分 比选邀请函</w:t>
      </w:r>
    </w:p>
    <w:p>
      <w:pPr>
        <w:spacing w:line="420" w:lineRule="exact"/>
        <w:rPr>
          <w:rFonts w:hint="eastAsia" w:ascii="仿宋" w:hAnsi="仿宋" w:eastAsia="仿宋" w:cs="仿宋"/>
          <w:color w:val="auto"/>
          <w:kern w:val="0"/>
          <w:sz w:val="24"/>
          <w:highlight w:val="none"/>
        </w:rPr>
      </w:pPr>
    </w:p>
    <w:p>
      <w:pPr>
        <w:spacing w:line="4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各（潜在）供应商</w:t>
      </w:r>
      <w:r>
        <w:rPr>
          <w:rFonts w:hint="eastAsia" w:ascii="仿宋" w:hAnsi="仿宋" w:eastAsia="仿宋" w:cs="仿宋"/>
          <w:color w:val="auto"/>
          <w:kern w:val="0"/>
          <w:sz w:val="24"/>
          <w:highlight w:val="none"/>
          <w:lang w:eastAsia="zh-CN"/>
        </w:rPr>
        <w:t>：</w:t>
      </w:r>
    </w:p>
    <w:p>
      <w:pPr>
        <w:spacing w:line="42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惠州市第一妇幼保健院2025年多媒体导引系统接口开发服务</w:t>
      </w:r>
      <w:r>
        <w:rPr>
          <w:rFonts w:hint="eastAsia" w:ascii="仿宋" w:hAnsi="仿宋" w:eastAsia="仿宋" w:cs="仿宋"/>
          <w:color w:val="auto"/>
          <w:sz w:val="24"/>
          <w:highlight w:val="none"/>
        </w:rPr>
        <w:t>将进行院内比选采购，</w:t>
      </w:r>
      <w:r>
        <w:rPr>
          <w:rFonts w:hint="eastAsia" w:ascii="仿宋" w:hAnsi="仿宋" w:eastAsia="仿宋" w:cs="仿宋"/>
          <w:color w:val="auto"/>
          <w:sz w:val="24"/>
          <w:highlight w:val="none"/>
          <w:lang w:val="zh-CN"/>
        </w:rPr>
        <w:t>欢迎符合资格条件</w:t>
      </w:r>
      <w:r>
        <w:rPr>
          <w:rFonts w:hint="eastAsia" w:ascii="仿宋" w:hAnsi="仿宋" w:eastAsia="仿宋" w:cs="仿宋"/>
          <w:color w:val="auto"/>
          <w:sz w:val="24"/>
          <w:highlight w:val="none"/>
        </w:rPr>
        <w:t>的供应商响应。</w:t>
      </w:r>
    </w:p>
    <w:p>
      <w:pPr>
        <w:autoSpaceDE w:val="0"/>
        <w:autoSpaceDN w:val="0"/>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一、项目</w:t>
      </w:r>
      <w:r>
        <w:rPr>
          <w:rFonts w:hint="eastAsia" w:ascii="仿宋" w:hAnsi="仿宋" w:eastAsia="仿宋" w:cs="仿宋"/>
          <w:color w:val="auto"/>
          <w:sz w:val="24"/>
          <w:highlight w:val="none"/>
          <w:lang w:val="zh-CN"/>
        </w:rPr>
        <w:t>编号：</w:t>
      </w:r>
      <w:r>
        <w:rPr>
          <w:rFonts w:hint="eastAsia" w:ascii="仿宋" w:hAnsi="仿宋" w:eastAsia="仿宋" w:cs="仿宋"/>
          <w:color w:val="auto"/>
          <w:sz w:val="24"/>
          <w:highlight w:val="none"/>
          <w:lang w:eastAsia="zh-CN"/>
        </w:rPr>
        <w:t>ZCB-YN-2025017</w:t>
      </w:r>
    </w:p>
    <w:p>
      <w:pPr>
        <w:autoSpaceDE w:val="0"/>
        <w:autoSpaceDN w:val="0"/>
        <w:spacing w:line="420" w:lineRule="exact"/>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二、项目名称：</w:t>
      </w:r>
      <w:r>
        <w:rPr>
          <w:rFonts w:hint="eastAsia" w:ascii="仿宋" w:hAnsi="仿宋" w:eastAsia="仿宋" w:cs="仿宋"/>
          <w:color w:val="auto"/>
          <w:sz w:val="24"/>
          <w:highlight w:val="none"/>
          <w:lang w:eastAsia="zh-CN"/>
        </w:rPr>
        <w:t>惠州市第一妇幼保健院2025年多媒体导引系统接口开发服务</w:t>
      </w:r>
    </w:p>
    <w:p>
      <w:pPr>
        <w:spacing w:line="420" w:lineRule="exact"/>
        <w:ind w:firstLine="504" w:firstLineChars="21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三、项目内容：</w:t>
      </w:r>
    </w:p>
    <w:tbl>
      <w:tblPr>
        <w:tblStyle w:val="16"/>
        <w:tblW w:w="7831" w:type="dxa"/>
        <w:jc w:val="center"/>
        <w:tblLayout w:type="fixed"/>
        <w:tblCellMar>
          <w:top w:w="0" w:type="dxa"/>
          <w:left w:w="108" w:type="dxa"/>
          <w:bottom w:w="0" w:type="dxa"/>
          <w:right w:w="108" w:type="dxa"/>
        </w:tblCellMar>
      </w:tblPr>
      <w:tblGrid>
        <w:gridCol w:w="727"/>
        <w:gridCol w:w="2076"/>
        <w:gridCol w:w="714"/>
        <w:gridCol w:w="720"/>
        <w:gridCol w:w="1608"/>
        <w:gridCol w:w="1986"/>
      </w:tblGrid>
      <w:tr>
        <w:tblPrEx>
          <w:tblCellMar>
            <w:top w:w="0" w:type="dxa"/>
            <w:left w:w="108" w:type="dxa"/>
            <w:bottom w:w="0" w:type="dxa"/>
            <w:right w:w="108" w:type="dxa"/>
          </w:tblCellMar>
        </w:tblPrEx>
        <w:trPr>
          <w:trHeight w:val="90"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序号</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项目</w:t>
            </w:r>
            <w:r>
              <w:rPr>
                <w:rFonts w:hint="eastAsia" w:ascii="仿宋" w:hAnsi="仿宋" w:eastAsia="仿宋" w:cs="仿宋"/>
                <w:color w:val="auto"/>
                <w:kern w:val="0"/>
                <w:sz w:val="24"/>
                <w:szCs w:val="24"/>
                <w:highlight w:val="none"/>
              </w:rPr>
              <w:t>名称</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最高限价（元）</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tblPrEx>
          <w:tblCellMar>
            <w:top w:w="0" w:type="dxa"/>
            <w:left w:w="108" w:type="dxa"/>
            <w:bottom w:w="0" w:type="dxa"/>
            <w:right w:w="108" w:type="dxa"/>
          </w:tblCellMar>
        </w:tblPrEx>
        <w:trPr>
          <w:trHeight w:val="653" w:hRule="atLeast"/>
          <w:jc w:val="center"/>
        </w:trPr>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1</w:t>
            </w:r>
          </w:p>
        </w:tc>
        <w:tc>
          <w:tcPr>
            <w:tcW w:w="20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2025年多媒体导引系统接口开发服务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项</w:t>
            </w:r>
          </w:p>
        </w:tc>
        <w:tc>
          <w:tcPr>
            <w:tcW w:w="16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100000.00</w:t>
            </w:r>
          </w:p>
        </w:tc>
        <w:tc>
          <w:tcPr>
            <w:tcW w:w="19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详细</w:t>
            </w:r>
            <w:r>
              <w:rPr>
                <w:rFonts w:hint="eastAsia" w:ascii="仿宋" w:hAnsi="仿宋" w:eastAsia="仿宋" w:cs="仿宋"/>
                <w:color w:val="auto"/>
                <w:kern w:val="0"/>
                <w:sz w:val="24"/>
                <w:szCs w:val="24"/>
                <w:highlight w:val="none"/>
                <w:lang w:val="en-US" w:eastAsia="zh-CN"/>
              </w:rPr>
              <w:t>项目</w:t>
            </w:r>
            <w:r>
              <w:rPr>
                <w:rFonts w:hint="eastAsia" w:ascii="仿宋" w:hAnsi="仿宋" w:eastAsia="仿宋" w:cs="仿宋"/>
                <w:color w:val="auto"/>
                <w:kern w:val="0"/>
                <w:sz w:val="24"/>
                <w:szCs w:val="24"/>
                <w:highlight w:val="none"/>
                <w:lang w:eastAsia="zh-CN"/>
              </w:rPr>
              <w:t>要求</w:t>
            </w:r>
            <w:r>
              <w:rPr>
                <w:rFonts w:hint="eastAsia" w:ascii="仿宋" w:hAnsi="仿宋" w:eastAsia="仿宋" w:cs="仿宋"/>
                <w:color w:val="auto"/>
                <w:kern w:val="0"/>
                <w:sz w:val="24"/>
                <w:szCs w:val="24"/>
                <w:highlight w:val="none"/>
              </w:rPr>
              <w:t>请参阅</w:t>
            </w:r>
            <w:r>
              <w:rPr>
                <w:rFonts w:hint="eastAsia" w:ascii="仿宋" w:hAnsi="仿宋" w:eastAsia="仿宋" w:cs="仿宋"/>
                <w:color w:val="auto"/>
                <w:kern w:val="0"/>
                <w:sz w:val="24"/>
                <w:szCs w:val="24"/>
                <w:highlight w:val="none"/>
                <w:lang w:val="en-US" w:eastAsia="zh-CN"/>
              </w:rPr>
              <w:t>比选</w:t>
            </w:r>
            <w:r>
              <w:rPr>
                <w:rFonts w:hint="eastAsia" w:ascii="仿宋" w:hAnsi="仿宋" w:eastAsia="仿宋" w:cs="仿宋"/>
                <w:color w:val="auto"/>
                <w:kern w:val="0"/>
                <w:sz w:val="24"/>
                <w:szCs w:val="24"/>
                <w:highlight w:val="none"/>
              </w:rPr>
              <w:t>文件中的采购项目内容。</w:t>
            </w:r>
          </w:p>
        </w:tc>
      </w:tr>
    </w:tbl>
    <w:p>
      <w:pPr>
        <w:spacing w:line="420" w:lineRule="exact"/>
        <w:rPr>
          <w:rFonts w:hint="eastAsia" w:ascii="仿宋" w:hAnsi="仿宋" w:eastAsia="仿宋" w:cs="仿宋"/>
          <w:color w:val="auto"/>
          <w:sz w:val="24"/>
          <w:highlight w:val="none"/>
          <w:lang w:val="zh-CN"/>
        </w:rPr>
      </w:pPr>
    </w:p>
    <w:p>
      <w:pPr>
        <w:spacing w:line="420" w:lineRule="exact"/>
        <w:ind w:firstLine="504" w:firstLineChars="21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zh-CN"/>
        </w:rPr>
        <w:t>四、拟参加</w:t>
      </w:r>
      <w:r>
        <w:rPr>
          <w:rFonts w:hint="eastAsia" w:ascii="仿宋" w:hAnsi="仿宋" w:eastAsia="仿宋" w:cs="仿宋"/>
          <w:color w:val="auto"/>
          <w:sz w:val="24"/>
          <w:highlight w:val="none"/>
        </w:rPr>
        <w:t>响应的供应商应当在20</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11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18 </w:t>
      </w:r>
      <w:r>
        <w:rPr>
          <w:rFonts w:hint="eastAsia" w:ascii="仿宋" w:hAnsi="仿宋" w:eastAsia="仿宋" w:cs="仿宋"/>
          <w:color w:val="auto"/>
          <w:sz w:val="24"/>
          <w:highlight w:val="none"/>
        </w:rPr>
        <w:t>日起至202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11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24</w:t>
      </w:r>
      <w:r>
        <w:rPr>
          <w:rFonts w:hint="eastAsia" w:ascii="仿宋" w:hAnsi="仿宋" w:eastAsia="仿宋" w:cs="仿宋"/>
          <w:color w:val="auto"/>
          <w:sz w:val="24"/>
          <w:highlight w:val="none"/>
        </w:rPr>
        <w:t>日（08:00-12:00，</w:t>
      </w:r>
      <w:r>
        <w:rPr>
          <w:rFonts w:hint="eastAsia" w:ascii="仿宋" w:hAnsi="仿宋" w:eastAsia="仿宋" w:cs="仿宋"/>
          <w:color w:val="auto"/>
          <w:sz w:val="24"/>
          <w:highlight w:val="none"/>
          <w:lang w:eastAsia="zh-CN"/>
        </w:rPr>
        <w:t>14:</w:t>
      </w:r>
      <w:r>
        <w:rPr>
          <w:rFonts w:hint="eastAsia" w:ascii="仿宋" w:hAnsi="仿宋" w:eastAsia="仿宋" w:cs="仿宋"/>
          <w:color w:val="auto"/>
          <w:sz w:val="24"/>
          <w:highlight w:val="none"/>
        </w:rPr>
        <w:t>30-17:30，法定节假日除外）</w:t>
      </w:r>
      <w:r>
        <w:rPr>
          <w:rFonts w:hint="eastAsia" w:ascii="仿宋" w:hAnsi="仿宋" w:eastAsia="仿宋" w:cs="仿宋"/>
          <w:color w:val="auto"/>
          <w:kern w:val="0"/>
          <w:sz w:val="24"/>
          <w:highlight w:val="none"/>
        </w:rPr>
        <w:t>通过惠州市第一妇幼保健院</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邮箱报名</w:t>
      </w:r>
      <w:r>
        <w:rPr>
          <w:rFonts w:hint="eastAsia" w:ascii="仿宋" w:hAnsi="仿宋" w:eastAsia="仿宋" w:cs="仿宋"/>
          <w:color w:val="auto"/>
          <w:kern w:val="0"/>
          <w:sz w:val="24"/>
          <w:highlight w:val="none"/>
          <w:lang w:eastAsia="zh-CN"/>
        </w:rPr>
        <w:t>或现场报名</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医院办公室</w:t>
      </w:r>
      <w:r>
        <w:rPr>
          <w:rFonts w:hint="eastAsia" w:ascii="仿宋" w:hAnsi="仿宋" w:eastAsia="仿宋" w:cs="仿宋"/>
          <w:color w:val="auto"/>
          <w:kern w:val="0"/>
          <w:sz w:val="24"/>
          <w:highlight w:val="none"/>
        </w:rPr>
        <w:t>邮箱：dyfyzcb@huizhou.gov.cn</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五、响应文件递交截止时间：202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11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26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15 </w:t>
      </w:r>
      <w:r>
        <w:rPr>
          <w:rFonts w:hint="eastAsia" w:ascii="仿宋" w:hAnsi="仿宋" w:eastAsia="仿宋" w:cs="仿宋"/>
          <w:color w:val="auto"/>
          <w:sz w:val="24"/>
          <w:highlight w:val="none"/>
        </w:rPr>
        <w:t>时（北京时间）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六、响应文件送达地点：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七、比选时间：202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11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26 </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15 </w:t>
      </w:r>
      <w:r>
        <w:rPr>
          <w:rFonts w:hint="eastAsia" w:ascii="仿宋" w:hAnsi="仿宋" w:eastAsia="仿宋" w:cs="仿宋"/>
          <w:color w:val="auto"/>
          <w:sz w:val="24"/>
          <w:highlight w:val="none"/>
        </w:rPr>
        <w:t>时</w:t>
      </w:r>
      <w:r>
        <w:rPr>
          <w:rFonts w:hint="eastAsia" w:ascii="仿宋" w:hAnsi="仿宋" w:eastAsia="仿宋" w:cs="仿宋"/>
          <w:color w:val="auto"/>
          <w:sz w:val="24"/>
          <w:highlight w:val="none"/>
          <w:lang w:val="en-US" w:eastAsia="zh-CN"/>
        </w:rPr>
        <w:t>00 分</w:t>
      </w:r>
      <w:r>
        <w:rPr>
          <w:rFonts w:hint="eastAsia" w:ascii="仿宋" w:hAnsi="仿宋" w:eastAsia="仿宋" w:cs="仿宋"/>
          <w:color w:val="auto"/>
          <w:sz w:val="24"/>
          <w:highlight w:val="none"/>
        </w:rPr>
        <w:t>（北京时间）</w:t>
      </w:r>
    </w:p>
    <w:p>
      <w:pPr>
        <w:spacing w:line="420" w:lineRule="exact"/>
        <w:ind w:firstLine="504" w:firstLineChars="210"/>
        <w:rPr>
          <w:rFonts w:hint="eastAsia" w:ascii="仿宋" w:hAnsi="仿宋" w:eastAsia="仿宋" w:cs="仿宋"/>
          <w:color w:val="auto"/>
          <w:sz w:val="24"/>
          <w:highlight w:val="none"/>
        </w:rPr>
      </w:pPr>
      <w:r>
        <w:rPr>
          <w:rFonts w:hint="eastAsia" w:ascii="仿宋" w:hAnsi="仿宋" w:eastAsia="仿宋" w:cs="仿宋"/>
          <w:color w:val="auto"/>
          <w:sz w:val="24"/>
          <w:highlight w:val="none"/>
        </w:rPr>
        <w:t>八、比选地点：</w:t>
      </w:r>
      <w:r>
        <w:rPr>
          <w:rFonts w:hint="eastAsia" w:ascii="仿宋" w:hAnsi="仿宋" w:eastAsia="仿宋" w:cs="仿宋"/>
          <w:color w:val="auto"/>
          <w:sz w:val="24"/>
          <w:highlight w:val="none"/>
          <w:lang w:val="zh-CN"/>
        </w:rPr>
        <w:t>惠州市惠城区演达四路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惠州市第一妇幼保健院发热门诊二楼</w:t>
      </w:r>
      <w:r>
        <w:rPr>
          <w:rFonts w:hint="eastAsia" w:ascii="仿宋" w:hAnsi="仿宋" w:eastAsia="仿宋" w:cs="仿宋"/>
          <w:color w:val="auto"/>
          <w:sz w:val="24"/>
          <w:highlight w:val="none"/>
        </w:rPr>
        <w:t>。</w:t>
      </w:r>
    </w:p>
    <w:p>
      <w:pPr>
        <w:spacing w:line="420" w:lineRule="exact"/>
        <w:rPr>
          <w:rFonts w:hint="eastAsia" w:ascii="仿宋" w:hAnsi="仿宋" w:eastAsia="仿宋" w:cs="仿宋"/>
          <w:color w:val="auto"/>
          <w:sz w:val="24"/>
          <w:highlight w:val="none"/>
        </w:rPr>
      </w:pPr>
    </w:p>
    <w:p>
      <w:pPr>
        <w:spacing w:line="42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惠州市第一妇幼保健院</w:t>
      </w:r>
    </w:p>
    <w:p>
      <w:pPr>
        <w:spacing w:line="420" w:lineRule="exac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李工</w:t>
      </w:r>
      <w:r>
        <w:rPr>
          <w:rFonts w:hint="eastAsia" w:ascii="仿宋" w:hAnsi="仿宋" w:eastAsia="仿宋" w:cs="仿宋"/>
          <w:color w:val="auto"/>
          <w:sz w:val="24"/>
          <w:highlight w:val="none"/>
        </w:rPr>
        <w:t xml:space="preserve">                         电话：</w:t>
      </w:r>
      <w:r>
        <w:rPr>
          <w:rFonts w:ascii="仿宋" w:hAnsi="仿宋" w:eastAsia="仿宋" w:cs="仿宋"/>
          <w:color w:val="auto"/>
          <w:sz w:val="24"/>
          <w:highlight w:val="none"/>
        </w:rPr>
        <w:t>0752-</w:t>
      </w:r>
      <w:r>
        <w:rPr>
          <w:rFonts w:hint="eastAsia" w:ascii="仿宋" w:hAnsi="仿宋" w:eastAsia="仿宋" w:cs="仿宋"/>
          <w:color w:val="auto"/>
          <w:sz w:val="24"/>
          <w:highlight w:val="none"/>
          <w:lang w:val="en-US" w:eastAsia="zh-CN"/>
        </w:rPr>
        <w:t>7806068</w:t>
      </w:r>
    </w:p>
    <w:p>
      <w:pPr>
        <w:spacing w:line="42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联系地址：惠州市演达四路</w:t>
      </w:r>
      <w:r>
        <w:rPr>
          <w:rFonts w:hint="eastAsia" w:ascii="仿宋" w:hAnsi="仿宋" w:eastAsia="仿宋" w:cs="仿宋"/>
          <w:color w:val="auto"/>
          <w:sz w:val="24"/>
          <w:highlight w:val="none"/>
          <w:lang w:val="en-US" w:eastAsia="zh-CN"/>
        </w:rPr>
        <w:t>5号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邮编：516001</w:t>
      </w: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8"/>
        <w:rPr>
          <w:rFonts w:hint="eastAsia"/>
          <w:color w:val="auto"/>
          <w:highlight w:val="none"/>
          <w:lang w:val="en-US" w:eastAsia="zh-CN"/>
        </w:rPr>
      </w:pPr>
    </w:p>
    <w:p>
      <w:pPr>
        <w:spacing w:line="420" w:lineRule="exact"/>
        <w:ind w:firstLine="3720" w:firstLineChars="155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spacing w:line="420" w:lineRule="exact"/>
        <w:ind w:firstLine="3720" w:firstLineChars="1550"/>
        <w:jc w:val="righ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惠州市第一妇幼保健院</w:t>
      </w:r>
    </w:p>
    <w:p>
      <w:pPr>
        <w:spacing w:line="420" w:lineRule="exact"/>
        <w:ind w:firstLine="4800" w:firstLineChars="20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202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 xml:space="preserve"> 11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 xml:space="preserve"> 17 </w:t>
      </w:r>
      <w:r>
        <w:rPr>
          <w:rFonts w:hint="eastAsia" w:ascii="仿宋" w:hAnsi="仿宋" w:eastAsia="仿宋" w:cs="仿宋"/>
          <w:color w:val="auto"/>
          <w:sz w:val="24"/>
          <w:highlight w:val="none"/>
        </w:rPr>
        <w:t>日</w:t>
      </w:r>
    </w:p>
    <w:p>
      <w:pPr>
        <w:spacing w:line="360" w:lineRule="auto"/>
        <w:jc w:val="center"/>
        <w:rPr>
          <w:rFonts w:hint="eastAsia" w:ascii="仿宋" w:hAnsi="仿宋" w:eastAsia="仿宋" w:cs="仿宋"/>
          <w:b/>
          <w:color w:val="auto"/>
          <w:sz w:val="28"/>
          <w:szCs w:val="28"/>
          <w:highlight w:val="none"/>
        </w:rPr>
      </w:pPr>
      <w:r>
        <w:rPr>
          <w:rFonts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第二部分　采购项目内容</w:t>
      </w:r>
    </w:p>
    <w:p>
      <w:pPr>
        <w:numPr>
          <w:ilvl w:val="0"/>
          <w:numId w:val="2"/>
        </w:num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响应供应商</w:t>
      </w:r>
      <w:r>
        <w:rPr>
          <w:rFonts w:hint="eastAsia" w:ascii="仿宋" w:hAnsi="仿宋" w:eastAsia="仿宋" w:cs="仿宋"/>
          <w:b/>
          <w:bCs/>
          <w:color w:val="auto"/>
          <w:sz w:val="24"/>
          <w:highlight w:val="none"/>
        </w:rPr>
        <w:t>资格</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1.具备《中华人民共和国政府采购法》第二十二条规定的条件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w:t>
      </w:r>
      <w:r>
        <w:rPr>
          <w:rFonts w:hint="eastAsia" w:ascii="仿宋" w:hAnsi="仿宋" w:eastAsia="仿宋" w:cs="仿宋"/>
          <w:b/>
          <w:bCs/>
          <w:color w:val="auto"/>
          <w:sz w:val="24"/>
          <w:highlight w:val="none"/>
        </w:rPr>
        <w:t>（提供营业执照等证明文件）</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近</w:t>
      </w:r>
      <w:r>
        <w:rPr>
          <w:rFonts w:hint="eastAsia" w:ascii="仿宋" w:hAnsi="仿宋" w:eastAsia="仿宋" w:cs="仿宋"/>
          <w:color w:val="auto"/>
          <w:sz w:val="24"/>
          <w:szCs w:val="24"/>
          <w:highlight w:val="none"/>
          <w:lang w:eastAsia="zh-CN"/>
        </w:rPr>
        <w:t>12个月内</w:t>
      </w:r>
      <w:r>
        <w:rPr>
          <w:rFonts w:hint="eastAsia" w:ascii="仿宋" w:hAnsi="仿宋" w:eastAsia="仿宋" w:cs="仿宋"/>
          <w:color w:val="auto"/>
          <w:sz w:val="24"/>
          <w:highlight w:val="none"/>
        </w:rPr>
        <w:t>银行出具的资信证明（复印件）；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任意一个月的依法缴纳税收证明材料</w:t>
      </w:r>
      <w:r>
        <w:rPr>
          <w:rFonts w:hint="eastAsia" w:ascii="仿宋" w:hAnsi="仿宋" w:eastAsia="仿宋" w:cs="仿宋"/>
          <w:b/>
          <w:bCs/>
          <w:color w:val="auto"/>
          <w:sz w:val="24"/>
          <w:highlight w:val="none"/>
        </w:rPr>
        <w:t>（如依法免税，则须提供相应文件证明其依法免税）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（4）比</w:t>
      </w:r>
      <w:r>
        <w:rPr>
          <w:rFonts w:hint="eastAsia" w:ascii="仿宋" w:hAnsi="仿宋" w:eastAsia="仿宋" w:cs="仿宋"/>
          <w:color w:val="auto"/>
          <w:sz w:val="24"/>
          <w:highlight w:val="none"/>
          <w:lang w:val="en-US" w:eastAsia="zh-CN"/>
        </w:rPr>
        <w:t>价</w:t>
      </w: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近12个月内</w:t>
      </w:r>
      <w:r>
        <w:rPr>
          <w:rFonts w:hint="eastAsia" w:ascii="仿宋" w:hAnsi="仿宋" w:eastAsia="仿宋" w:cs="仿宋"/>
          <w:color w:val="auto"/>
          <w:sz w:val="24"/>
          <w:highlight w:val="none"/>
        </w:rPr>
        <w:t>任意一个月的依法缴纳社会保险凭据</w:t>
      </w:r>
      <w:r>
        <w:rPr>
          <w:rFonts w:hint="eastAsia" w:ascii="仿宋" w:hAnsi="仿宋" w:eastAsia="仿宋" w:cs="仿宋"/>
          <w:b/>
          <w:bCs/>
          <w:color w:val="auto"/>
          <w:sz w:val="24"/>
          <w:highlight w:val="none"/>
        </w:rPr>
        <w:t>（如依法不需要缴纳社保，则须提供相应文件证明其依法不需要缴纳）或书面声明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w:t>
      </w:r>
      <w:r>
        <w:rPr>
          <w:rFonts w:hint="eastAsia" w:ascii="仿宋" w:hAnsi="仿宋" w:eastAsia="仿宋" w:cs="仿宋"/>
          <w:b/>
          <w:bCs/>
          <w:color w:val="auto"/>
          <w:sz w:val="24"/>
          <w:highlight w:val="none"/>
        </w:rPr>
        <w:t>证明材料或书面声明</w:t>
      </w:r>
      <w:r>
        <w:rPr>
          <w:rFonts w:hint="eastAsia" w:ascii="仿宋" w:hAnsi="仿宋" w:eastAsia="仿宋" w:cs="仿宋"/>
          <w:color w:val="auto"/>
          <w:sz w:val="24"/>
          <w:highlight w:val="none"/>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4.为采购项目提供整体设计、规范编制或者项目管理、监理、检测等服务的供应商，不得再参加该采购项目的其他采购活动。</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，不允许响应供应商对各</w:t>
      </w:r>
      <w:r>
        <w:rPr>
          <w:rFonts w:hint="eastAsia" w:ascii="仿宋" w:hAnsi="仿宋" w:eastAsia="仿宋" w:cs="仿宋"/>
          <w:color w:val="auto"/>
          <w:sz w:val="24"/>
          <w:highlight w:val="none"/>
          <w:lang w:eastAsia="zh-CN"/>
        </w:rPr>
        <w:t>比价</w:t>
      </w:r>
      <w:r>
        <w:rPr>
          <w:rFonts w:hint="eastAsia" w:ascii="仿宋" w:hAnsi="仿宋" w:eastAsia="仿宋" w:cs="仿宋"/>
          <w:color w:val="auto"/>
          <w:sz w:val="24"/>
          <w:highlight w:val="none"/>
        </w:rPr>
        <w:t>项目进行分包或转包</w:t>
      </w:r>
      <w:r>
        <w:rPr>
          <w:rFonts w:hint="eastAsia" w:ascii="仿宋" w:hAnsi="仿宋" w:eastAsia="仿宋" w:cs="仿宋"/>
          <w:color w:val="auto"/>
          <w:sz w:val="24"/>
          <w:highlight w:val="none"/>
          <w:lang w:eastAsia="zh-CN"/>
        </w:rPr>
        <w:t>（</w:t>
      </w:r>
      <w:r>
        <w:rPr>
          <w:rFonts w:hint="eastAsia" w:ascii="仿宋" w:hAnsi="仿宋" w:eastAsia="仿宋" w:cs="仿宋"/>
          <w:b/>
          <w:bCs/>
          <w:color w:val="auto"/>
          <w:sz w:val="24"/>
          <w:highlight w:val="none"/>
        </w:rPr>
        <w:t>供应商出具声明函</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w:t>
      </w:r>
    </w:p>
    <w:p>
      <w:pPr>
        <w:keepNext w:val="0"/>
        <w:keepLines w:val="0"/>
        <w:widowControl w:val="0"/>
        <w:suppressLineNumbers w:val="0"/>
        <w:tabs>
          <w:tab w:val="left" w:pos="0"/>
        </w:tabs>
        <w:wordWrap w:val="0"/>
        <w:spacing w:before="0" w:beforeAutospacing="0" w:after="0" w:afterAutospacing="0" w:line="360" w:lineRule="auto"/>
        <w:ind w:left="0" w:right="0" w:firstLine="480" w:firstLineChars="200"/>
        <w:jc w:val="left"/>
        <w:rPr>
          <w:color w:val="auto"/>
          <w:highlight w:val="none"/>
        </w:rPr>
      </w:pPr>
      <w:r>
        <w:rPr>
          <w:rFonts w:hint="eastAsia" w:ascii="仿宋" w:hAnsi="仿宋" w:eastAsia="仿宋" w:cs="仿宋"/>
          <w:color w:val="auto"/>
          <w:sz w:val="24"/>
          <w:highlight w:val="none"/>
        </w:rPr>
        <w:t>6.本项目是专门面向中小企业采购的项目。</w:t>
      </w:r>
      <w:r>
        <w:rPr>
          <w:rFonts w:hint="eastAsia" w:ascii="仿宋" w:hAnsi="仿宋" w:eastAsia="仿宋" w:cs="仿宋"/>
          <w:b/>
          <w:bCs/>
          <w:color w:val="auto"/>
          <w:sz w:val="24"/>
          <w:highlight w:val="none"/>
        </w:rPr>
        <w:t>（提供《中小企业声明函》</w:t>
      </w:r>
      <w:r>
        <w:rPr>
          <w:rFonts w:hint="eastAsia" w:ascii="仿宋" w:hAnsi="仿宋" w:eastAsia="仿宋" w:cs="仿宋"/>
          <w:b/>
          <w:bCs/>
          <w:color w:val="auto"/>
          <w:sz w:val="24"/>
          <w:highlight w:val="none"/>
          <w:lang w:eastAsia="zh-CN"/>
        </w:rPr>
        <w:t>，具体格式文件见比价文件P</w:t>
      </w:r>
      <w:r>
        <w:rPr>
          <w:rFonts w:hint="eastAsia" w:ascii="仿宋" w:hAnsi="仿宋" w:eastAsia="仿宋" w:cs="仿宋"/>
          <w:b/>
          <w:bCs/>
          <w:color w:val="auto"/>
          <w:sz w:val="24"/>
          <w:highlight w:val="none"/>
          <w:lang w:val="en-US" w:eastAsia="zh-CN"/>
        </w:rPr>
        <w:t>51</w:t>
      </w:r>
      <w:r>
        <w:rPr>
          <w:rFonts w:hint="eastAsia" w:ascii="仿宋" w:hAnsi="仿宋" w:eastAsia="仿宋" w:cs="仿宋"/>
          <w:b/>
          <w:bCs/>
          <w:color w:val="auto"/>
          <w:sz w:val="24"/>
          <w:highlight w:val="none"/>
          <w:lang w:eastAsia="zh-CN"/>
        </w:rPr>
        <w:t>中</w:t>
      </w:r>
      <w:r>
        <w:rPr>
          <w:rFonts w:hint="eastAsia" w:ascii="仿宋" w:hAnsi="仿宋" w:eastAsia="仿宋" w:cs="仿宋"/>
          <w:b/>
          <w:bCs/>
          <w:color w:val="auto"/>
          <w:sz w:val="24"/>
          <w:highlight w:val="none"/>
          <w:lang w:val="hr-HR" w:eastAsia="zh-CN"/>
        </w:rPr>
        <w:t>小企业声明函（工程、服务），未按要求提供声明函的将导致响应无效</w:t>
      </w:r>
      <w:r>
        <w:rPr>
          <w:rFonts w:hint="eastAsia" w:ascii="仿宋" w:hAnsi="仿宋" w:eastAsia="仿宋" w:cs="仿宋"/>
          <w:b/>
          <w:bCs/>
          <w:color w:val="auto"/>
          <w:sz w:val="24"/>
          <w:highlight w:val="none"/>
          <w:lang w:eastAsia="zh-CN"/>
        </w:rPr>
        <w:t>）</w:t>
      </w:r>
      <w:r>
        <w:rPr>
          <w:rFonts w:hint="eastAsia" w:ascii="仿宋" w:hAnsi="仿宋" w:eastAsia="仿宋" w:cs="仿宋"/>
          <w:color w:val="auto"/>
          <w:sz w:val="24"/>
          <w:highlight w:val="none"/>
        </w:rPr>
        <w:t>。本项目中小企业划分标准</w:t>
      </w:r>
      <w:r>
        <w:rPr>
          <w:rFonts w:hint="eastAsia" w:ascii="仿宋" w:hAnsi="仿宋" w:eastAsia="仿宋" w:cs="仿宋"/>
          <w:b/>
          <w:bCs/>
          <w:color w:val="auto"/>
          <w:sz w:val="24"/>
          <w:highlight w:val="none"/>
        </w:rPr>
        <w:t>所属行业为</w:t>
      </w:r>
      <w:r>
        <w:rPr>
          <w:rFonts w:hint="eastAsia" w:ascii="仿宋" w:hAnsi="仿宋" w:eastAsia="仿宋" w:cs="仿宋"/>
          <w:b/>
          <w:bCs/>
          <w:color w:val="auto"/>
          <w:sz w:val="24"/>
          <w:highlight w:val="none"/>
          <w:lang w:eastAsia="zh-CN"/>
        </w:rPr>
        <w:t>：</w:t>
      </w:r>
      <w:r>
        <w:rPr>
          <w:rFonts w:hint="eastAsia" w:ascii="仿宋" w:hAnsi="仿宋" w:eastAsia="仿宋" w:cs="仿宋"/>
          <w:color w:val="auto"/>
          <w:kern w:val="2"/>
          <w:sz w:val="24"/>
          <w:szCs w:val="24"/>
          <w:highlight w:val="none"/>
          <w:lang w:val="en-US" w:eastAsia="zh-CN" w:bidi="ar"/>
        </w:rPr>
        <w:t>软件和信息技术服务业</w:t>
      </w:r>
      <w:r>
        <w:rPr>
          <w:rFonts w:hint="eastAsia" w:ascii="仿宋" w:hAnsi="仿宋" w:eastAsia="仿宋" w:cs="仿宋"/>
          <w:color w:val="auto"/>
          <w:sz w:val="24"/>
          <w:szCs w:val="24"/>
          <w:highlight w:val="none"/>
          <w:lang w:eastAsia="zh-CN"/>
        </w:rPr>
        <w:t>。</w:t>
      </w:r>
    </w:p>
    <w:p>
      <w:pPr>
        <w:spacing w:line="360" w:lineRule="auto"/>
        <w:ind w:firstLine="480" w:firstLineChars="200"/>
        <w:rPr>
          <w:rFonts w:hint="default" w:ascii="仿宋" w:hAnsi="仿宋" w:eastAsia="宋体" w:cs="仿宋"/>
          <w:b/>
          <w:bCs/>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360" w:lineRule="auto"/>
        <w:ind w:firstLine="482" w:firstLineChars="200"/>
        <w:rPr>
          <w:rFonts w:hint="eastAsia" w:ascii="仿宋" w:hAnsi="仿宋" w:eastAsia="仿宋" w:cs="仿宋"/>
          <w:color w:val="auto"/>
          <w:highlight w:val="none"/>
          <w:lang w:val="zh-CN"/>
        </w:rPr>
      </w:pPr>
      <w:r>
        <w:rPr>
          <w:rFonts w:hint="eastAsia" w:ascii="仿宋" w:hAnsi="仿宋" w:eastAsia="仿宋" w:cs="仿宋"/>
          <w:b/>
          <w:bCs/>
          <w:color w:val="auto"/>
          <w:sz w:val="24"/>
          <w:highlight w:val="none"/>
          <w:lang w:val="zh-CN"/>
        </w:rPr>
        <w:t>响应供应商必须满足以上资格要求并提供证明材料，如出现对任意一条不满足的，评审小组有权决定是否响应有效。</w:t>
      </w:r>
    </w:p>
    <w:p>
      <w:pPr>
        <w:autoSpaceDE w:val="0"/>
        <w:autoSpaceDN w:val="0"/>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color w:val="auto"/>
          <w:sz w:val="24"/>
          <w:highlight w:val="none"/>
        </w:rPr>
        <w:t>二、</w:t>
      </w:r>
      <w:r>
        <w:rPr>
          <w:rFonts w:hint="eastAsia" w:ascii="仿宋" w:hAnsi="仿宋" w:eastAsia="仿宋" w:cs="仿宋"/>
          <w:b/>
          <w:color w:val="auto"/>
          <w:sz w:val="24"/>
          <w:highlight w:val="none"/>
          <w:lang w:val="en-US" w:eastAsia="zh-CN"/>
        </w:rPr>
        <w:t>采购项目用户需求书</w:t>
      </w:r>
    </w:p>
    <w:p>
      <w:pPr>
        <w:numPr>
          <w:ilvl w:val="0"/>
          <w:numId w:val="0"/>
        </w:numPr>
        <w:spacing w:line="360" w:lineRule="auto"/>
        <w:ind w:firstLine="482" w:firstLineChars="2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en-US" w:eastAsia="zh-CN"/>
        </w:rPr>
        <w:t>（一）响应</w:t>
      </w:r>
      <w:r>
        <w:rPr>
          <w:rFonts w:hint="eastAsia" w:ascii="仿宋" w:hAnsi="仿宋" w:eastAsia="仿宋" w:cs="仿宋"/>
          <w:b/>
          <w:bCs/>
          <w:color w:val="auto"/>
          <w:sz w:val="24"/>
          <w:highlight w:val="none"/>
          <w:lang w:val="zh-CN" w:eastAsia="zh-CN"/>
        </w:rPr>
        <w:t>基本要求</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u w:val="none" w:color="auto"/>
        </w:rPr>
        <w:t>1</w:t>
      </w:r>
      <w:r>
        <w:rPr>
          <w:rFonts w:hint="eastAsia" w:ascii="仿宋" w:hAnsi="仿宋" w:eastAsia="仿宋" w:cs="仿宋"/>
          <w:b/>
          <w:color w:val="auto"/>
          <w:sz w:val="24"/>
          <w:highlight w:val="none"/>
          <w:u w:val="none" w:color="auto"/>
          <w:lang w:val="en-US" w:eastAsia="zh-CN"/>
        </w:rPr>
        <w:t>.</w:t>
      </w:r>
      <w:r>
        <w:rPr>
          <w:rFonts w:hint="eastAsia" w:ascii="仿宋" w:hAnsi="仿宋" w:eastAsia="仿宋" w:cs="仿宋"/>
          <w:b/>
          <w:color w:val="auto"/>
          <w:sz w:val="24"/>
          <w:highlight w:val="none"/>
          <w:u w:val="none" w:color="auto"/>
        </w:rPr>
        <w:t>本项目要求中所出现的产品工艺、材料、设备或参照的型号、品牌仅作为参考建议，不作为限制性要求。“采购项目技术参数要求”中所列参数为最低要求，供应商可以提供相当于或优于</w:t>
      </w:r>
      <w:r>
        <w:rPr>
          <w:rFonts w:hint="eastAsia" w:ascii="仿宋" w:hAnsi="仿宋" w:eastAsia="仿宋" w:cs="仿宋"/>
          <w:b/>
          <w:color w:val="auto"/>
          <w:sz w:val="24"/>
          <w:highlight w:val="none"/>
          <w:u w:val="none" w:color="auto"/>
          <w:lang w:eastAsia="zh-CN"/>
        </w:rPr>
        <w:t>比选</w:t>
      </w:r>
      <w:r>
        <w:rPr>
          <w:rFonts w:hint="eastAsia" w:ascii="仿宋" w:hAnsi="仿宋" w:eastAsia="仿宋" w:cs="仿宋"/>
          <w:b/>
          <w:color w:val="auto"/>
          <w:sz w:val="24"/>
          <w:highlight w:val="none"/>
          <w:u w:val="none" w:color="auto"/>
        </w:rPr>
        <w:t>文件参数的货物</w:t>
      </w:r>
      <w:r>
        <w:rPr>
          <w:rFonts w:hint="eastAsia" w:ascii="仿宋" w:hAnsi="仿宋" w:eastAsia="仿宋" w:cs="仿宋"/>
          <w:b/>
          <w:color w:val="auto"/>
          <w:sz w:val="24"/>
          <w:highlight w:val="none"/>
          <w:u w:val="none" w:color="auto"/>
          <w:lang w:eastAsia="zh-CN"/>
        </w:rPr>
        <w:t>，</w:t>
      </w:r>
      <w:r>
        <w:rPr>
          <w:rFonts w:hint="eastAsia" w:ascii="仿宋" w:hAnsi="仿宋" w:eastAsia="仿宋" w:cs="仿宋"/>
          <w:color w:val="auto"/>
          <w:sz w:val="24"/>
          <w:highlight w:val="none"/>
        </w:rPr>
        <w:t>至少应提供对主要技术参数的响应证明材料。响应供应商所响应产品应当提供厂商说明材料，厂商说明材料包括但不限于下列文件：</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（1）响应产品的品牌、型号、详细配置参数；</w:t>
      </w:r>
    </w:p>
    <w:p>
      <w:pPr>
        <w:spacing w:line="360" w:lineRule="auto"/>
        <w:ind w:firstLine="480"/>
        <w:rPr>
          <w:rFonts w:hint="eastAsia" w:ascii="仿宋" w:hAnsi="仿宋" w:eastAsia="仿宋" w:cs="仿宋"/>
          <w:b/>
          <w:color w:val="auto"/>
          <w:sz w:val="24"/>
          <w:highlight w:val="none"/>
          <w:u w:val="none" w:color="auto"/>
          <w:lang w:eastAsia="zh-CN"/>
        </w:rPr>
      </w:pPr>
      <w:r>
        <w:rPr>
          <w:rFonts w:hint="eastAsia" w:ascii="仿宋" w:hAnsi="仿宋" w:eastAsia="仿宋" w:cs="仿宋"/>
          <w:color w:val="auto"/>
          <w:sz w:val="24"/>
          <w:highlight w:val="none"/>
        </w:rPr>
        <w:t>（2）能证实产品技术、配置参数的证明材料（包括：①能体现响应技术参数厂商的中文说明书或彩页或厂家主要技术参数说明函等；或②厂商针对本项目的产品详细配置响应表；或③厂商官方网站的技术白皮书打印稿，同时注明材料来源于官方网站的网址。以上文件均需加盖厂商或响应供应商公章）。</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2</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本采购项目中标注★号的内容为实质性要求和条件，如果响应供应商所比选货物、服务与具体要求存在不响应或者负偏离，在符合性审查时将不予通过，响应无效。</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kern w:val="0"/>
          <w:sz w:val="24"/>
          <w:highlight w:val="none"/>
          <w:u w:val="none" w:color="auto"/>
        </w:rPr>
        <w:t>3</w:t>
      </w:r>
      <w:r>
        <w:rPr>
          <w:rFonts w:hint="eastAsia" w:ascii="仿宋" w:hAnsi="仿宋" w:eastAsia="仿宋" w:cs="仿宋"/>
          <w:b/>
          <w:bCs/>
          <w:color w:val="auto"/>
          <w:kern w:val="0"/>
          <w:sz w:val="24"/>
          <w:highlight w:val="none"/>
          <w:u w:val="none" w:color="auto"/>
          <w:lang w:val="en-US" w:eastAsia="zh-CN"/>
        </w:rPr>
        <w:t>.</w:t>
      </w:r>
      <w:r>
        <w:rPr>
          <w:rFonts w:hint="eastAsia" w:ascii="仿宋" w:hAnsi="仿宋" w:eastAsia="仿宋" w:cs="仿宋"/>
          <w:b/>
          <w:bCs/>
          <w:color w:val="auto"/>
          <w:sz w:val="24"/>
          <w:highlight w:val="none"/>
          <w:u w:val="none" w:color="auto"/>
        </w:rPr>
        <w:t>本采购项目中标注▲号的内容为择优要求和条件，负偏离或不响应▲号条款的响应供应商将影响综合得分。</w:t>
      </w:r>
    </w:p>
    <w:p>
      <w:pPr>
        <w:autoSpaceDE w:val="0"/>
        <w:autoSpaceDN w:val="0"/>
        <w:spacing w:line="360" w:lineRule="auto"/>
        <w:ind w:firstLine="482" w:firstLineChars="200"/>
        <w:rPr>
          <w:rFonts w:hint="eastAsia" w:ascii="仿宋" w:hAnsi="仿宋" w:eastAsia="仿宋" w:cs="仿宋"/>
          <w:b/>
          <w:bCs/>
          <w:color w:val="auto"/>
          <w:sz w:val="24"/>
          <w:highlight w:val="none"/>
          <w:u w:val="none" w:color="auto"/>
        </w:rPr>
      </w:pPr>
      <w:r>
        <w:rPr>
          <w:rFonts w:hint="eastAsia" w:ascii="仿宋" w:hAnsi="仿宋" w:eastAsia="仿宋" w:cs="仿宋"/>
          <w:b/>
          <w:bCs/>
          <w:color w:val="auto"/>
          <w:sz w:val="24"/>
          <w:highlight w:val="none"/>
          <w:u w:val="none" w:color="auto"/>
        </w:rPr>
        <w:t>4</w:t>
      </w:r>
      <w:r>
        <w:rPr>
          <w:rFonts w:hint="eastAsia" w:ascii="仿宋" w:hAnsi="仿宋" w:eastAsia="仿宋" w:cs="仿宋"/>
          <w:b/>
          <w:bCs/>
          <w:color w:val="auto"/>
          <w:sz w:val="24"/>
          <w:highlight w:val="none"/>
          <w:u w:val="none" w:color="auto"/>
          <w:lang w:val="en-US" w:eastAsia="zh-CN"/>
        </w:rPr>
        <w:t>.</w:t>
      </w:r>
      <w:r>
        <w:rPr>
          <w:rFonts w:hint="eastAsia" w:ascii="仿宋" w:hAnsi="仿宋" w:eastAsia="仿宋" w:cs="仿宋"/>
          <w:b/>
          <w:bCs/>
          <w:color w:val="auto"/>
          <w:sz w:val="24"/>
          <w:highlight w:val="none"/>
          <w:u w:val="none" w:color="auto"/>
          <w:lang w:eastAsia="zh-CN"/>
        </w:rPr>
        <w:t>响应供应商</w:t>
      </w:r>
      <w:r>
        <w:rPr>
          <w:rFonts w:hint="eastAsia" w:ascii="仿宋" w:hAnsi="仿宋" w:eastAsia="仿宋" w:cs="仿宋"/>
          <w:b/>
          <w:bCs/>
          <w:color w:val="auto"/>
          <w:sz w:val="24"/>
          <w:highlight w:val="none"/>
          <w:u w:val="none" w:color="auto"/>
        </w:rPr>
        <w:t>须提供独立密封</w:t>
      </w:r>
      <w:r>
        <w:rPr>
          <w:rFonts w:hint="eastAsia" w:ascii="仿宋" w:hAnsi="仿宋" w:eastAsia="仿宋" w:cs="仿宋"/>
          <w:b/>
          <w:bCs/>
          <w:strike w:val="0"/>
          <w:dstrike w:val="0"/>
          <w:color w:val="auto"/>
          <w:sz w:val="24"/>
          <w:highlight w:val="none"/>
          <w:u w:val="none" w:color="auto"/>
        </w:rPr>
        <w:t>和</w:t>
      </w:r>
      <w:r>
        <w:rPr>
          <w:rFonts w:hint="eastAsia" w:ascii="仿宋" w:hAnsi="仿宋" w:eastAsia="仿宋" w:cs="仿宋"/>
          <w:b/>
          <w:bCs/>
          <w:color w:val="auto"/>
          <w:sz w:val="24"/>
          <w:highlight w:val="none"/>
          <w:u w:val="none" w:color="auto"/>
          <w:lang w:val="en-US" w:eastAsia="zh-CN"/>
        </w:rPr>
        <w:t>装订成册</w:t>
      </w:r>
      <w:r>
        <w:rPr>
          <w:rFonts w:hint="eastAsia" w:ascii="仿宋" w:hAnsi="仿宋" w:eastAsia="仿宋" w:cs="仿宋"/>
          <w:b/>
          <w:bCs/>
          <w:color w:val="auto"/>
          <w:sz w:val="24"/>
          <w:highlight w:val="none"/>
          <w:u w:val="none" w:color="auto"/>
        </w:rPr>
        <w:t>“</w:t>
      </w:r>
      <w:r>
        <w:rPr>
          <w:rFonts w:hint="eastAsia" w:ascii="仿宋" w:hAnsi="仿宋" w:eastAsia="仿宋" w:cs="仿宋"/>
          <w:b/>
          <w:bCs/>
          <w:color w:val="auto"/>
          <w:sz w:val="24"/>
          <w:highlight w:val="none"/>
          <w:u w:val="none" w:color="auto"/>
          <w:lang w:eastAsia="zh-CN"/>
        </w:rPr>
        <w:t>比选</w:t>
      </w:r>
      <w:r>
        <w:rPr>
          <w:rFonts w:hint="eastAsia" w:ascii="仿宋" w:hAnsi="仿宋" w:eastAsia="仿宋" w:cs="仿宋"/>
          <w:b/>
          <w:bCs/>
          <w:color w:val="auto"/>
          <w:sz w:val="24"/>
          <w:highlight w:val="none"/>
          <w:u w:val="none" w:color="auto"/>
        </w:rPr>
        <w:t>响应文件”</w:t>
      </w:r>
      <w:r>
        <w:rPr>
          <w:rFonts w:hint="eastAsia" w:ascii="仿宋" w:hAnsi="仿宋" w:eastAsia="仿宋" w:cs="仿宋"/>
          <w:b/>
          <w:bCs/>
          <w:color w:val="auto"/>
          <w:sz w:val="24"/>
          <w:highlight w:val="none"/>
          <w:u w:val="none" w:color="auto"/>
          <w:lang w:eastAsia="zh-CN"/>
        </w:rPr>
        <w:t>一式两份</w:t>
      </w:r>
      <w:r>
        <w:rPr>
          <w:rFonts w:hint="eastAsia" w:ascii="仿宋" w:hAnsi="仿宋" w:eastAsia="仿宋" w:cs="仿宋"/>
          <w:b/>
          <w:bCs/>
          <w:color w:val="auto"/>
          <w:sz w:val="24"/>
          <w:highlight w:val="none"/>
          <w:u w:val="none" w:color="auto"/>
        </w:rPr>
        <w:t>，否则其响应文件将被拒收。</w:t>
      </w:r>
    </w:p>
    <w:p>
      <w:pPr>
        <w:numPr>
          <w:ilvl w:val="0"/>
          <w:numId w:val="0"/>
        </w:numPr>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(二)项目概况</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1.项目</w:t>
      </w:r>
      <w:r>
        <w:rPr>
          <w:rFonts w:hint="eastAsia" w:ascii="仿宋" w:hAnsi="仿宋" w:eastAsia="仿宋" w:cs="仿宋"/>
          <w:b w:val="0"/>
          <w:bCs w:val="0"/>
          <w:color w:val="auto"/>
          <w:sz w:val="24"/>
          <w:highlight w:val="none"/>
          <w:lang w:val="zh-CN" w:eastAsia="zh-CN"/>
        </w:rPr>
        <w:t>编号：</w:t>
      </w:r>
      <w:r>
        <w:rPr>
          <w:rFonts w:hint="eastAsia" w:ascii="仿宋" w:hAnsi="仿宋" w:eastAsia="仿宋" w:cs="仿宋"/>
          <w:b w:val="0"/>
          <w:bCs w:val="0"/>
          <w:color w:val="auto"/>
          <w:sz w:val="24"/>
          <w:highlight w:val="none"/>
          <w:lang w:val="en-US" w:eastAsia="zh-CN"/>
        </w:rPr>
        <w:t>ZCB-YN-2025017</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w:t>
      </w:r>
      <w:r>
        <w:rPr>
          <w:rFonts w:hint="eastAsia" w:ascii="仿宋" w:hAnsi="仿宋" w:eastAsia="仿宋" w:cs="仿宋"/>
          <w:b w:val="0"/>
          <w:bCs w:val="0"/>
          <w:color w:val="auto"/>
          <w:sz w:val="24"/>
          <w:highlight w:val="none"/>
          <w:lang w:val="zh-CN" w:eastAsia="zh-CN"/>
        </w:rPr>
        <w:t>项目名称：</w:t>
      </w:r>
      <w:r>
        <w:rPr>
          <w:rFonts w:hint="eastAsia" w:ascii="仿宋" w:hAnsi="仿宋" w:eastAsia="仿宋" w:cs="仿宋"/>
          <w:b w:val="0"/>
          <w:bCs w:val="0"/>
          <w:color w:val="auto"/>
          <w:sz w:val="24"/>
          <w:highlight w:val="none"/>
          <w:lang w:val="en-US" w:eastAsia="zh-CN"/>
        </w:rPr>
        <w:t>惠州市第一妇幼保健院2025年多媒体导引系统接口开发服务</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en-US" w:eastAsia="zh-CN"/>
        </w:rPr>
        <w:t>3.预算金额（最高限价）</w:t>
      </w:r>
      <w:r>
        <w:rPr>
          <w:rFonts w:hint="eastAsia" w:ascii="仿宋" w:hAnsi="仿宋" w:eastAsia="仿宋" w:cs="仿宋"/>
          <w:b w:val="0"/>
          <w:bCs w:val="0"/>
          <w:color w:val="auto"/>
          <w:sz w:val="24"/>
          <w:highlight w:val="none"/>
          <w:lang w:val="zh-CN" w:eastAsia="zh-CN"/>
        </w:rPr>
        <w:t>：</w:t>
      </w:r>
      <w:r>
        <w:rPr>
          <w:rFonts w:hint="eastAsia" w:ascii="仿宋" w:hAnsi="仿宋" w:eastAsia="仿宋" w:cs="仿宋"/>
          <w:b w:val="0"/>
          <w:bCs w:val="0"/>
          <w:color w:val="auto"/>
          <w:sz w:val="24"/>
          <w:highlight w:val="none"/>
          <w:lang w:val="en-US" w:eastAsia="zh-CN"/>
        </w:rPr>
        <w:t>¥100000.00</w:t>
      </w:r>
      <w:r>
        <w:rPr>
          <w:rFonts w:hint="eastAsia" w:ascii="仿宋" w:hAnsi="仿宋" w:eastAsia="仿宋" w:cs="仿宋"/>
          <w:b w:val="0"/>
          <w:bCs w:val="0"/>
          <w:color w:val="auto"/>
          <w:sz w:val="24"/>
          <w:highlight w:val="none"/>
          <w:lang w:val="zh-CN" w:eastAsia="zh-CN"/>
        </w:rPr>
        <w:t>元。</w:t>
      </w:r>
    </w:p>
    <w:p>
      <w:pPr>
        <w:numPr>
          <w:ilvl w:val="0"/>
          <w:numId w:val="0"/>
        </w:numPr>
        <w:spacing w:line="360" w:lineRule="auto"/>
        <w:ind w:firstLine="482"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bCs/>
          <w:color w:val="auto"/>
          <w:sz w:val="24"/>
          <w:highlight w:val="none"/>
          <w:lang w:val="en-US" w:eastAsia="zh-CN"/>
        </w:rPr>
        <w:t>（三）项目内容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1.服务内容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供应商应针对采购人医院需求，</w:t>
      </w:r>
      <w:r>
        <w:rPr>
          <w:rFonts w:hint="eastAsia" w:ascii="仿宋" w:hAnsi="仿宋" w:eastAsia="仿宋" w:cs="仿宋"/>
          <w:b w:val="0"/>
          <w:bCs w:val="0"/>
          <w:strike w:val="0"/>
          <w:color w:val="auto"/>
          <w:sz w:val="24"/>
          <w:highlight w:val="none"/>
          <w:lang w:val="en-US" w:eastAsia="zh-CN"/>
        </w:rPr>
        <w:t>对</w:t>
      </w:r>
      <w:r>
        <w:rPr>
          <w:rFonts w:hint="eastAsia" w:ascii="仿宋" w:hAnsi="仿宋" w:eastAsia="仿宋" w:cs="仿宋"/>
          <w:b w:val="0"/>
          <w:bCs w:val="0"/>
          <w:color w:val="auto"/>
          <w:sz w:val="24"/>
          <w:highlight w:val="none"/>
          <w:lang w:val="en-US" w:eastAsia="zh-CN"/>
        </w:rPr>
        <w:t>多媒体医疗导引系统</w:t>
      </w:r>
      <w:r>
        <w:rPr>
          <w:rFonts w:hint="eastAsia" w:ascii="仿宋" w:hAnsi="仿宋" w:eastAsia="仿宋" w:cs="仿宋"/>
          <w:b w:val="0"/>
          <w:bCs w:val="0"/>
          <w:strike w:val="0"/>
          <w:color w:val="auto"/>
          <w:sz w:val="24"/>
          <w:highlight w:val="none"/>
          <w:lang w:val="en-US" w:eastAsia="zh-CN"/>
        </w:rPr>
        <w:t>进行</w:t>
      </w:r>
      <w:r>
        <w:rPr>
          <w:rFonts w:hint="eastAsia" w:ascii="仿宋" w:hAnsi="仿宋" w:eastAsia="仿宋" w:cs="仿宋"/>
          <w:b w:val="0"/>
          <w:bCs w:val="0"/>
          <w:color w:val="auto"/>
          <w:sz w:val="24"/>
          <w:highlight w:val="none"/>
          <w:lang w:val="en-US" w:eastAsia="zh-CN"/>
        </w:rPr>
        <w:t>后台管理升级、分诊台管理端的升级，包括对后台统计模块的增加，与微信公众号的数据交互等。系统升级后，需满足临床科室的要求，提高门诊科室的管理，全面提升医院的公共服务技术水平，提升服务档次，提升医患病人对医院的满意度。系统升级后符合未来医疗信创的要求，满足网络安全等级评审的要求。满足关于HIS升级需要对接的数据要求，配合系统升级上线。</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2.服务清单（现有系统清单内容）</w:t>
      </w:r>
    </w:p>
    <w:tbl>
      <w:tblPr>
        <w:tblStyle w:val="16"/>
        <w:tblW w:w="9243" w:type="dxa"/>
        <w:tblInd w:w="-4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272"/>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blHeader/>
        </w:trPr>
        <w:tc>
          <w:tcPr>
            <w:tcW w:w="999"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72"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模块名称</w:t>
            </w:r>
          </w:p>
        </w:tc>
        <w:tc>
          <w:tcPr>
            <w:tcW w:w="6972"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99"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272"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多媒体导引系统</w:t>
            </w:r>
            <w:r>
              <w:rPr>
                <w:rFonts w:hint="eastAsia" w:ascii="仿宋" w:hAnsi="仿宋" w:eastAsia="仿宋" w:cs="仿宋"/>
                <w:bCs/>
                <w:color w:val="auto"/>
                <w:sz w:val="24"/>
                <w:szCs w:val="24"/>
                <w:highlight w:val="none"/>
                <w:lang w:val="en-US" w:eastAsia="zh-CN"/>
              </w:rPr>
              <w:t>升级</w:t>
            </w:r>
          </w:p>
        </w:tc>
        <w:tc>
          <w:tcPr>
            <w:tcW w:w="6972" w:type="dxa"/>
            <w:noWrap w:val="0"/>
            <w:vAlign w:val="center"/>
          </w:tcPr>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rPr>
              <w:t>后台统计模块包含分时统计、历史统计、医生查询、患者查询。</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2.</w:t>
            </w:r>
            <w:r>
              <w:rPr>
                <w:rFonts w:hint="eastAsia" w:ascii="仿宋" w:hAnsi="仿宋" w:eastAsia="仿宋" w:cs="仿宋"/>
                <w:color w:val="auto"/>
                <w:sz w:val="24"/>
                <w:szCs w:val="24"/>
                <w:highlight w:val="none"/>
              </w:rPr>
              <w:t>分时统计：查询某天诊区或者科室下的当前候诊人数、报到人次、叫号人次、平均等候时长、诊结人次、平均问诊时长以及候诊人数，呼叫，报到，挂号人数在每个时间点的折线图</w:t>
            </w:r>
            <w:r>
              <w:rPr>
                <w:rFonts w:hint="eastAsia" w:ascii="仿宋" w:hAnsi="仿宋" w:eastAsia="仿宋" w:cs="仿宋"/>
                <w:color w:val="auto"/>
                <w:sz w:val="24"/>
                <w:szCs w:val="24"/>
                <w:highlight w:val="none"/>
                <w:lang w:eastAsia="zh-CN"/>
              </w:rPr>
              <w:t>。</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rPr>
              <w:t>历史统计：根据某个时间段查询诊区或者科室下的挂号人数，叫号人次，平均等候时长，诊结人次，平均问诊时长</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医生查询：查询某个时段医生看诊情况，包括医生姓名，工号，看诊日期，上午首次呼叫，上午最后呼叫，下午首次呼叫，下午最后呼叫，叫号人次，平均等候时长，诊结人次，平均问诊时长，首次问诊时间，问诊最长时长，问诊最短时长以及某天该医生下的患者就诊信息</w:t>
            </w:r>
            <w:r>
              <w:rPr>
                <w:rFonts w:hint="eastAsia" w:ascii="仿宋" w:hAnsi="仿宋" w:eastAsia="仿宋" w:cs="仿宋"/>
                <w:color w:val="auto"/>
                <w:sz w:val="24"/>
                <w:szCs w:val="24"/>
                <w:highlight w:val="none"/>
                <w:lang w:eastAsia="zh-CN"/>
              </w:rPr>
              <w:t>。</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4.</w:t>
            </w:r>
            <w:r>
              <w:rPr>
                <w:rFonts w:hint="eastAsia" w:ascii="仿宋" w:hAnsi="仿宋" w:eastAsia="仿宋" w:cs="仿宋"/>
                <w:color w:val="auto"/>
                <w:sz w:val="24"/>
                <w:szCs w:val="24"/>
                <w:highlight w:val="none"/>
              </w:rPr>
              <w:t>患者查询：根据患者姓名或者id查询当前患者就诊信息，包括患者id，姓名，队列，午别，序号，日期，挂号/预约时间、报到时间、呼叫时间、医生、叫号器、结束时间、结束状态、等候时长、问诊时长。</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5.</w:t>
            </w:r>
            <w:r>
              <w:rPr>
                <w:rFonts w:hint="eastAsia" w:ascii="仿宋" w:hAnsi="仿宋" w:eastAsia="仿宋" w:cs="仿宋"/>
                <w:color w:val="auto"/>
                <w:sz w:val="24"/>
                <w:szCs w:val="24"/>
                <w:highlight w:val="none"/>
              </w:rPr>
              <w:t>分诊属性：分诊台可分成门诊，急诊，医技，体检，发热门诊。针对不同的属性，分诊台会呈现不同的功能。</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6.</w:t>
            </w:r>
            <w:r>
              <w:rPr>
                <w:rFonts w:hint="eastAsia" w:ascii="仿宋" w:hAnsi="仿宋" w:eastAsia="仿宋" w:cs="仿宋"/>
                <w:color w:val="auto"/>
                <w:sz w:val="24"/>
                <w:szCs w:val="24"/>
                <w:highlight w:val="none"/>
              </w:rPr>
              <w:t>初诊数据保留时长：针对未报到患者，超过前一天几个小时后的数据可以保留下来。</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rPr>
            </w:pPr>
            <w:r>
              <w:rPr>
                <w:rFonts w:hint="default" w:ascii="仿宋" w:hAnsi="仿宋" w:eastAsia="仿宋" w:cs="仿宋"/>
                <w:color w:val="auto"/>
                <w:kern w:val="2"/>
                <w:sz w:val="24"/>
                <w:szCs w:val="24"/>
                <w:highlight w:val="none"/>
                <w:lang w:val="en-US" w:eastAsia="zh-CN" w:bidi="ar-SA"/>
              </w:rPr>
              <w:t>7.</w:t>
            </w:r>
            <w:r>
              <w:rPr>
                <w:rFonts w:hint="eastAsia" w:ascii="仿宋" w:hAnsi="仿宋" w:eastAsia="仿宋" w:cs="仿宋"/>
                <w:color w:val="auto"/>
                <w:sz w:val="24"/>
                <w:szCs w:val="24"/>
                <w:highlight w:val="none"/>
              </w:rPr>
              <w:t>复诊隔天报到：针对隔天（隔天数量设置）诊结二次就诊的患者，可到分诊台或者报到机复诊报到。</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8.</w:t>
            </w:r>
            <w:r>
              <w:rPr>
                <w:rFonts w:hint="eastAsia" w:ascii="仿宋" w:hAnsi="仿宋" w:eastAsia="仿宋" w:cs="仿宋"/>
                <w:color w:val="auto"/>
                <w:sz w:val="24"/>
                <w:szCs w:val="24"/>
                <w:highlight w:val="none"/>
              </w:rPr>
              <w:t>队列类型管理：对医院的所有队列类型（医院的分诊台、诊室、医生、门诊队列类型）进行统一管理，并把队列类型分配到对应的各个分诊台、分诊台下的叫号器以及医生当中，最后分配到对应的患者中</w:t>
            </w:r>
            <w:r>
              <w:rPr>
                <w:rFonts w:hint="eastAsia" w:ascii="仿宋" w:hAnsi="仿宋" w:eastAsia="仿宋" w:cs="仿宋"/>
                <w:color w:val="auto"/>
                <w:sz w:val="24"/>
                <w:szCs w:val="24"/>
                <w:highlight w:val="none"/>
                <w:lang w:eastAsia="zh-CN"/>
              </w:rPr>
              <w:t>。</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9.</w:t>
            </w:r>
            <w:r>
              <w:rPr>
                <w:rFonts w:hint="eastAsia" w:ascii="仿宋" w:hAnsi="仿宋" w:eastAsia="仿宋" w:cs="仿宋"/>
                <w:color w:val="auto"/>
                <w:sz w:val="24"/>
                <w:szCs w:val="24"/>
                <w:highlight w:val="none"/>
                <w:lang w:eastAsia="zh-CN"/>
              </w:rPr>
              <w:t>软件升级处理：阿帕奇（Apache）漏洞、msql数据库漏洞、 PHP漏洞等漏洞的修复。</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10.</w:t>
            </w:r>
            <w:r>
              <w:rPr>
                <w:rFonts w:hint="eastAsia" w:ascii="仿宋" w:hAnsi="仿宋" w:eastAsia="仿宋" w:cs="仿宋"/>
                <w:color w:val="auto"/>
                <w:sz w:val="24"/>
                <w:szCs w:val="24"/>
                <w:highlight w:val="none"/>
                <w:lang w:eastAsia="zh-CN"/>
              </w:rPr>
              <w:t>分诊台五个模块：分诊模块、排班管理模块、预约模块、扫描模块、手工录入模块。</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11.</w:t>
            </w:r>
            <w:r>
              <w:rPr>
                <w:rFonts w:hint="eastAsia" w:ascii="仿宋" w:hAnsi="仿宋" w:eastAsia="仿宋" w:cs="仿宋"/>
                <w:color w:val="auto"/>
                <w:sz w:val="24"/>
                <w:szCs w:val="24"/>
                <w:highlight w:val="none"/>
                <w:lang w:eastAsia="zh-CN"/>
              </w:rPr>
              <w:t>分诊管理模块展示了当前分诊台下每个队列、每个医生或叫号器的患者就诊情况，以及分诊护士对患者进行就诊状态调整和优先、过号调号、分配医生/叫号器等功能操作。</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12.</w:t>
            </w:r>
            <w:r>
              <w:rPr>
                <w:rFonts w:hint="eastAsia" w:ascii="仿宋" w:hAnsi="仿宋" w:eastAsia="仿宋" w:cs="仿宋"/>
                <w:color w:val="auto"/>
                <w:sz w:val="24"/>
                <w:szCs w:val="24"/>
                <w:highlight w:val="none"/>
                <w:lang w:eastAsia="zh-CN"/>
              </w:rPr>
              <w:t>分诊管理主要包括就诊状态的调整，优先、分诊、转诊、挂起、弃号以及回诊、复诊、过号、初诊等状态调整。</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13.</w:t>
            </w:r>
            <w:r>
              <w:rPr>
                <w:rFonts w:hint="eastAsia" w:ascii="仿宋" w:hAnsi="仿宋" w:eastAsia="仿宋" w:cs="仿宋"/>
                <w:color w:val="auto"/>
                <w:sz w:val="24"/>
                <w:szCs w:val="24"/>
                <w:highlight w:val="none"/>
                <w:lang w:eastAsia="zh-CN"/>
              </w:rPr>
              <w:t>呼叫及标注：呼叫功能 是将未报到队列中的患者叫到分诊台的一个操作。呼叫之后标注会出现“已呼叫”。</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14.</w:t>
            </w:r>
            <w:r>
              <w:rPr>
                <w:rFonts w:hint="eastAsia" w:ascii="仿宋" w:hAnsi="仿宋" w:eastAsia="仿宋" w:cs="仿宋"/>
                <w:color w:val="auto"/>
                <w:sz w:val="24"/>
                <w:szCs w:val="24"/>
                <w:highlight w:val="none"/>
                <w:lang w:eastAsia="zh-CN"/>
              </w:rPr>
              <w:t>标注功能：可更改未报到队列中患者的标注状态，有 “无” 和 “已呼叫”两种。</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15.</w:t>
            </w:r>
            <w:r>
              <w:rPr>
                <w:rFonts w:hint="eastAsia" w:ascii="仿宋" w:hAnsi="仿宋" w:eastAsia="仿宋" w:cs="仿宋"/>
                <w:color w:val="auto"/>
                <w:sz w:val="24"/>
                <w:szCs w:val="24"/>
                <w:highlight w:val="none"/>
                <w:lang w:eastAsia="zh-CN"/>
              </w:rPr>
              <w:t>具体操作：选中“未报到队列”中一个或多个患者，点击上方的【呼叫】按钮。</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16.</w:t>
            </w:r>
            <w:r>
              <w:rPr>
                <w:rFonts w:hint="eastAsia" w:ascii="仿宋" w:hAnsi="仿宋" w:eastAsia="仿宋" w:cs="仿宋"/>
                <w:color w:val="auto"/>
                <w:sz w:val="24"/>
                <w:szCs w:val="24"/>
                <w:highlight w:val="none"/>
                <w:lang w:eastAsia="zh-CN"/>
              </w:rPr>
              <w:t>排班管理模块用以查看或调整当前分诊台下出诊医生或检查科室（叫号器）与出诊队列的排班关系。分诊台按照分诊台类型，可以分为按医生模式或按叫号器模式。按医生模式下，显示为“医生排班”；按叫号器模式下，显示为“叫号器排班”。</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17.</w:t>
            </w:r>
            <w:r>
              <w:rPr>
                <w:rFonts w:hint="eastAsia" w:ascii="仿宋" w:hAnsi="仿宋" w:eastAsia="仿宋" w:cs="仿宋"/>
                <w:color w:val="auto"/>
                <w:sz w:val="24"/>
                <w:szCs w:val="24"/>
                <w:highlight w:val="none"/>
                <w:lang w:eastAsia="zh-CN"/>
              </w:rPr>
              <w:t>语音播报：填写要发送的内容，并选择要发送到的终端，点击保存并发送。即可向终端发送语音播报内容。</w:t>
            </w:r>
          </w:p>
          <w:p>
            <w:pPr>
              <w:pStyle w:val="15"/>
              <w:numPr>
                <w:ilvl w:val="0"/>
                <w:numId w:val="0"/>
              </w:numPr>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default" w:ascii="仿宋" w:hAnsi="仿宋" w:eastAsia="仿宋" w:cs="仿宋"/>
                <w:color w:val="auto"/>
                <w:kern w:val="2"/>
                <w:sz w:val="24"/>
                <w:szCs w:val="24"/>
                <w:highlight w:val="none"/>
                <w:lang w:val="en-US" w:eastAsia="zh-CN" w:bidi="ar-SA"/>
              </w:rPr>
              <w:t>18.</w:t>
            </w:r>
            <w:r>
              <w:rPr>
                <w:rFonts w:hint="eastAsia" w:ascii="仿宋" w:hAnsi="仿宋" w:eastAsia="仿宋" w:cs="仿宋"/>
                <w:color w:val="auto"/>
                <w:sz w:val="24"/>
                <w:szCs w:val="24"/>
                <w:highlight w:val="none"/>
                <w:lang w:eastAsia="zh-CN"/>
              </w:rPr>
              <w:t>分诊统计：分诊台分诊统计模块可以查询当前诊区下的统计信息，可以按照按队列，按叫号器，按医生查询。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999"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272" w:type="dxa"/>
            <w:noWrap w:val="0"/>
            <w:vAlign w:val="center"/>
          </w:tcPr>
          <w:p>
            <w:pPr>
              <w:pStyle w:val="15"/>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HIS数据对接</w:t>
            </w:r>
          </w:p>
        </w:tc>
        <w:tc>
          <w:tcPr>
            <w:tcW w:w="6972" w:type="dxa"/>
            <w:noWrap w:val="0"/>
            <w:vAlign w:val="center"/>
          </w:tcPr>
          <w:p>
            <w:pPr>
              <w:pStyle w:val="15"/>
              <w:numPr>
                <w:ilvl w:val="0"/>
                <w:numId w:val="0"/>
              </w:numPr>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sz w:val="24"/>
                <w:szCs w:val="24"/>
                <w:highlight w:val="none"/>
                <w:lang w:val="en-US" w:eastAsia="zh-CN"/>
              </w:rPr>
              <w:t>门诊分诊叫号系统数据对接、</w:t>
            </w:r>
            <w:r>
              <w:rPr>
                <w:rFonts w:hint="eastAsia" w:ascii="仿宋" w:hAnsi="仿宋" w:eastAsia="仿宋" w:cs="仿宋"/>
                <w:color w:val="auto"/>
                <w:sz w:val="24"/>
                <w:szCs w:val="24"/>
                <w:highlight w:val="none"/>
              </w:rPr>
              <w:t>内嵌虚拟叫号器接口数据重新对接。</w:t>
            </w:r>
          </w:p>
          <w:p>
            <w:pPr>
              <w:pStyle w:val="15"/>
              <w:numPr>
                <w:ilvl w:val="0"/>
                <w:numId w:val="0"/>
              </w:numPr>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药房数据重新对接及页面数据重新对接。</w:t>
            </w:r>
          </w:p>
          <w:p>
            <w:pPr>
              <w:pStyle w:val="15"/>
              <w:numPr>
                <w:ilvl w:val="0"/>
                <w:numId w:val="0"/>
              </w:numPr>
              <w:spacing w:line="360" w:lineRule="auto"/>
              <w:ind w:firstLine="0" w:firstLine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出入院接口数据、页面数据和报到机数据重新对接。</w:t>
            </w:r>
          </w:p>
        </w:tc>
      </w:tr>
    </w:tbl>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3.服务要求（升级后功能清单）</w:t>
      </w:r>
    </w:p>
    <w:tbl>
      <w:tblPr>
        <w:tblStyle w:val="16"/>
        <w:tblW w:w="5398" w:type="pct"/>
        <w:jc w:val="center"/>
        <w:tblLayout w:type="autofit"/>
        <w:tblCellMar>
          <w:top w:w="0" w:type="dxa"/>
          <w:left w:w="108" w:type="dxa"/>
          <w:bottom w:w="0" w:type="dxa"/>
          <w:right w:w="108" w:type="dxa"/>
        </w:tblCellMar>
      </w:tblPr>
      <w:tblGrid>
        <w:gridCol w:w="942"/>
        <w:gridCol w:w="1261"/>
        <w:gridCol w:w="6997"/>
      </w:tblGrid>
      <w:tr>
        <w:tblPrEx>
          <w:tblCellMar>
            <w:top w:w="0" w:type="dxa"/>
            <w:left w:w="108" w:type="dxa"/>
            <w:bottom w:w="0" w:type="dxa"/>
            <w:right w:w="108" w:type="dxa"/>
          </w:tblCellMar>
        </w:tblPrEx>
        <w:trPr>
          <w:trHeight w:val="492" w:hRule="atLeast"/>
          <w:jc w:val="center"/>
        </w:trPr>
        <w:tc>
          <w:tcPr>
            <w:tcW w:w="512"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0" w:leftChars="0" w:right="0" w:rightChars="0" w:firstLine="0" w:firstLineChars="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序号</w:t>
            </w:r>
          </w:p>
        </w:tc>
        <w:tc>
          <w:tcPr>
            <w:tcW w:w="685" w:type="pct"/>
            <w:tcBorders>
              <w:top w:val="single" w:color="auto" w:sz="4" w:space="0"/>
              <w:left w:val="nil"/>
              <w:bottom w:val="single" w:color="auto" w:sz="4" w:space="0"/>
              <w:right w:val="single" w:color="auto" w:sz="4" w:space="0"/>
            </w:tcBorders>
            <w:noWrap w:val="0"/>
            <w:vAlign w:val="center"/>
          </w:tcPr>
          <w:p>
            <w:pPr>
              <w:widowControl/>
              <w:spacing w:line="360" w:lineRule="auto"/>
              <w:ind w:left="0" w:leftChars="0" w:right="0" w:rightChars="0" w:firstLine="0" w:firstLineChars="0"/>
              <w:jc w:val="center"/>
              <w:rPr>
                <w:rFonts w:hint="eastAsia" w:ascii="仿宋" w:hAnsi="仿宋" w:eastAsia="仿宋" w:cs="仿宋"/>
                <w:b w:val="0"/>
                <w:bCs/>
                <w:color w:val="auto"/>
                <w:kern w:val="0"/>
                <w:sz w:val="24"/>
                <w:szCs w:val="24"/>
                <w:highlight w:val="none"/>
                <w:lang w:eastAsia="zh-CN"/>
              </w:rPr>
            </w:pPr>
            <w:r>
              <w:rPr>
                <w:rFonts w:hint="eastAsia" w:ascii="仿宋" w:hAnsi="仿宋" w:eastAsia="仿宋" w:cs="仿宋"/>
                <w:b w:val="0"/>
                <w:bCs/>
                <w:color w:val="auto"/>
                <w:sz w:val="24"/>
                <w:szCs w:val="24"/>
                <w:highlight w:val="none"/>
                <w:lang w:val="en-US" w:eastAsia="zh-CN"/>
              </w:rPr>
              <w:t>模块名称</w:t>
            </w:r>
          </w:p>
        </w:tc>
        <w:tc>
          <w:tcPr>
            <w:tcW w:w="3801" w:type="pct"/>
            <w:tcBorders>
              <w:top w:val="single" w:color="auto" w:sz="4" w:space="0"/>
              <w:left w:val="nil"/>
              <w:bottom w:val="single" w:color="auto" w:sz="4" w:space="0"/>
              <w:right w:val="single" w:color="auto" w:sz="4" w:space="0"/>
            </w:tcBorders>
            <w:noWrap w:val="0"/>
            <w:vAlign w:val="center"/>
          </w:tcPr>
          <w:p>
            <w:pPr>
              <w:widowControl/>
              <w:spacing w:line="360" w:lineRule="auto"/>
              <w:ind w:left="0" w:leftChars="0" w:right="0" w:rightChars="0" w:firstLine="0" w:firstLineChars="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技术参数</w:t>
            </w:r>
          </w:p>
        </w:tc>
      </w:tr>
      <w:tr>
        <w:tblPrEx>
          <w:tblCellMar>
            <w:top w:w="0" w:type="dxa"/>
            <w:left w:w="108" w:type="dxa"/>
            <w:bottom w:w="0" w:type="dxa"/>
            <w:right w:w="108" w:type="dxa"/>
          </w:tblCellMar>
        </w:tblPrEx>
        <w:trPr>
          <w:trHeight w:val="90" w:hRule="atLeast"/>
          <w:jc w:val="center"/>
        </w:trPr>
        <w:tc>
          <w:tcPr>
            <w:tcW w:w="512"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1</w:t>
            </w:r>
          </w:p>
        </w:tc>
        <w:tc>
          <w:tcPr>
            <w:tcW w:w="685" w:type="pct"/>
            <w:tcBorders>
              <w:top w:val="single" w:color="auto" w:sz="4" w:space="0"/>
              <w:left w:val="nil"/>
              <w:bottom w:val="single" w:color="auto" w:sz="4" w:space="0"/>
              <w:right w:val="single" w:color="auto" w:sz="4" w:space="0"/>
            </w:tcBorders>
            <w:noWrap w:val="0"/>
            <w:vAlign w:val="center"/>
          </w:tcPr>
          <w:p>
            <w:pPr>
              <w:pStyle w:val="19"/>
              <w:spacing w:line="360" w:lineRule="auto"/>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多媒体导引系统</w:t>
            </w:r>
            <w:r>
              <w:rPr>
                <w:rFonts w:hint="eastAsia" w:ascii="仿宋" w:hAnsi="仿宋" w:eastAsia="仿宋" w:cs="仿宋"/>
                <w:b w:val="0"/>
                <w:bCs/>
                <w:color w:val="auto"/>
                <w:sz w:val="24"/>
                <w:szCs w:val="24"/>
                <w:highlight w:val="none"/>
                <w:lang w:val="en-US" w:eastAsia="zh-CN"/>
              </w:rPr>
              <w:t>升级</w:t>
            </w:r>
          </w:p>
        </w:tc>
        <w:tc>
          <w:tcPr>
            <w:tcW w:w="3801" w:type="pct"/>
            <w:tcBorders>
              <w:top w:val="single" w:color="auto" w:sz="4" w:space="0"/>
              <w:left w:val="nil"/>
              <w:bottom w:val="single" w:color="auto" w:sz="4" w:space="0"/>
              <w:right w:val="single" w:color="auto" w:sz="4" w:space="0"/>
            </w:tcBorders>
            <w:noWrap w:val="0"/>
            <w:vAlign w:val="top"/>
          </w:tcPr>
          <w:p>
            <w:pPr>
              <w:pStyle w:val="7"/>
              <w:suppressAutoHyphens/>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一、软件平台基础功能：</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1.系统选用的显示终端应具有多种视频信源输入接口，在需要时可将输入信源与分诊叫号信息同屏显示；</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.叫号系统软件装载在分诊及HIS接口服务器上，该服务器有良好的数据备份及安全措施；</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.系统应采用B/S架构，方便医院管理维护；</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.系统可实时查看设备运行状态并记录日志，可进行后台页面截图查看。</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.系统可实现医院门诊各科室分诊叫号，排队管理等功能；</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支持接收HIS接口数据、医生诊室电脑、护士站电脑传来的信息，实时生成最新的分诊导引排队队列信息，将患者有序的从候诊区疏导至诊室门口，实现一二级分诊功能，并按显示规则推送到相对应的一级分诊屏、二级分诊屏上。</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w:t>
            </w:r>
            <w:r>
              <w:rPr>
                <w:rFonts w:hint="eastAsia" w:ascii="仿宋" w:hAnsi="仿宋" w:eastAsia="仿宋" w:cs="仿宋"/>
                <w:b w:val="0"/>
                <w:bCs/>
                <w:color w:val="auto"/>
                <w:sz w:val="24"/>
                <w:szCs w:val="24"/>
                <w:highlight w:val="none"/>
              </w:rPr>
              <w:t>.可根据一个诊室多医生的实际情况，调整二级屏的显示模式；</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.一级、二级分诊屏的显示画面可定制且修改方便；</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rPr>
              <w:t>系统须支持分诊管理服务平台角色类型划分，如分诊台管理、队列管理、终端管理、数据源管理、温馨提示、午别设置、分诊统计、页面管理等</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ascii="仿宋" w:hAnsi="仿宋" w:eastAsia="仿宋" w:cs="仿宋"/>
                <w:b/>
                <w:bCs w:val="0"/>
                <w:color w:val="auto"/>
                <w:sz w:val="24"/>
                <w:szCs w:val="24"/>
                <w:highlight w:val="none"/>
                <w:lang w:val="en-US"/>
              </w:rPr>
              <w:t>）</w:t>
            </w:r>
            <w:r>
              <w:rPr>
                <w:rFonts w:hint="eastAsia" w:ascii="仿宋" w:hAnsi="仿宋" w:eastAsia="仿宋" w:cs="仿宋"/>
                <w:b w:val="0"/>
                <w:bCs/>
                <w:color w:val="auto"/>
                <w:sz w:val="24"/>
                <w:szCs w:val="24"/>
                <w:highlight w:val="none"/>
                <w:lang w:val="en-US"/>
              </w:rPr>
              <w:t>。</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0</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rPr>
              <w:t>为满足多系统之间互联互通要求，方便后期对数据接口以及软件故障排查，系统需具备日志可视化管理功能，并能通过日志生成时间、操作者来源、操作类型、操作模块、操作结果、操作时间、耗时等进行快速筛查方便后期日常维护工作</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提供功能截图）</w:t>
            </w:r>
            <w:r>
              <w:rPr>
                <w:rFonts w:hint="eastAsia" w:ascii="仿宋" w:hAnsi="仿宋" w:eastAsia="仿宋" w:cs="仿宋"/>
                <w:b w:val="0"/>
                <w:bCs/>
                <w:color w:val="auto"/>
                <w:sz w:val="24"/>
                <w:szCs w:val="24"/>
                <w:highlight w:val="none"/>
                <w:lang w:val="en-US"/>
              </w:rPr>
              <w:t>。</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11.</w:t>
            </w:r>
            <w:r>
              <w:rPr>
                <w:rFonts w:hint="eastAsia" w:ascii="仿宋" w:hAnsi="仿宋" w:eastAsia="仿宋" w:cs="仿宋"/>
                <w:b w:val="0"/>
                <w:bCs/>
                <w:color w:val="auto"/>
                <w:sz w:val="24"/>
                <w:szCs w:val="24"/>
                <w:highlight w:val="none"/>
                <w:lang w:val="en-US"/>
              </w:rPr>
              <w:t>系统需具备与微信公众号对接能力，系统应具备扫一扫二维码查询排队进度功能，应具备患者主动查询排队信息功能；应具备叫号预备推送功能，让用户提前准备的功能</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提供功能截图）</w:t>
            </w:r>
            <w:r>
              <w:rPr>
                <w:rFonts w:hint="eastAsia" w:ascii="仿宋" w:hAnsi="仿宋" w:eastAsia="仿宋" w:cs="仿宋"/>
                <w:b w:val="0"/>
                <w:bCs/>
                <w:color w:val="auto"/>
                <w:sz w:val="24"/>
                <w:szCs w:val="24"/>
                <w:highlight w:val="none"/>
                <w:lang w:val="en-US"/>
              </w:rPr>
              <w:t>。</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.语音播报软件应具备全语音库的语音呼叫功能，支持文本内容(中英文、数字)自动语音合成与播报，排队叫号信息可自动合成为语音信息播放；</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.支持叫号语音音量网络远程调节；</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.候诊区域一二级分诊屏显示该区域的所有等候队列列表信息以及相对应的叫号信息，并同步实现呼叫内容显示及语音的自动提示功能。</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.显示内容至少应包括科室名称、病人姓名、病人排队号码以及就诊科室号等内容，并可将医生风采等宣教内容嵌入到二级分诊屏中，进行展示。</w:t>
            </w:r>
          </w:p>
          <w:p>
            <w:pPr>
              <w:pStyle w:val="7"/>
              <w:spacing w:line="360" w:lineRule="auto"/>
              <w:ind w:firstLine="0" w:firstLineChars="0"/>
              <w:rPr>
                <w:rFonts w:hint="eastAsia" w:ascii="仿宋" w:hAnsi="仿宋" w:eastAsia="仿宋" w:cs="仿宋"/>
                <w:color w:val="auto"/>
                <w:sz w:val="24"/>
                <w:highlight w:val="none"/>
                <w:lang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门口屏需支持展示当前诊区排队信息，可以科室/诊室/检查室/窗口为基准，展示当前诊区排队信息（包括：科室名称、队列名称、医生姓名、医生职称、诊室名称、检查室名称、窗口名称、设备名称、正在呼叫人员姓名、正在呼叫人员序号、正在呼叫人员状态、等候人员姓名、序号、状态）等信息</w:t>
            </w:r>
            <w:r>
              <w:rPr>
                <w:rFonts w:hint="eastAsia" w:ascii="仿宋" w:hAnsi="仿宋" w:eastAsia="仿宋" w:cs="仿宋"/>
                <w:b/>
                <w:bCs w:val="0"/>
                <w:strike w:val="0"/>
                <w:color w:val="auto"/>
                <w:sz w:val="24"/>
                <w:szCs w:val="24"/>
                <w:highlight w:val="none"/>
              </w:rPr>
              <w:t>（</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ascii="仿宋" w:hAnsi="仿宋" w:eastAsia="仿宋" w:cs="仿宋"/>
                <w:b/>
                <w:bCs w:val="0"/>
                <w:color w:val="auto"/>
                <w:sz w:val="24"/>
                <w:highlight w:val="none"/>
                <w:lang w:eastAsia="zh-CN"/>
              </w:rPr>
              <w:t>）。</w:t>
            </w:r>
          </w:p>
          <w:p>
            <w:pPr>
              <w:pStyle w:val="7"/>
              <w:spacing w:line="360" w:lineRule="auto"/>
              <w:ind w:firstLine="0" w:firstLineChars="0"/>
              <w:rPr>
                <w:rFonts w:hint="eastAsia" w:ascii="仿宋" w:hAnsi="仿宋" w:eastAsia="宋体" w:cs="仿宋"/>
                <w:b/>
                <w:bCs w:val="0"/>
                <w:color w:val="auto"/>
                <w:sz w:val="24"/>
                <w:szCs w:val="24"/>
                <w:highlight w:val="none"/>
                <w:lang w:val="en-US" w:eastAsia="zh-CN"/>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17.</w:t>
            </w:r>
            <w:r>
              <w:rPr>
                <w:rFonts w:hint="eastAsia" w:ascii="仿宋" w:hAnsi="仿宋" w:eastAsia="仿宋" w:cs="仿宋"/>
                <w:b w:val="0"/>
                <w:bCs/>
                <w:color w:val="auto"/>
                <w:sz w:val="24"/>
                <w:szCs w:val="24"/>
                <w:highlight w:val="none"/>
              </w:rPr>
              <w:t>诊区大屏系统设置，系统需支持自动开关机、开关屏、开机后自动展示系统指定的页面功能。</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b/>
                <w:bCs w:val="0"/>
                <w:color w:val="auto"/>
                <w:highlight w:val="none"/>
                <w:lang w:eastAsia="zh-CN"/>
              </w:rPr>
              <w:t>）</w:t>
            </w:r>
            <w:r>
              <w:rPr>
                <w:rFonts w:hint="eastAsia" w:ascii="仿宋" w:hAnsi="仿宋" w:eastAsia="仿宋" w:cs="仿宋"/>
                <w:b/>
                <w:bCs w:val="0"/>
                <w:color w:val="auto"/>
                <w:sz w:val="24"/>
                <w:highlight w:val="none"/>
                <w:lang w:eastAsia="zh-CN"/>
              </w:rPr>
              <w:t>。</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.系统需支持分诊叫号数据自动备份功能，可按日、按周、按月多种方式进行自动备份。同时支持数据保留时长自定义设置。</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19</w:t>
            </w:r>
            <w:r>
              <w:rPr>
                <w:rFonts w:hint="eastAsia" w:ascii="仿宋" w:hAnsi="仿宋" w:eastAsia="仿宋" w:cs="仿宋"/>
                <w:b w:val="0"/>
                <w:bCs/>
                <w:color w:val="auto"/>
                <w:sz w:val="24"/>
                <w:szCs w:val="24"/>
                <w:highlight w:val="none"/>
              </w:rPr>
              <w:t>.需支持分诊叫号显示、交互页面管理功能，页面风格、页面属性，页面样式可选择，也可支持定制设计。</w:t>
            </w:r>
          </w:p>
          <w:p>
            <w:pPr>
              <w:pStyle w:val="7"/>
              <w:numPr>
                <w:ilvl w:val="0"/>
                <w:numId w:val="0"/>
              </w:numPr>
              <w:suppressAutoHyphens/>
              <w:spacing w:line="360" w:lineRule="auto"/>
              <w:ind w:leftChars="0"/>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20.为方便采购人统一管理,本项目要求必须兼容采购人医院现有的神州视翰候诊区大屏（49英寸、65英寸）、神州视翰诊室门口屏（19英寸）和神州视翰网络播放终端等硬件，并实现无缝对接，实现数据互联互通，实现叫号规则互联互通，实现硬件管理的互联互通，且包含对接所需的一切费用。</w:t>
            </w:r>
          </w:p>
          <w:p>
            <w:pPr>
              <w:pStyle w:val="7"/>
              <w:numPr>
                <w:ilvl w:val="0"/>
                <w:numId w:val="0"/>
              </w:numPr>
              <w:suppressAutoHyphens/>
              <w:spacing w:line="360" w:lineRule="auto"/>
              <w:ind w:leftChars="0"/>
              <w:rPr>
                <w:rFonts w:hint="eastAsia" w:ascii="仿宋" w:hAnsi="仿宋" w:eastAsia="仿宋" w:cs="仿宋"/>
                <w:b/>
                <w:bCs w:val="0"/>
                <w:strike/>
                <w:color w:val="auto"/>
                <w:sz w:val="24"/>
                <w:szCs w:val="24"/>
                <w:highlight w:val="none"/>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21.为保障采购人医院分诊导医系统的安全，响应供应商需提供网络安全等级保护测评报告关键页</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ascii="仿宋" w:hAnsi="仿宋" w:eastAsia="仿宋" w:cs="仿宋"/>
                <w:b w:val="0"/>
                <w:bCs/>
                <w:color w:val="auto"/>
                <w:sz w:val="24"/>
                <w:szCs w:val="24"/>
                <w:highlight w:val="none"/>
                <w:lang w:val="en-US" w:eastAsia="zh-CN"/>
              </w:rPr>
              <w:t>。</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二、护士分诊台：</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1.支持查看当前诊区的每个队列叫号情况（如：排队队列名称、候诊人数、已就诊人数、未到过号人数、当前队列最后一次呼叫的患者姓名、排队序号、呼叫医生或诊位、叫号时间等）。</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2.支持同步HIS系统中医生排班数据，并支持临时手动调整功能。支持编辑周期内医生排班功能，并支持对医生每天出诊情况进行手动调整。</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3.可以查看候诊队列的排队信息，包含剩余号量、等候人数、过号人数、预约未报到人数，以及个患者的排队信息。同时可以为患者做“优先”、“暂停”、“调号”等操作。</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4.支持刷卡、扫描条码、手工录入等多种方式进行初诊患者签到、复诊患者二次签到、过号患者再报到、患者状态查询、患者排序调号、患者预约等。</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5.早间高峰期患者突增情况下，分诊台软件支持自动报到和手动批量报到机制，避免患者拥堵分诊台签到，降低排队护士工作量。</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kern w:val="2"/>
                <w:sz w:val="24"/>
                <w:szCs w:val="24"/>
                <w:highlight w:val="none"/>
                <w:lang w:val="en-US" w:eastAsia="zh-CN" w:bidi="ar-SA"/>
              </w:rPr>
              <w:t>6.</w:t>
            </w:r>
            <w:r>
              <w:rPr>
                <w:rFonts w:hint="eastAsia" w:ascii="仿宋" w:hAnsi="仿宋" w:eastAsia="仿宋" w:cs="仿宋"/>
                <w:b w:val="0"/>
                <w:bCs/>
                <w:color w:val="auto"/>
                <w:sz w:val="24"/>
                <w:szCs w:val="24"/>
                <w:highlight w:val="none"/>
                <w:lang w:val="en-US"/>
              </w:rPr>
              <w:t>为便于护士发布寻人、寻物、通知等内容，方便诊区对叫号语音播报调整，分诊台需支持自定义语音功能，可根据诊区实际情况，自定义语音播报内容，支持添加快捷词组，调整播报的语音、语速、词组顺序、重复次数等，并可根据不同应用场景，指定区域内某一台，或某一批设备，进行语音播报，</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提供功能截图）</w:t>
            </w:r>
            <w:r>
              <w:rPr>
                <w:rFonts w:hint="eastAsia" w:ascii="仿宋" w:hAnsi="仿宋" w:eastAsia="仿宋" w:cs="仿宋"/>
                <w:b w:val="0"/>
                <w:bCs/>
                <w:color w:val="auto"/>
                <w:kern w:val="2"/>
                <w:sz w:val="24"/>
                <w:szCs w:val="24"/>
                <w:highlight w:val="none"/>
                <w:lang w:val="en-US" w:eastAsia="zh-CN" w:bidi="ar-SA"/>
              </w:rPr>
              <w:t>。</w:t>
            </w:r>
          </w:p>
          <w:p>
            <w:pPr>
              <w:pStyle w:val="7"/>
              <w:spacing w:line="360" w:lineRule="auto"/>
              <w:ind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kern w:val="2"/>
                <w:sz w:val="24"/>
                <w:szCs w:val="24"/>
                <w:highlight w:val="none"/>
                <w:lang w:val="en-US" w:eastAsia="zh-CN" w:bidi="ar-SA"/>
              </w:rPr>
              <w:t>7.</w:t>
            </w:r>
            <w:r>
              <w:rPr>
                <w:rFonts w:hint="eastAsia" w:ascii="仿宋" w:hAnsi="仿宋" w:eastAsia="仿宋" w:cs="仿宋"/>
                <w:b w:val="0"/>
                <w:bCs/>
                <w:color w:val="auto"/>
                <w:sz w:val="24"/>
                <w:szCs w:val="24"/>
                <w:highlight w:val="none"/>
                <w:lang w:val="en-US"/>
              </w:rPr>
              <w:t>护士分诊台应具备对诊区内设备进行日常维护管理，需支持对设备状态、位置等进行远程监控，还需支持对设备进行相关操作，包括但不限于重启、开关机设置、截屏、清屏、刷新等处理，</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提供功能截图）</w:t>
            </w:r>
            <w:r>
              <w:rPr>
                <w:rFonts w:hint="eastAsia" w:ascii="仿宋" w:hAnsi="仿宋" w:eastAsia="仿宋" w:cs="仿宋"/>
                <w:b w:val="0"/>
                <w:bCs/>
                <w:color w:val="auto"/>
                <w:sz w:val="24"/>
                <w:szCs w:val="24"/>
                <w:highlight w:val="none"/>
                <w:lang w:val="en-US"/>
              </w:rPr>
              <w:t>。</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8.支持同一诊区下转诊功能，可将患者从一个队列转到另一个队列排队。</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9.支持复诊（回诊）患者签到再次进入队列功能，同时可根据需求设置复诊插队策略，例如：优先插队、间隔插队。</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10.支持绿色通道（弃号）功能，可不经叫号直接就诊。</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11.支持过号患者签到再次进入队列功能，同时可根据需求设置过号患者优先就诊，延后就诊，延后就诊可设置延后位数。</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12.支持广播功能，分诊台可向候诊区广播语音、文本信息。</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13.系统支持记录护士上一步操作功能，主界面位置显示上一步护士操作信息。</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14.软件支持密码登录功能，防止其他人员误操作。</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15.排队叫号系统应具备数据统计分析功能，可实现等候人数、挂号人数、过号人数、医生平均就诊时长、患者平均等候时长等数据展示功能。</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kern w:val="2"/>
                <w:sz w:val="24"/>
                <w:szCs w:val="24"/>
                <w:highlight w:val="none"/>
                <w:lang w:val="en-US" w:eastAsia="zh-CN" w:bidi="ar-SA"/>
              </w:rPr>
              <w:t>16.支持门诊辅助决策功能，系统支持收集与门诊医疗服务有关的数据资料，并进行整理和分析，反映门诊医疗服务的数量和质量，为加强门诊科学管理提供依据的活动，根据院内门诊数据，通过分类和统计，以图表形式呈现，以数据内容支撑院内门诊的决策</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ascii="仿宋" w:hAnsi="仿宋" w:eastAsia="仿宋" w:cs="仿宋"/>
                <w:b/>
                <w:bCs w:val="0"/>
                <w:color w:val="auto"/>
                <w:sz w:val="24"/>
                <w:szCs w:val="24"/>
                <w:highlight w:val="none"/>
                <w:lang w:val="en-US"/>
              </w:rPr>
              <w:t>）</w:t>
            </w:r>
            <w:r>
              <w:rPr>
                <w:rFonts w:hint="eastAsia" w:ascii="仿宋" w:hAnsi="仿宋" w:eastAsia="仿宋" w:cs="仿宋"/>
                <w:b w:val="0"/>
                <w:bCs/>
                <w:color w:val="auto"/>
                <w:kern w:val="2"/>
                <w:sz w:val="24"/>
                <w:szCs w:val="24"/>
                <w:highlight w:val="none"/>
                <w:lang w:val="en-US" w:eastAsia="zh-CN" w:bidi="ar-SA"/>
              </w:rPr>
              <w:t>。</w:t>
            </w:r>
          </w:p>
          <w:p>
            <w:pPr>
              <w:pStyle w:val="7"/>
              <w:numPr>
                <w:ilvl w:val="0"/>
                <w:numId w:val="0"/>
              </w:numPr>
              <w:spacing w:line="360" w:lineRule="auto"/>
              <w:ind w:left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kern w:val="2"/>
                <w:sz w:val="24"/>
                <w:szCs w:val="24"/>
                <w:highlight w:val="none"/>
                <w:lang w:val="en-US" w:eastAsia="zh-CN" w:bidi="ar-SA"/>
              </w:rPr>
              <w:t>17.</w:t>
            </w:r>
            <w:r>
              <w:rPr>
                <w:rFonts w:hint="eastAsia" w:ascii="仿宋" w:hAnsi="仿宋" w:eastAsia="仿宋" w:cs="仿宋"/>
                <w:b w:val="0"/>
                <w:bCs/>
                <w:color w:val="auto"/>
                <w:sz w:val="24"/>
                <w:szCs w:val="24"/>
                <w:highlight w:val="none"/>
                <w:lang w:val="en-US"/>
              </w:rPr>
              <w:t>根据医院实际情况，护士分诊台需支持医生模式或者诊室模式分别显示医生或者诊室队列，同时需支持对患者进行呼叫、分诊、报到、转诊、优先、弃号、调号、身份变更、延迟就诊等相关功能，支持通过已签到、未签到、呼叫记录对队列进行快速筛选，也可支持通过患者姓名、卡号等身份介质快速搜索就诊患者，并对其进行状态变更操作</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ascii="仿宋" w:hAnsi="仿宋" w:eastAsia="仿宋" w:cs="仿宋"/>
                <w:b/>
                <w:bCs w:val="0"/>
                <w:color w:val="auto"/>
                <w:sz w:val="24"/>
                <w:szCs w:val="24"/>
                <w:highlight w:val="none"/>
                <w:lang w:val="en-US"/>
              </w:rPr>
              <w:t>）</w:t>
            </w:r>
            <w:r>
              <w:rPr>
                <w:rFonts w:hint="eastAsia" w:ascii="仿宋" w:hAnsi="仿宋" w:eastAsia="仿宋" w:cs="仿宋"/>
                <w:b w:val="0"/>
                <w:bCs/>
                <w:color w:val="auto"/>
                <w:sz w:val="24"/>
                <w:szCs w:val="24"/>
                <w:highlight w:val="none"/>
                <w:lang w:val="en-US"/>
              </w:rPr>
              <w:t>。</w:t>
            </w:r>
          </w:p>
          <w:p>
            <w:pPr>
              <w:pStyle w:val="7"/>
              <w:numPr>
                <w:ilvl w:val="0"/>
                <w:numId w:val="0"/>
              </w:numPr>
              <w:suppressAutoHyphens/>
              <w:spacing w:line="360" w:lineRule="auto"/>
              <w:ind w:leftChars="0"/>
              <w:rPr>
                <w:rFonts w:hint="eastAsia" w:eastAsia="宋体"/>
                <w:color w:val="auto"/>
                <w:highlight w:val="none"/>
                <w:lang w:eastAsia="zh-CN"/>
              </w:rPr>
            </w:pP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kern w:val="2"/>
                <w:sz w:val="24"/>
                <w:szCs w:val="24"/>
                <w:highlight w:val="none"/>
                <w:lang w:val="en-US" w:eastAsia="zh-CN" w:bidi="ar-SA"/>
              </w:rPr>
              <w:t>18.护士分诊台应具备基本的分诊操作功能，包括但不限于优先、转诊、挂起、延迟、绿色通道、复诊、批量报到等基本功能</w:t>
            </w:r>
            <w:r>
              <w:rPr>
                <w:rFonts w:hint="eastAsia" w:ascii="仿宋" w:hAnsi="仿宋" w:eastAsia="仿宋" w:cs="仿宋"/>
                <w:b/>
                <w:bCs w:val="0"/>
                <w:color w:val="auto"/>
                <w:kern w:val="2"/>
                <w:sz w:val="24"/>
                <w:szCs w:val="24"/>
                <w:highlight w:val="none"/>
                <w:lang w:val="en-US" w:eastAsia="zh-CN" w:bidi="ar-SA"/>
              </w:rPr>
              <w:t>（</w:t>
            </w:r>
            <w:r>
              <w:rPr>
                <w:rFonts w:hint="eastAsia" w:ascii="仿宋" w:hAnsi="仿宋" w:eastAsia="仿宋" w:cs="仿宋"/>
                <w:b/>
                <w:bCs w:val="0"/>
                <w:color w:val="auto"/>
                <w:sz w:val="24"/>
                <w:szCs w:val="24"/>
                <w:highlight w:val="none"/>
                <w:lang w:val="en-US"/>
              </w:rPr>
              <w:t>要求</w:t>
            </w:r>
            <w:r>
              <w:rPr>
                <w:rFonts w:hint="eastAsia" w:ascii="仿宋" w:hAnsi="仿宋" w:eastAsia="仿宋" w:cs="仿宋"/>
                <w:b/>
                <w:bCs w:val="0"/>
                <w:color w:val="auto"/>
                <w:sz w:val="24"/>
                <w:szCs w:val="24"/>
                <w:highlight w:val="none"/>
                <w:lang w:val="en-US" w:eastAsia="zh-CN"/>
              </w:rPr>
              <w:t>响应供应商</w:t>
            </w:r>
            <w:r>
              <w:rPr>
                <w:rFonts w:hint="eastAsia" w:ascii="仿宋" w:hAnsi="仿宋" w:eastAsia="仿宋" w:cs="仿宋"/>
                <w:b/>
                <w:bCs w:val="0"/>
                <w:color w:val="auto"/>
                <w:sz w:val="24"/>
                <w:szCs w:val="24"/>
                <w:highlight w:val="none"/>
                <w:lang w:val="en-US"/>
              </w:rPr>
              <w:t>提供</w:t>
            </w:r>
            <w:r>
              <w:rPr>
                <w:rFonts w:hint="eastAsia" w:ascii="仿宋" w:hAnsi="仿宋" w:eastAsia="仿宋" w:cs="仿宋"/>
                <w:b/>
                <w:bCs w:val="0"/>
                <w:color w:val="auto"/>
                <w:sz w:val="24"/>
                <w:szCs w:val="24"/>
                <w:highlight w:val="none"/>
                <w:lang w:val="en-US" w:eastAsia="zh-CN"/>
              </w:rPr>
              <w:t>承诺函</w:t>
            </w:r>
            <w:r>
              <w:rPr>
                <w:rFonts w:hint="eastAsia" w:ascii="仿宋" w:hAnsi="仿宋" w:eastAsia="仿宋" w:cs="仿宋"/>
                <w:b/>
                <w:bCs w:val="0"/>
                <w:color w:val="auto"/>
                <w:kern w:val="2"/>
                <w:sz w:val="24"/>
                <w:szCs w:val="24"/>
                <w:highlight w:val="none"/>
                <w:lang w:val="en-US" w:eastAsia="zh-CN" w:bidi="ar-SA"/>
              </w:rPr>
              <w:t>）</w:t>
            </w:r>
            <w:r>
              <w:rPr>
                <w:rFonts w:hint="eastAsia"/>
                <w:b/>
                <w:bCs w:val="0"/>
                <w:color w:val="auto"/>
                <w:highlight w:val="none"/>
                <w:lang w:eastAsia="zh-CN"/>
              </w:rPr>
              <w:t>。</w:t>
            </w:r>
          </w:p>
          <w:p>
            <w:pPr>
              <w:pStyle w:val="7"/>
              <w:numPr>
                <w:ilvl w:val="0"/>
                <w:numId w:val="0"/>
              </w:numPr>
              <w:suppressAutoHyphens/>
              <w:spacing w:line="360" w:lineRule="auto"/>
              <w:ind w:left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19.支持迟到患者报道时，可根据需求设置插队策略</w:t>
            </w:r>
            <w:r>
              <w:rPr>
                <w:rFonts w:hint="eastAsia"/>
                <w:color w:val="auto"/>
                <w:highlight w:val="none"/>
                <w:lang w:eastAsia="zh-CN"/>
              </w:rPr>
              <w:t>。</w:t>
            </w:r>
          </w:p>
        </w:tc>
      </w:tr>
      <w:tr>
        <w:tblPrEx>
          <w:tblCellMar>
            <w:top w:w="0" w:type="dxa"/>
            <w:left w:w="108" w:type="dxa"/>
            <w:bottom w:w="0" w:type="dxa"/>
            <w:right w:w="108" w:type="dxa"/>
          </w:tblCellMar>
        </w:tblPrEx>
        <w:trPr>
          <w:trHeight w:val="740" w:hRule="atLeast"/>
          <w:jc w:val="center"/>
        </w:trPr>
        <w:tc>
          <w:tcPr>
            <w:tcW w:w="512" w:type="pct"/>
            <w:tcBorders>
              <w:top w:val="single" w:color="auto" w:sz="4" w:space="0"/>
              <w:left w:val="single" w:color="auto" w:sz="4" w:space="0"/>
              <w:bottom w:val="single" w:color="auto" w:sz="4" w:space="0"/>
              <w:right w:val="single" w:color="auto" w:sz="4" w:space="0"/>
            </w:tcBorders>
            <w:noWrap w:val="0"/>
            <w:vAlign w:val="center"/>
          </w:tcPr>
          <w:p>
            <w:pPr>
              <w:spacing w:line="360" w:lineRule="auto"/>
              <w:ind w:left="0" w:leftChars="0" w:firstLine="0" w:firstLineChars="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w:t>
            </w:r>
          </w:p>
        </w:tc>
        <w:tc>
          <w:tcPr>
            <w:tcW w:w="685" w:type="pct"/>
            <w:tcBorders>
              <w:top w:val="single" w:color="auto" w:sz="4" w:space="0"/>
              <w:left w:val="nil"/>
              <w:bottom w:val="single" w:color="auto" w:sz="4" w:space="0"/>
              <w:right w:val="single" w:color="auto" w:sz="4" w:space="0"/>
            </w:tcBorders>
            <w:noWrap w:val="0"/>
            <w:vAlign w:val="center"/>
          </w:tcPr>
          <w:p>
            <w:pPr>
              <w:spacing w:line="360" w:lineRule="auto"/>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HIS数据对接</w:t>
            </w:r>
          </w:p>
        </w:tc>
        <w:tc>
          <w:tcPr>
            <w:tcW w:w="3801" w:type="pct"/>
            <w:tcBorders>
              <w:top w:val="single" w:color="auto" w:sz="4" w:space="0"/>
              <w:left w:val="nil"/>
              <w:bottom w:val="single" w:color="auto" w:sz="4" w:space="0"/>
              <w:right w:val="single" w:color="auto" w:sz="4" w:space="0"/>
            </w:tcBorders>
            <w:noWrap w:val="0"/>
            <w:vAlign w:val="top"/>
          </w:tcPr>
          <w:p>
            <w:pPr>
              <w:spacing w:line="360" w:lineRule="auto"/>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1.对接门诊分诊叫号系统数据、内嵌虚拟叫号器接口数据。</w:t>
            </w:r>
          </w:p>
          <w:p>
            <w:pPr>
              <w:spacing w:line="360" w:lineRule="auto"/>
              <w:ind w:left="0" w:leftChars="0" w:firstLine="0"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2.重新对接药房数据及页面数据。</w:t>
            </w:r>
          </w:p>
          <w:p>
            <w:pPr>
              <w:spacing w:line="360" w:lineRule="auto"/>
              <w:ind w:left="0" w:leftChars="0" w:firstLine="0" w:firstLineChars="0"/>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3.重新对接出入院接口数据、页面数据和报到机数据。</w:t>
            </w:r>
          </w:p>
        </w:tc>
      </w:tr>
    </w:tbl>
    <w:p>
      <w:pPr>
        <w:numPr>
          <w:ilvl w:val="0"/>
          <w:numId w:val="0"/>
        </w:numPr>
        <w:spacing w:line="360" w:lineRule="auto"/>
        <w:ind w:firstLine="241" w:firstLineChars="100"/>
        <w:rPr>
          <w:rFonts w:hint="eastAsia" w:ascii="仿宋" w:hAnsi="仿宋" w:eastAsia="仿宋" w:cs="仿宋"/>
          <w:b/>
          <w:bCs/>
          <w:color w:val="auto"/>
          <w:sz w:val="24"/>
          <w:highlight w:val="none"/>
          <w:lang w:val="zh-CN" w:eastAsia="zh-CN"/>
        </w:rPr>
      </w:pPr>
      <w:r>
        <w:rPr>
          <w:rFonts w:hint="eastAsia" w:ascii="仿宋" w:hAnsi="仿宋" w:eastAsia="仿宋" w:cs="仿宋"/>
          <w:b/>
          <w:bCs/>
          <w:color w:val="auto"/>
          <w:sz w:val="24"/>
          <w:highlight w:val="none"/>
          <w:lang w:val="zh-CN" w:eastAsia="zh-CN"/>
        </w:rPr>
        <w:t>（</w:t>
      </w:r>
      <w:r>
        <w:rPr>
          <w:rFonts w:hint="eastAsia" w:ascii="仿宋" w:hAnsi="仿宋" w:eastAsia="仿宋" w:cs="仿宋"/>
          <w:b/>
          <w:bCs/>
          <w:color w:val="auto"/>
          <w:sz w:val="24"/>
          <w:highlight w:val="none"/>
          <w:lang w:val="en-US" w:eastAsia="zh-CN"/>
        </w:rPr>
        <w:t>四</w:t>
      </w:r>
      <w:r>
        <w:rPr>
          <w:rFonts w:hint="eastAsia" w:ascii="仿宋" w:hAnsi="仿宋" w:eastAsia="仿宋" w:cs="仿宋"/>
          <w:b/>
          <w:bCs/>
          <w:color w:val="auto"/>
          <w:sz w:val="24"/>
          <w:highlight w:val="none"/>
          <w:lang w:val="zh-CN" w:eastAsia="zh-CN"/>
        </w:rPr>
        <w:t>）商务要求</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1.建设期和服务地点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（1）项目建设期：自合同签订后90个日历日内完成。</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（2）服务地点：惠州市第一妇幼保健院指定地点。</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zh-CN" w:eastAsia="zh-CN"/>
        </w:rPr>
      </w:pPr>
      <w:r>
        <w:rPr>
          <w:rFonts w:hint="eastAsia" w:ascii="仿宋" w:hAnsi="仿宋" w:eastAsia="仿宋" w:cs="仿宋"/>
          <w:b w:val="0"/>
          <w:bCs w:val="0"/>
          <w:color w:val="auto"/>
          <w:sz w:val="24"/>
          <w:highlight w:val="none"/>
          <w:lang w:val="zh-CN" w:eastAsia="zh-CN"/>
        </w:rPr>
        <w:t>（1）</w:t>
      </w:r>
      <w:r>
        <w:rPr>
          <w:rFonts w:hint="eastAsia" w:ascii="仿宋" w:hAnsi="仿宋" w:eastAsia="仿宋" w:cs="仿宋"/>
          <w:color w:val="auto"/>
          <w:sz w:val="24"/>
          <w:highlight w:val="none"/>
          <w:lang w:val="zh-CN" w:eastAsia="zh-CN"/>
        </w:rPr>
        <w:t>报价方式为供应商以总价报价的方式进行报价，</w:t>
      </w:r>
      <w:r>
        <w:rPr>
          <w:rFonts w:hint="eastAsia" w:ascii="仿宋" w:hAnsi="仿宋" w:eastAsia="仿宋" w:cs="仿宋"/>
          <w:b w:val="0"/>
          <w:bCs w:val="0"/>
          <w:color w:val="auto"/>
          <w:sz w:val="24"/>
          <w:highlight w:val="none"/>
          <w:lang w:val="zh-CN" w:eastAsia="zh-CN"/>
        </w:rPr>
        <w:t>为整体项目包干价。</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（2）报价中必须包括服务过程产生的但不限于人工、工具使用、各项税费及合同实施过程中的应预见和不可预见费用等完成合同规定责任和义务、达到合同目的的一切费用及企业利润。</w:t>
      </w:r>
    </w:p>
    <w:p>
      <w:pPr>
        <w:numPr>
          <w:ilvl w:val="0"/>
          <w:numId w:val="0"/>
        </w:numPr>
        <w:spacing w:line="360" w:lineRule="auto"/>
        <w:ind w:firstLine="480" w:firstLineChars="200"/>
        <w:rPr>
          <w:rFonts w:hint="eastAsia"/>
          <w:color w:val="auto"/>
          <w:highlight w:val="none"/>
          <w:lang w:eastAsia="zh-CN"/>
        </w:rPr>
      </w:pPr>
      <w:r>
        <w:rPr>
          <w:rFonts w:hint="eastAsia" w:ascii="仿宋" w:hAnsi="仿宋" w:eastAsia="仿宋" w:cs="仿宋"/>
          <w:b w:val="0"/>
          <w:bCs w:val="0"/>
          <w:color w:val="auto"/>
          <w:sz w:val="24"/>
          <w:highlight w:val="none"/>
          <w:lang w:val="en-US" w:eastAsia="zh-CN"/>
        </w:rPr>
        <w:t>（3）供应商必须自行考虑本项目在实施期间的一切可能产生的费用。在合同执行过程中，采购人将不再另行支付与本项目相关的任何费用</w:t>
      </w:r>
      <w:r>
        <w:rPr>
          <w:rFonts w:hint="eastAsia"/>
          <w:color w:val="auto"/>
          <w:highlight w:val="none"/>
          <w:lang w:eastAsia="zh-CN"/>
        </w:rPr>
        <w:t>。</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3.付款方式：</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（1）合同签订后20个工作日内，支付本合同中费用总额的30%；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（2）接口开发完成，验收后20个工作日内，支付本合同中费用总额的70%；</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（3）支付方式采用银行转账方式。</w:t>
      </w:r>
    </w:p>
    <w:p>
      <w:pPr>
        <w:numPr>
          <w:ilvl w:val="0"/>
          <w:numId w:val="0"/>
        </w:numPr>
        <w:spacing w:line="360" w:lineRule="auto"/>
        <w:ind w:firstLine="480" w:firstLineChars="200"/>
        <w:rPr>
          <w:rFonts w:hint="eastAsia"/>
          <w:color w:val="auto"/>
          <w:highlight w:val="none"/>
          <w:lang w:val="en-US" w:eastAsia="zh-CN"/>
        </w:rPr>
      </w:pPr>
      <w:r>
        <w:rPr>
          <w:rFonts w:hint="eastAsia" w:ascii="仿宋" w:hAnsi="仿宋" w:eastAsia="仿宋" w:cs="仿宋"/>
          <w:b w:val="0"/>
          <w:bCs w:val="0"/>
          <w:color w:val="auto"/>
          <w:sz w:val="24"/>
          <w:highlight w:val="none"/>
          <w:lang w:val="en-US" w:eastAsia="zh-CN"/>
        </w:rPr>
        <w:t>（4）供应商应向采购人出具合法有效完整的完税发票及凭证进行支付结算。</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4.验收要求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（1）验收标准：验收的主要依据包括本项目的采购文件、响应文件、合同等。</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总体验收：供应商应为验收提供所需的一切条件及相关费用，当项目所有工作内容完成以后，由供应商提交验收申请，采购人组织验收小组，负责对项目进行全面验收。供应商应提供本项目的相关文档和报告，并积极配合采购人进行完工验收工作，如果验收发现与详细业务需求不符或达不到规定的要求，采购人有权提出索赔。</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（3）在采购人的监督下，服务过程中的各项工作和文档，须达到采购文件中技术要求的标准。</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5.系统培训要求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（1）供应商派专业技术人员现场培训操作人员，由此产生的费用均由成交供应商承担。</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（2）供应商需提供详细的培训计划（包括培训人数、次数、时间安排等）。 </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（3）供应商为所有被培训人员提供培训用文字资料和讲义等相关用品，所有资料是中文书写。 </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（4）根据采购人的系统管理人员、业务人员分别提供有针对性的培训计划。 </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 xml:space="preserve">（5）供应商需根据项目的要求，详细列明培训课程内容和时间安排。 </w:t>
      </w:r>
    </w:p>
    <w:p>
      <w:pPr>
        <w:numPr>
          <w:ilvl w:val="0"/>
          <w:numId w:val="0"/>
        </w:numPr>
        <w:spacing w:line="360" w:lineRule="auto"/>
        <w:ind w:firstLine="480" w:firstLineChars="200"/>
        <w:rPr>
          <w:rFonts w:hint="eastAsia"/>
          <w:color w:val="auto"/>
          <w:highlight w:val="none"/>
          <w:lang w:val="en-US" w:eastAsia="zh-CN"/>
        </w:rPr>
      </w:pPr>
      <w:r>
        <w:rPr>
          <w:rFonts w:hint="eastAsia" w:ascii="仿宋" w:hAnsi="仿宋" w:eastAsia="仿宋" w:cs="仿宋"/>
          <w:b w:val="0"/>
          <w:bCs w:val="0"/>
          <w:color w:val="auto"/>
          <w:sz w:val="24"/>
          <w:highlight w:val="none"/>
          <w:lang w:val="en-US" w:eastAsia="zh-CN"/>
        </w:rPr>
        <w:t>（6）所有的应用软件培训均需包含系统管理员培训和操作人员培训两部分内容。系统管理员培训需包含系统使用、维护技能等方面的内容。</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6.售后服务要求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系统上线调试验收合格后质保期至少壹年。在质保期内，成交</w:t>
      </w:r>
      <w:r>
        <w:rPr>
          <w:rFonts w:hint="eastAsia" w:ascii="仿宋" w:hAnsi="仿宋" w:eastAsia="仿宋" w:cs="仿宋"/>
          <w:b w:val="0"/>
          <w:bCs w:val="0"/>
          <w:color w:val="auto"/>
          <w:sz w:val="24"/>
          <w:highlight w:val="none"/>
          <w:lang w:val="hr-HR" w:eastAsia="zh-CN"/>
        </w:rPr>
        <w:t>供应商</w:t>
      </w:r>
      <w:r>
        <w:rPr>
          <w:rFonts w:hint="eastAsia" w:ascii="仿宋" w:hAnsi="仿宋" w:eastAsia="仿宋" w:cs="仿宋"/>
          <w:b w:val="0"/>
          <w:bCs w:val="0"/>
          <w:color w:val="auto"/>
          <w:sz w:val="24"/>
          <w:highlight w:val="none"/>
          <w:lang w:val="en-US" w:eastAsia="zh-CN"/>
        </w:rPr>
        <w:t>应负责系统的维护费用</w:t>
      </w:r>
      <w:r>
        <w:rPr>
          <w:rFonts w:hint="eastAsia" w:ascii="仿宋" w:hAnsi="仿宋" w:eastAsia="仿宋" w:cs="仿宋"/>
          <w:b/>
          <w:bCs/>
          <w:color w:val="auto"/>
          <w:sz w:val="24"/>
          <w:highlight w:val="none"/>
          <w:lang w:val="en-US" w:eastAsia="zh-CN"/>
        </w:rPr>
        <w:t>（响应供应商需出具承诺函，格式自拟）。</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（1）提供技术资料、操作手册；</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（2）应提供固定售后服务工作站（提供工程师电话和技术维修力量情况和维修的详细地址及联系方式），专业工程师现场调试；</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（3）系统上线后对使用科室提供操作及维护培训；</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（4）提供技术咨询、软件升级；</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（5）30分钟内响应，并进行远程网络排查，2小时到达现场维修。</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7.保密要求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供应商必须严格保守从采购人所获取的信息秘密，在未取得采购人书面同意的情况下，不得以任何形式向第三方披露。在依法必须披露的情况下，供应商应当立即通知采购人，除非按照法律规定或生效命令不得为之。</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（2）保密义务不因合同履行完毕或解除而终止，除非保密信息已经对外披露或者公众所知。</w:t>
      </w:r>
    </w:p>
    <w:p>
      <w:pPr>
        <w:pStyle w:val="20"/>
        <w:spacing w:line="360" w:lineRule="auto"/>
        <w:ind w:left="0" w:leftChars="0" w:firstLine="480" w:firstLineChars="200"/>
        <w:rPr>
          <w:rFonts w:hint="eastAsia" w:ascii="仿宋" w:hAnsi="仿宋" w:eastAsia="仿宋" w:cs="仿宋"/>
          <w:bCs w:val="0"/>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8.</w:t>
      </w:r>
      <w:r>
        <w:rPr>
          <w:rFonts w:hint="eastAsia" w:ascii="仿宋" w:hAnsi="仿宋" w:eastAsia="仿宋" w:cs="仿宋"/>
          <w:bCs w:val="0"/>
          <w:color w:val="auto"/>
          <w:sz w:val="24"/>
          <w:szCs w:val="24"/>
          <w:highlight w:val="none"/>
          <w:lang w:val="en-US" w:eastAsia="zh-CN"/>
        </w:rPr>
        <w:t>团队要求</w:t>
      </w:r>
    </w:p>
    <w:p>
      <w:pPr>
        <w:pStyle w:val="20"/>
        <w:spacing w:line="360" w:lineRule="auto"/>
        <w:ind w:left="0" w:leftChars="0" w:firstLine="480" w:firstLineChars="200"/>
        <w:rPr>
          <w:rFonts w:hint="eastAsia" w:ascii="仿宋" w:hAnsi="仿宋" w:eastAsia="仿宋" w:cs="仿宋"/>
          <w:bCs w:val="0"/>
          <w:strike w:val="0"/>
          <w:color w:val="auto"/>
          <w:sz w:val="24"/>
          <w:szCs w:val="24"/>
          <w:highlight w:val="none"/>
          <w:lang w:val="en-US" w:eastAsia="zh-CN"/>
        </w:rPr>
      </w:pPr>
      <w:r>
        <w:rPr>
          <w:rFonts w:hint="eastAsia" w:ascii="仿宋" w:hAnsi="仿宋" w:eastAsia="仿宋" w:cs="仿宋"/>
          <w:b w:val="0"/>
          <w:bCs w:val="0"/>
          <w:color w:val="auto"/>
          <w:sz w:val="24"/>
          <w:highlight w:val="none"/>
          <w:lang w:val="en-US" w:eastAsia="zh-CN"/>
        </w:rPr>
        <w:t>供应商</w:t>
      </w:r>
      <w:r>
        <w:rPr>
          <w:rFonts w:hint="eastAsia" w:ascii="仿宋" w:hAnsi="仿宋" w:eastAsia="仿宋" w:cs="仿宋"/>
          <w:bCs w:val="0"/>
          <w:color w:val="auto"/>
          <w:sz w:val="24"/>
          <w:szCs w:val="24"/>
          <w:highlight w:val="none"/>
          <w:lang w:val="en-US" w:eastAsia="zh-CN"/>
        </w:rPr>
        <w:t>应</w:t>
      </w:r>
      <w:r>
        <w:rPr>
          <w:rFonts w:hint="eastAsia" w:ascii="仿宋" w:hAnsi="仿宋" w:eastAsia="仿宋" w:cs="仿宋"/>
          <w:strike w:val="0"/>
          <w:dstrike w:val="0"/>
          <w:color w:val="auto"/>
          <w:sz w:val="24"/>
          <w:szCs w:val="24"/>
          <w:highlight w:val="none"/>
          <w:lang w:val="en-US" w:eastAsia="zh-CN"/>
        </w:rPr>
        <w:t>指派固定的技术工程师进行服务，且该人员应当是</w:t>
      </w:r>
      <w:r>
        <w:rPr>
          <w:rFonts w:hint="eastAsia" w:ascii="仿宋" w:hAnsi="仿宋" w:eastAsia="仿宋" w:cs="仿宋"/>
          <w:b w:val="0"/>
          <w:bCs w:val="0"/>
          <w:color w:val="auto"/>
          <w:sz w:val="24"/>
          <w:highlight w:val="none"/>
          <w:lang w:val="en-US" w:eastAsia="zh-CN"/>
        </w:rPr>
        <w:t>供应商</w:t>
      </w:r>
      <w:r>
        <w:rPr>
          <w:rFonts w:hint="eastAsia" w:ascii="仿宋" w:hAnsi="仿宋" w:eastAsia="仿宋" w:cs="仿宋"/>
          <w:strike w:val="0"/>
          <w:dstrike w:val="0"/>
          <w:color w:val="auto"/>
          <w:sz w:val="24"/>
          <w:szCs w:val="24"/>
          <w:highlight w:val="none"/>
          <w:lang w:val="en-US" w:eastAsia="zh-CN"/>
        </w:rPr>
        <w:t>的正式工作人员。在服务期开始前提供人员档案备案。</w:t>
      </w:r>
      <w:r>
        <w:rPr>
          <w:rFonts w:hint="eastAsia" w:ascii="仿宋" w:hAnsi="仿宋" w:eastAsia="仿宋" w:cs="仿宋"/>
          <w:b w:val="0"/>
          <w:bCs w:val="0"/>
          <w:color w:val="auto"/>
          <w:sz w:val="24"/>
          <w:szCs w:val="24"/>
          <w:highlight w:val="none"/>
          <w:lang w:val="en-US" w:eastAsia="zh-CN"/>
        </w:rPr>
        <w:t>如无特殊原因不得更换运维技术人员，如需更换技术人员需提前一个月告知并提供在职证明，如发现外包人员，采购人可终止合作或索赔。</w:t>
      </w:r>
    </w:p>
    <w:p>
      <w:pPr>
        <w:numPr>
          <w:ilvl w:val="0"/>
          <w:numId w:val="0"/>
        </w:numPr>
        <w:spacing w:line="360" w:lineRule="auto"/>
        <w:ind w:firstLine="480" w:firstLineChars="200"/>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9.其他要求</w:t>
      </w:r>
    </w:p>
    <w:p>
      <w:pPr>
        <w:numPr>
          <w:ilvl w:val="0"/>
          <w:numId w:val="0"/>
        </w:numPr>
        <w:spacing w:line="360" w:lineRule="auto"/>
        <w:ind w:firstLine="480" w:firstLineChars="200"/>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（1）要求供应商提供科学性、合理性、实施可行性、可靠性等的项目方案，包括但不限于实施方案、进度安排、组织、实施计划；</w:t>
      </w:r>
    </w:p>
    <w:p>
      <w:pPr>
        <w:spacing w:line="360" w:lineRule="auto"/>
        <w:ind w:firstLine="504" w:firstLineChars="21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（2）要求供应商具备良好的履约能力，提供优秀的履约评价材料；</w:t>
      </w:r>
    </w:p>
    <w:p>
      <w:pPr>
        <w:spacing w:line="360" w:lineRule="auto"/>
        <w:ind w:firstLine="504" w:firstLineChars="210"/>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（3）</w:t>
      </w:r>
      <w:r>
        <w:rPr>
          <w:rFonts w:hint="eastAsia" w:ascii="仿宋" w:hAnsi="仿宋" w:eastAsia="仿宋" w:cs="仿宋"/>
          <w:color w:val="auto"/>
          <w:sz w:val="24"/>
          <w:highlight w:val="none"/>
          <w:lang w:val="en-US" w:eastAsia="zh-CN"/>
        </w:rPr>
        <w:t>要求供应商提供2022年1月1日至今的同类项目业绩数量情况。</w:t>
      </w:r>
    </w:p>
    <w:p>
      <w:pPr>
        <w:pStyle w:val="10"/>
        <w:rPr>
          <w:rFonts w:hint="default" w:ascii="仿宋" w:hAnsi="仿宋" w:eastAsia="仿宋" w:cs="仿宋"/>
          <w:b w:val="0"/>
          <w:bCs w:val="0"/>
          <w:color w:val="auto"/>
          <w:sz w:val="24"/>
          <w:highlight w:val="none"/>
          <w:lang w:val="en-US" w:eastAsia="zh-CN"/>
        </w:rPr>
        <w:sectPr>
          <w:footerReference r:id="rId6" w:type="default"/>
          <w:pgSz w:w="11906" w:h="16838"/>
          <w:pgMar w:top="1440" w:right="1800" w:bottom="1440" w:left="1800" w:header="851" w:footer="992" w:gutter="0"/>
          <w:pgNumType w:fmt="decimal" w:start="1"/>
          <w:cols w:space="720" w:num="1"/>
          <w:docGrid w:type="lines" w:linePitch="312" w:charSpace="0"/>
        </w:sectPr>
      </w:pPr>
    </w:p>
    <w:p>
      <w:pPr>
        <w:spacing w:line="360" w:lineRule="auto"/>
        <w:ind w:firstLine="504" w:firstLineChars="210"/>
        <w:rPr>
          <w:rFonts w:hint="eastAsia" w:ascii="仿宋" w:hAnsi="仿宋" w:eastAsia="仿宋" w:cs="仿宋"/>
          <w:color w:val="auto"/>
          <w:sz w:val="24"/>
          <w:highlight w:val="none"/>
          <w:lang w:val="en-US" w:eastAsia="zh-CN"/>
        </w:rPr>
      </w:pPr>
    </w:p>
    <w:p>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第三部分  响应供应商须知</w:t>
      </w:r>
    </w:p>
    <w:p>
      <w:pPr>
        <w:pStyle w:val="11"/>
        <w:adjustRightInd w:val="0"/>
        <w:snapToGrid w:val="0"/>
        <w:spacing w:line="380" w:lineRule="exact"/>
        <w:rPr>
          <w:rFonts w:hint="eastAsia" w:ascii="仿宋" w:hAnsi="仿宋" w:eastAsia="仿宋" w:cs="仿宋"/>
          <w:color w:val="auto"/>
          <w:sz w:val="28"/>
          <w:szCs w:val="28"/>
          <w:highlight w:val="none"/>
        </w:rPr>
      </w:pPr>
    </w:p>
    <w:p>
      <w:pPr>
        <w:pStyle w:val="11"/>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 xml:space="preserve">名词解释         </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1.定义</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“采购人”是指：</w:t>
      </w:r>
      <w:r>
        <w:rPr>
          <w:rFonts w:hint="eastAsia" w:ascii="仿宋" w:hAnsi="仿宋" w:eastAsia="仿宋" w:cs="仿宋"/>
          <w:color w:val="auto"/>
          <w:sz w:val="24"/>
          <w:szCs w:val="24"/>
          <w:highlight w:val="none"/>
          <w:u w:val="none"/>
          <w:lang w:eastAsia="zh-CN"/>
        </w:rPr>
        <w:t>惠州市第一妇幼保健院</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是采购活动当事人之一，负责项目的整体规划、技术方案可行性设计论证与实施，作为合同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（用户）的主体承担质疑回复、履行合同、验收与评价等义务。</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“监管部门”是指：</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项目监督管理部门。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“响应供应商”是指响应本文件要求，参加</w:t>
      </w:r>
      <w:r>
        <w:rPr>
          <w:rFonts w:hint="eastAsia" w:ascii="仿宋" w:hAnsi="仿宋" w:eastAsia="仿宋" w:cs="仿宋"/>
          <w:color w:val="auto"/>
          <w:sz w:val="24"/>
          <w:szCs w:val="24"/>
          <w:highlight w:val="none"/>
          <w:lang w:val="en-US" w:eastAsia="zh-CN"/>
        </w:rPr>
        <w:t>比选</w:t>
      </w:r>
      <w:r>
        <w:rPr>
          <w:rFonts w:hint="eastAsia" w:ascii="仿宋" w:hAnsi="仿宋" w:eastAsia="仿宋" w:cs="仿宋"/>
          <w:color w:val="auto"/>
          <w:sz w:val="24"/>
          <w:szCs w:val="24"/>
          <w:highlight w:val="none"/>
        </w:rPr>
        <w:t>的法人或者其他组织。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合格的响应</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是指符合以下条件的：</w:t>
      </w:r>
    </w:p>
    <w:p>
      <w:pPr>
        <w:pStyle w:val="11"/>
        <w:adjustRightInd w:val="0"/>
        <w:snapToGrid w:val="0"/>
        <w:spacing w:line="360" w:lineRule="auto"/>
        <w:ind w:firstLine="720" w:firstLineChars="3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符合《中华人民共和国政府采购法</w:t>
      </w:r>
      <w:r>
        <w:rPr>
          <w:rFonts w:hint="eastAsia" w:ascii="仿宋" w:hAnsi="仿宋" w:eastAsia="仿宋" w:cs="仿宋"/>
          <w:snapToGrid w:val="0"/>
          <w:color w:val="auto"/>
          <w:kern w:val="0"/>
          <w:sz w:val="24"/>
          <w:szCs w:val="24"/>
          <w:highlight w:val="none"/>
        </w:rPr>
        <w:t>》第二十二条规定的供应商。</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比选</w:t>
      </w:r>
      <w:r>
        <w:rPr>
          <w:rFonts w:hint="eastAsia" w:ascii="仿宋" w:hAnsi="仿宋" w:eastAsia="仿宋" w:cs="仿宋"/>
          <w:color w:val="auto"/>
          <w:sz w:val="24"/>
          <w:szCs w:val="24"/>
          <w:highlight w:val="none"/>
        </w:rPr>
        <w:t>文件“</w:t>
      </w:r>
      <w:r>
        <w:rPr>
          <w:rFonts w:hint="eastAsia" w:ascii="仿宋" w:hAnsi="仿宋" w:eastAsia="仿宋" w:cs="仿宋"/>
          <w:color w:val="auto"/>
          <w:sz w:val="24"/>
          <w:szCs w:val="24"/>
          <w:highlight w:val="none"/>
          <w:lang w:val="en-US" w:eastAsia="zh-CN"/>
        </w:rPr>
        <w:t>供应商资格</w:t>
      </w:r>
      <w:r>
        <w:rPr>
          <w:rFonts w:hint="eastAsia" w:ascii="仿宋" w:hAnsi="仿宋" w:eastAsia="仿宋" w:cs="仿宋"/>
          <w:color w:val="auto"/>
          <w:sz w:val="24"/>
          <w:szCs w:val="24"/>
          <w:highlight w:val="none"/>
        </w:rPr>
        <w:t>”规定要求；</w:t>
      </w:r>
    </w:p>
    <w:p>
      <w:pPr>
        <w:pStyle w:val="11"/>
        <w:adjustRightInd w:val="0"/>
        <w:snapToGrid w:val="0"/>
        <w:spacing w:line="360" w:lineRule="auto"/>
        <w:ind w:firstLine="720" w:firstLineChars="300"/>
        <w:rPr>
          <w:rFonts w:hint="eastAsia" w:ascii="仿宋" w:hAnsi="仿宋" w:eastAsia="仿宋" w:cs="仿宋"/>
          <w:color w:val="auto"/>
          <w:sz w:val="24"/>
          <w:szCs w:val="24"/>
          <w:highlight w:val="none"/>
          <w:lang w:val="hr-HR"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hr-HR" w:eastAsia="zh-CN"/>
        </w:rPr>
        <w:t>按要求进行</w:t>
      </w:r>
      <w:r>
        <w:rPr>
          <w:rFonts w:hint="eastAsia" w:ascii="仿宋" w:hAnsi="仿宋" w:eastAsia="仿宋" w:cs="仿宋"/>
          <w:color w:val="auto"/>
          <w:sz w:val="24"/>
          <w:szCs w:val="24"/>
          <w:highlight w:val="none"/>
          <w:lang w:val="en-US" w:eastAsia="zh-CN"/>
        </w:rPr>
        <w:t>资格性符合性审查（即满足采购条件和要求）</w:t>
      </w:r>
      <w:r>
        <w:rPr>
          <w:rFonts w:hint="eastAsia" w:ascii="仿宋" w:hAnsi="仿宋" w:eastAsia="仿宋" w:cs="仿宋"/>
          <w:color w:val="auto"/>
          <w:sz w:val="24"/>
          <w:szCs w:val="24"/>
          <w:highlight w:val="none"/>
          <w:lang w:val="hr-HR" w:eastAsia="zh-CN"/>
        </w:rPr>
        <w:t>并通过；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供应商”是指经</w:t>
      </w:r>
      <w:r>
        <w:rPr>
          <w:rFonts w:hint="eastAsia" w:ascii="仿宋" w:hAnsi="仿宋" w:eastAsia="仿宋" w:cs="仿宋"/>
          <w:color w:val="auto"/>
          <w:sz w:val="24"/>
          <w:szCs w:val="24"/>
          <w:highlight w:val="none"/>
          <w:lang w:val="en-US" w:eastAsia="zh-CN"/>
        </w:rPr>
        <w:t>评审小组</w:t>
      </w:r>
      <w:r>
        <w:rPr>
          <w:rFonts w:hint="eastAsia" w:ascii="仿宋" w:hAnsi="仿宋" w:eastAsia="仿宋" w:cs="仿宋"/>
          <w:color w:val="auto"/>
          <w:sz w:val="24"/>
          <w:szCs w:val="24"/>
          <w:highlight w:val="none"/>
        </w:rPr>
        <w:t>评审确定的对</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文件做出实质性响应，</w:t>
      </w:r>
      <w:r>
        <w:rPr>
          <w:rFonts w:hint="eastAsia" w:ascii="仿宋" w:hAnsi="仿宋" w:eastAsia="仿宋" w:cs="仿宋"/>
          <w:color w:val="auto"/>
          <w:sz w:val="24"/>
          <w:szCs w:val="24"/>
          <w:highlight w:val="none"/>
          <w:lang w:eastAsia="zh-CN"/>
        </w:rPr>
        <w:t>按评审结果顺序推荐的成交候选人及采购文件中明确的定标方法，由采购人党委会或（院长办公会）确定的</w:t>
      </w:r>
      <w:r>
        <w:rPr>
          <w:rFonts w:hint="eastAsia" w:ascii="仿宋" w:hAnsi="仿宋" w:eastAsia="仿宋" w:cs="仿宋"/>
          <w:color w:val="auto"/>
          <w:sz w:val="24"/>
          <w:szCs w:val="24"/>
          <w:highlight w:val="none"/>
          <w:lang w:val="en-US" w:eastAsia="zh-CN"/>
        </w:rPr>
        <w:t>响应供应商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w:t>
      </w:r>
      <w:r>
        <w:rPr>
          <w:rFonts w:hint="eastAsia" w:ascii="仿宋" w:hAnsi="仿宋" w:eastAsia="仿宋" w:cs="仿宋"/>
          <w:color w:val="auto"/>
          <w:sz w:val="24"/>
          <w:szCs w:val="24"/>
          <w:highlight w:val="none"/>
        </w:rPr>
        <w:t>文件：是指包括</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公告和</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文件及其补充、变更和澄清等一系列文件。</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（7）“响应文件”是指：供应商根据本文件要求，编制包含报价、技术和服务等所有内容的实质性响应文件。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合格的货物和服务：</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color w:val="auto"/>
          <w:sz w:val="24"/>
          <w:highlight w:val="none"/>
        </w:rPr>
        <w:t>“货物”是指</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制造或组织符合</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文件要求的货物等。</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文件中没有提及</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货物来源地的，根据《</w:t>
      </w:r>
      <w:r>
        <w:rPr>
          <w:rFonts w:hint="eastAsia" w:ascii="仿宋" w:hAnsi="仿宋" w:eastAsia="仿宋" w:cs="仿宋"/>
          <w:color w:val="auto"/>
          <w:sz w:val="24"/>
          <w:szCs w:val="24"/>
          <w:highlight w:val="none"/>
        </w:rPr>
        <w:t>中华人民共和国政府采购法</w:t>
      </w:r>
      <w:r>
        <w:rPr>
          <w:rFonts w:hint="eastAsia" w:ascii="仿宋" w:hAnsi="仿宋" w:eastAsia="仿宋" w:cs="仿宋"/>
          <w:color w:val="auto"/>
          <w:sz w:val="24"/>
          <w:highlight w:val="none"/>
        </w:rPr>
        <w:t>》的相关规定均应是本国货物。</w:t>
      </w:r>
      <w:r>
        <w:rPr>
          <w:rFonts w:hint="eastAsia" w:ascii="仿宋" w:hAnsi="仿宋" w:eastAsia="仿宋" w:cs="仿宋"/>
          <w:snapToGrid w:val="0"/>
          <w:color w:val="auto"/>
          <w:kern w:val="0"/>
          <w:sz w:val="24"/>
          <w:highlight w:val="none"/>
          <w:lang w:eastAsia="zh-CN"/>
        </w:rPr>
        <w:t>响应</w:t>
      </w:r>
      <w:r>
        <w:rPr>
          <w:rFonts w:hint="eastAsia" w:ascii="仿宋" w:hAnsi="仿宋" w:eastAsia="仿宋" w:cs="仿宋"/>
          <w:snapToGrid w:val="0"/>
          <w:color w:val="auto"/>
          <w:kern w:val="0"/>
          <w:sz w:val="24"/>
          <w:highlight w:val="none"/>
        </w:rPr>
        <w:t>的货物必须是其合法生产的符合国家有关标准要求的货物，并满足我院</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文件规定的规格、参数、质量、价格、有效期、售后服务等要求。</w:t>
      </w:r>
    </w:p>
    <w:p>
      <w:pPr>
        <w:pStyle w:val="11"/>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“服务”是指除货物和工程以外的采购对象，其中包括：</w:t>
      </w:r>
      <w:r>
        <w:rPr>
          <w:rFonts w:hint="eastAsia" w:ascii="仿宋" w:hAnsi="仿宋" w:eastAsia="仿宋" w:cs="仿宋"/>
          <w:snapToGrid w:val="0"/>
          <w:color w:val="auto"/>
          <w:kern w:val="0"/>
          <w:sz w:val="24"/>
          <w:highlight w:val="none"/>
          <w:lang w:val="en-US" w:eastAsia="zh-CN"/>
        </w:rPr>
        <w:t>响应供应商</w:t>
      </w:r>
      <w:r>
        <w:rPr>
          <w:rFonts w:hint="eastAsia" w:ascii="仿宋" w:hAnsi="仿宋" w:eastAsia="仿宋" w:cs="仿宋"/>
          <w:snapToGrid w:val="0"/>
          <w:color w:val="auto"/>
          <w:kern w:val="0"/>
          <w:sz w:val="24"/>
          <w:highlight w:val="none"/>
        </w:rPr>
        <w:t>需承担的运输、安装、技术支持、培训以及</w:t>
      </w:r>
      <w:r>
        <w:rPr>
          <w:rFonts w:hint="eastAsia" w:ascii="仿宋" w:hAnsi="仿宋" w:eastAsia="仿宋" w:cs="仿宋"/>
          <w:snapToGrid w:val="0"/>
          <w:color w:val="auto"/>
          <w:kern w:val="0"/>
          <w:sz w:val="24"/>
          <w:highlight w:val="none"/>
          <w:lang w:val="en-US" w:eastAsia="zh-CN"/>
        </w:rPr>
        <w:t>比选</w:t>
      </w:r>
      <w:r>
        <w:rPr>
          <w:rFonts w:hint="eastAsia" w:ascii="仿宋" w:hAnsi="仿宋" w:eastAsia="仿宋" w:cs="仿宋"/>
          <w:snapToGrid w:val="0"/>
          <w:color w:val="auto"/>
          <w:kern w:val="0"/>
          <w:sz w:val="24"/>
          <w:highlight w:val="none"/>
        </w:rPr>
        <w:t>文件规定的其他服务。</w:t>
      </w:r>
    </w:p>
    <w:p>
      <w:pPr>
        <w:pStyle w:val="11"/>
        <w:adjustRightInd w:val="0"/>
        <w:snapToGrid w:val="0"/>
        <w:spacing w:line="360" w:lineRule="auto"/>
        <w:ind w:firstLine="480" w:firstLineChars="200"/>
        <w:rPr>
          <w:rFonts w:hint="eastAsia" w:ascii="仿宋" w:hAnsi="仿宋" w:eastAsia="仿宋" w:cs="仿宋"/>
          <w:b w:val="0"/>
          <w:bCs w:val="0"/>
          <w:snapToGrid w:val="0"/>
          <w:color w:val="auto"/>
          <w:kern w:val="0"/>
          <w:sz w:val="24"/>
          <w:highlight w:val="none"/>
          <w:u w:val="none"/>
        </w:rPr>
      </w:pPr>
      <w:r>
        <w:rPr>
          <w:rFonts w:hint="eastAsia" w:ascii="仿宋" w:hAnsi="仿宋" w:eastAsia="仿宋" w:cs="仿宋"/>
          <w:b w:val="0"/>
          <w:bCs w:val="0"/>
          <w:snapToGrid w:val="0"/>
          <w:color w:val="auto"/>
          <w:kern w:val="0"/>
          <w:sz w:val="24"/>
          <w:szCs w:val="21"/>
          <w:highlight w:val="none"/>
          <w:u w:val="none"/>
          <w:lang w:val="en-US" w:eastAsia="zh-CN" w:bidi="ar-SA"/>
        </w:rPr>
        <w:t>2</w:t>
      </w:r>
      <w:r>
        <w:rPr>
          <w:rFonts w:hint="eastAsia" w:ascii="仿宋" w:hAnsi="仿宋" w:eastAsia="仿宋" w:cs="仿宋"/>
          <w:b w:val="0"/>
          <w:bCs w:val="0"/>
          <w:snapToGrid w:val="0"/>
          <w:color w:val="auto"/>
          <w:kern w:val="0"/>
          <w:sz w:val="24"/>
          <w:highlight w:val="none"/>
          <w:u w:val="none"/>
          <w:lang w:val="en-US" w:eastAsia="zh-CN"/>
        </w:rPr>
        <w:t>.</w:t>
      </w:r>
      <w:r>
        <w:rPr>
          <w:rFonts w:hint="eastAsia" w:ascii="仿宋" w:hAnsi="仿宋" w:eastAsia="仿宋" w:cs="仿宋"/>
          <w:b w:val="0"/>
          <w:bCs w:val="0"/>
          <w:snapToGrid w:val="0"/>
          <w:color w:val="auto"/>
          <w:kern w:val="0"/>
          <w:sz w:val="24"/>
          <w:highlight w:val="none"/>
          <w:u w:val="none"/>
        </w:rPr>
        <w:t>响应费用：</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b w:val="0"/>
          <w:bCs w:val="0"/>
          <w:snapToGrid w:val="0"/>
          <w:color w:val="auto"/>
          <w:kern w:val="0"/>
          <w:sz w:val="24"/>
          <w:highlight w:val="none"/>
          <w:u w:val="none"/>
        </w:rPr>
        <w:t>应承担所有与准备和参加响应有关的费用。</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3</w:t>
      </w:r>
      <w:r>
        <w:rPr>
          <w:rFonts w:hint="eastAsia" w:ascii="仿宋" w:hAnsi="仿宋" w:eastAsia="仿宋" w:cs="仿宋"/>
          <w:snapToGrid w:val="0"/>
          <w:color w:val="auto"/>
          <w:kern w:val="0"/>
          <w:sz w:val="24"/>
          <w:highlight w:val="none"/>
        </w:rPr>
        <w:t>.“响应供应商名称”及“</w:t>
      </w:r>
      <w:r>
        <w:rPr>
          <w:rFonts w:hint="eastAsia" w:ascii="仿宋" w:hAnsi="仿宋" w:eastAsia="仿宋" w:cs="仿宋"/>
          <w:snapToGrid w:val="0"/>
          <w:color w:val="auto"/>
          <w:kern w:val="0"/>
          <w:sz w:val="24"/>
          <w:highlight w:val="none"/>
          <w:lang w:eastAsia="zh-CN"/>
        </w:rPr>
        <w:t>盖章</w:t>
      </w:r>
      <w:r>
        <w:rPr>
          <w:rFonts w:hint="eastAsia" w:ascii="仿宋" w:hAnsi="仿宋" w:eastAsia="仿宋" w:cs="仿宋"/>
          <w:snapToGrid w:val="0"/>
          <w:color w:val="auto"/>
          <w:kern w:val="0"/>
          <w:sz w:val="24"/>
          <w:highlight w:val="none"/>
        </w:rPr>
        <w:t>”：在响应文件及相关的其他资料中，涉及“响应供应商名称”的应在对应文件编辑时使用文本录入方式，或在纸质响应文件上进行手写签名或电子印章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0" w:firstLineChars="200"/>
        <w:rPr>
          <w:rFonts w:hint="eastAsia" w:ascii="仿宋" w:hAnsi="仿宋" w:eastAsia="仿宋" w:cs="仿宋"/>
          <w:snapToGrid w:val="0"/>
          <w:color w:val="auto"/>
          <w:kern w:val="0"/>
          <w:sz w:val="24"/>
          <w:highlight w:val="none"/>
          <w:lang w:eastAsia="zh-CN"/>
        </w:rPr>
      </w:pPr>
      <w:r>
        <w:rPr>
          <w:rFonts w:hint="eastAsia" w:ascii="仿宋" w:hAnsi="仿宋" w:eastAsia="仿宋" w:cs="仿宋"/>
          <w:snapToGrid w:val="0"/>
          <w:color w:val="auto"/>
          <w:kern w:val="0"/>
          <w:sz w:val="24"/>
          <w:highlight w:val="none"/>
          <w:lang w:val="en-US" w:eastAsia="zh-CN"/>
        </w:rPr>
        <w:t>4.</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rPr>
        <w:t>响应供应商法定代表人</w:t>
      </w:r>
      <w:r>
        <w:rPr>
          <w:rFonts w:hint="eastAsia" w:ascii="仿宋" w:hAnsi="仿宋" w:eastAsia="仿宋" w:cs="仿宋"/>
          <w:snapToGrid w:val="0"/>
          <w:color w:val="auto"/>
          <w:kern w:val="0"/>
          <w:sz w:val="24"/>
          <w:highlight w:val="none"/>
        </w:rPr>
        <w:t>”及“</w:t>
      </w:r>
      <w:r>
        <w:rPr>
          <w:rFonts w:hint="eastAsia" w:ascii="仿宋" w:hAnsi="仿宋" w:eastAsia="仿宋" w:cs="仿宋"/>
          <w:color w:val="auto"/>
          <w:sz w:val="24"/>
          <w:highlight w:val="none"/>
        </w:rPr>
        <w:t>法定代表人授权代表</w:t>
      </w:r>
      <w:r>
        <w:rPr>
          <w:rFonts w:hint="eastAsia" w:ascii="仿宋" w:hAnsi="仿宋" w:eastAsia="仿宋" w:cs="仿宋"/>
          <w:snapToGrid w:val="0"/>
          <w:color w:val="auto"/>
          <w:kern w:val="0"/>
          <w:sz w:val="24"/>
          <w:highlight w:val="none"/>
        </w:rPr>
        <w:t>”</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响应供应商法定代表人（或法定代表人授权代表）</w:t>
      </w:r>
      <w:r>
        <w:rPr>
          <w:rFonts w:hint="eastAsia" w:ascii="仿宋" w:hAnsi="仿宋" w:eastAsia="仿宋" w:cs="仿宋"/>
          <w:color w:val="auto"/>
          <w:sz w:val="24"/>
          <w:highlight w:val="none"/>
          <w:lang w:eastAsia="zh-CN"/>
        </w:rPr>
        <w:t>”</w:t>
      </w:r>
      <w:r>
        <w:rPr>
          <w:rFonts w:hint="eastAsia" w:ascii="仿宋" w:hAnsi="仿宋" w:eastAsia="仿宋" w:cs="仿宋"/>
          <w:snapToGrid w:val="0"/>
          <w:color w:val="auto"/>
          <w:kern w:val="0"/>
          <w:sz w:val="24"/>
          <w:highlight w:val="none"/>
        </w:rPr>
        <w:t>：在响应文件及相关的其他资料中，涉及“</w:t>
      </w:r>
      <w:r>
        <w:rPr>
          <w:rFonts w:hint="eastAsia" w:ascii="仿宋" w:hAnsi="仿宋" w:eastAsia="仿宋" w:cs="仿宋"/>
          <w:b w:val="0"/>
          <w:bCs w:val="0"/>
          <w:snapToGrid w:val="0"/>
          <w:color w:val="auto"/>
          <w:kern w:val="0"/>
          <w:sz w:val="24"/>
          <w:highlight w:val="none"/>
          <w:u w:val="none"/>
          <w:lang w:eastAsia="zh-CN"/>
        </w:rPr>
        <w:t>响应供应商</w:t>
      </w:r>
      <w:r>
        <w:rPr>
          <w:rFonts w:hint="eastAsia" w:ascii="仿宋" w:hAnsi="仿宋" w:eastAsia="仿宋" w:cs="仿宋"/>
          <w:snapToGrid w:val="0"/>
          <w:color w:val="auto"/>
          <w:kern w:val="0"/>
          <w:sz w:val="24"/>
          <w:highlight w:val="none"/>
        </w:rPr>
        <w:t>代表签字”或“授权代表”应在响应文件编辑时使用文本录入方式，或在纸质响应文件上进行手写签名或电子印章</w:t>
      </w:r>
      <w:r>
        <w:rPr>
          <w:rFonts w:hint="eastAsia" w:ascii="仿宋" w:hAnsi="仿宋" w:eastAsia="仿宋" w:cs="仿宋"/>
          <w:snapToGrid w:val="0"/>
          <w:color w:val="auto"/>
          <w:kern w:val="0"/>
          <w:sz w:val="24"/>
          <w:highlight w:val="none"/>
          <w:lang w:eastAsia="zh-CN"/>
        </w:rPr>
        <w:t>。</w:t>
      </w:r>
    </w:p>
    <w:p>
      <w:pPr>
        <w:pStyle w:val="11"/>
        <w:adjustRightInd w:val="0"/>
        <w:snapToGrid w:val="0"/>
        <w:spacing w:line="360" w:lineRule="auto"/>
        <w:ind w:firstLine="482" w:firstLineChars="2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二、说明</w:t>
      </w:r>
    </w:p>
    <w:p>
      <w:pPr>
        <w:pStyle w:val="11"/>
        <w:adjustRightInd w:val="0"/>
        <w:snapToGrid w:val="0"/>
        <w:spacing w:line="360" w:lineRule="auto"/>
        <w:ind w:firstLine="481" w:firstLineChars="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1.总则</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bCs/>
          <w:color w:val="auto"/>
          <w:sz w:val="24"/>
          <w:szCs w:val="24"/>
          <w:highlight w:val="none"/>
        </w:rPr>
        <w:t>采购人及</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进行的本次采购活动</w:t>
      </w:r>
      <w:r>
        <w:rPr>
          <w:rFonts w:hint="eastAsia" w:ascii="仿宋" w:hAnsi="仿宋" w:eastAsia="仿宋" w:cs="仿宋"/>
          <w:color w:val="auto"/>
          <w:kern w:val="0"/>
          <w:sz w:val="24"/>
          <w:highlight w:val="none"/>
        </w:rPr>
        <w:t>参考《中华人民共和国政府采购法》及医院的采购制度。</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应仔细阅读本项目</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公告及</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的所有内容（包括变更、补充、澄清以及修改等，且均为</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的组成部分），按照</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要求以及格式编制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文件，并保证其真实性，否则一切后果自负。</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本次</w:t>
      </w:r>
      <w:r>
        <w:rPr>
          <w:rFonts w:hint="eastAsia" w:ascii="仿宋" w:hAnsi="仿宋" w:eastAsia="仿宋" w:cs="仿宋"/>
          <w:bCs/>
          <w:color w:val="auto"/>
          <w:sz w:val="24"/>
          <w:szCs w:val="24"/>
          <w:highlight w:val="none"/>
          <w:lang w:eastAsia="zh-CN"/>
        </w:rPr>
        <w:t>院内比选</w:t>
      </w:r>
      <w:r>
        <w:rPr>
          <w:rFonts w:hint="eastAsia" w:ascii="仿宋" w:hAnsi="仿宋" w:eastAsia="仿宋" w:cs="仿宋"/>
          <w:bCs/>
          <w:color w:val="auto"/>
          <w:sz w:val="24"/>
          <w:szCs w:val="24"/>
          <w:highlight w:val="none"/>
        </w:rPr>
        <w:t>项目，是以</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公告的方式邀请非特定的</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参加</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w:t>
      </w:r>
    </w:p>
    <w:p>
      <w:pPr>
        <w:pStyle w:val="11"/>
        <w:adjustRightInd w:val="0"/>
        <w:snapToGrid w:val="0"/>
        <w:spacing w:line="360" w:lineRule="auto"/>
        <w:ind w:firstLine="482" w:firstLineChars="200"/>
        <w:rPr>
          <w:rFonts w:hint="eastAsia" w:ascii="仿宋" w:hAnsi="仿宋" w:eastAsia="仿宋" w:cs="仿宋"/>
          <w:strike w:val="0"/>
          <w:dstrike w:val="0"/>
          <w:color w:val="auto"/>
          <w:sz w:val="24"/>
          <w:szCs w:val="24"/>
          <w:highlight w:val="none"/>
        </w:rPr>
      </w:pPr>
      <w:r>
        <w:rPr>
          <w:rFonts w:hint="eastAsia" w:ascii="仿宋" w:hAnsi="仿宋" w:eastAsia="仿宋" w:cs="仿宋"/>
          <w:b/>
          <w:bCs/>
          <w:color w:val="auto"/>
          <w:sz w:val="24"/>
          <w:highlight w:val="none"/>
          <w:lang w:val="en-US" w:eastAsia="zh-CN"/>
        </w:rPr>
        <w:t>2.适用范围：</w:t>
      </w:r>
      <w:r>
        <w:rPr>
          <w:rFonts w:hint="eastAsia" w:ascii="仿宋" w:hAnsi="仿宋" w:eastAsia="仿宋" w:cs="仿宋"/>
          <w:strike w:val="0"/>
          <w:dstrike w:val="0"/>
          <w:color w:val="auto"/>
          <w:sz w:val="24"/>
          <w:szCs w:val="24"/>
          <w:highlight w:val="none"/>
        </w:rPr>
        <w:t>本</w:t>
      </w:r>
      <w:r>
        <w:rPr>
          <w:rFonts w:hint="eastAsia" w:ascii="仿宋" w:hAnsi="仿宋" w:eastAsia="仿宋" w:cs="仿宋"/>
          <w:strike w:val="0"/>
          <w:dstrike w:val="0"/>
          <w:color w:val="auto"/>
          <w:sz w:val="24"/>
          <w:szCs w:val="24"/>
          <w:highlight w:val="none"/>
          <w:lang w:eastAsia="zh-CN"/>
        </w:rPr>
        <w:t>比选</w:t>
      </w:r>
      <w:r>
        <w:rPr>
          <w:rFonts w:hint="eastAsia" w:ascii="仿宋" w:hAnsi="仿宋" w:eastAsia="仿宋" w:cs="仿宋"/>
          <w:strike w:val="0"/>
          <w:dstrike w:val="0"/>
          <w:color w:val="auto"/>
          <w:sz w:val="24"/>
          <w:szCs w:val="24"/>
          <w:highlight w:val="none"/>
        </w:rPr>
        <w:t>文件适用于本</w:t>
      </w:r>
      <w:r>
        <w:rPr>
          <w:rFonts w:hint="eastAsia" w:ascii="仿宋" w:hAnsi="仿宋" w:eastAsia="仿宋" w:cs="仿宋"/>
          <w:strike w:val="0"/>
          <w:dstrike w:val="0"/>
          <w:color w:val="auto"/>
          <w:sz w:val="24"/>
          <w:szCs w:val="24"/>
          <w:highlight w:val="none"/>
          <w:lang w:eastAsia="zh-CN"/>
        </w:rPr>
        <w:t>比</w:t>
      </w:r>
      <w:r>
        <w:rPr>
          <w:rFonts w:hint="eastAsia" w:ascii="仿宋" w:hAnsi="仿宋" w:eastAsia="仿宋" w:cs="仿宋"/>
          <w:strike w:val="0"/>
          <w:dstrike w:val="0"/>
          <w:color w:val="auto"/>
          <w:sz w:val="24"/>
          <w:szCs w:val="24"/>
          <w:highlight w:val="none"/>
          <w:lang w:val="en-US" w:eastAsia="zh-CN"/>
        </w:rPr>
        <w:t>选</w:t>
      </w:r>
      <w:r>
        <w:rPr>
          <w:rFonts w:hint="eastAsia" w:ascii="仿宋" w:hAnsi="仿宋" w:eastAsia="仿宋" w:cs="仿宋"/>
          <w:strike w:val="0"/>
          <w:dstrike w:val="0"/>
          <w:color w:val="auto"/>
          <w:sz w:val="24"/>
          <w:szCs w:val="24"/>
          <w:highlight w:val="none"/>
        </w:rPr>
        <w:t>邀请中所述项目的采购项目。</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strike w:val="0"/>
          <w:dstrike w:val="0"/>
          <w:color w:val="auto"/>
          <w:sz w:val="24"/>
          <w:szCs w:val="24"/>
          <w:highlight w:val="none"/>
          <w:lang w:val="en-US" w:eastAsia="zh-CN"/>
        </w:rPr>
        <w:t>3.</w:t>
      </w:r>
      <w:r>
        <w:rPr>
          <w:rFonts w:hint="eastAsia" w:ascii="仿宋" w:hAnsi="仿宋" w:eastAsia="仿宋" w:cs="仿宋"/>
          <w:b/>
          <w:bCs/>
          <w:color w:val="auto"/>
          <w:sz w:val="24"/>
          <w:szCs w:val="24"/>
          <w:highlight w:val="none"/>
        </w:rPr>
        <w:t>关于中小微企业</w:t>
      </w:r>
      <w:r>
        <w:rPr>
          <w:rFonts w:hint="eastAsia" w:ascii="仿宋" w:hAnsi="仿宋" w:eastAsia="仿宋" w:cs="仿宋"/>
          <w:b/>
          <w:bCs/>
          <w:color w:val="auto"/>
          <w:sz w:val="24"/>
          <w:szCs w:val="24"/>
          <w:highlight w:val="none"/>
          <w:lang w:eastAsia="zh-CN"/>
        </w:rPr>
        <w:t>响应</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 xml:space="preserve"> 。</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小型和微型企业产品价格扣除（专门面向中小企业采购项目不予以价格扣除）根据财政部、工业和信息化部印发的《政府采购促进中小企业发展管理办法》（财库〔2020〕46号）的规定，对小型和微型企业产品的价格给予10%的扣除，用扣除后的价格参与评审；</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产品中仅有部分小型和微型企业产品的，则此部分按所投小型和微型企业产品的价格予以扣除。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根据财库〔2014〕68号《财政部</w:t>
      </w:r>
      <w:r>
        <w:rPr>
          <w:rFonts w:hint="eastAsia" w:ascii="仿宋" w:hAnsi="仿宋" w:eastAsia="仿宋" w:cs="仿宋"/>
          <w:b w:val="0"/>
          <w:bCs/>
          <w:color w:val="auto"/>
          <w:sz w:val="24"/>
          <w:szCs w:val="24"/>
          <w:highlight w:val="none"/>
        </w:rPr>
        <w:tab/>
      </w:r>
      <w:r>
        <w:rPr>
          <w:rFonts w:hint="eastAsia" w:ascii="仿宋" w:hAnsi="仿宋" w:eastAsia="仿宋" w:cs="仿宋"/>
          <w:b w:val="0"/>
          <w:bCs/>
          <w:color w:val="auto"/>
          <w:sz w:val="24"/>
          <w:szCs w:val="24"/>
          <w:highlight w:val="none"/>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设区的市</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监狱、强制隔离戒毒所、戒毒康复所，以及新疆生产建设兵团监狱管理局、戒毒管理局的企业。监狱企业</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时，提供由省级以上监狱管理局、戒毒管理局</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含新疆生产建设兵团</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出具的属于监狱企业的证明文件，不再提供《中小企业声明函》。</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监狱企业视同小型、微型企业，享受评审中价格扣除。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残疾人福利性单位视同小型、微型企业，享受评审中价格扣除。</w:t>
      </w:r>
    </w:p>
    <w:p>
      <w:pPr>
        <w:pStyle w:val="11"/>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同时为小型、微型企业、监狱企业、残疾人福利性单位任两种或以上情况的，评审中只享受一次价格扣除，不重复进行价格扣除。</w:t>
      </w:r>
    </w:p>
    <w:p>
      <w:pPr>
        <w:pStyle w:val="11"/>
        <w:adjustRightInd w:val="0"/>
        <w:snapToGrid w:val="0"/>
        <w:spacing w:line="360" w:lineRule="auto"/>
        <w:ind w:firstLine="482"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b/>
          <w:bCs/>
          <w:strike w:val="0"/>
          <w:dstrike w:val="0"/>
          <w:color w:val="auto"/>
          <w:sz w:val="24"/>
          <w:szCs w:val="24"/>
          <w:highlight w:val="none"/>
          <w:lang w:val="en-US" w:eastAsia="zh-CN"/>
        </w:rPr>
        <w:t>4.纪律与保密</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不得相互串通</w:t>
      </w:r>
      <w:r>
        <w:rPr>
          <w:rFonts w:hint="eastAsia" w:ascii="仿宋" w:hAnsi="仿宋" w:eastAsia="仿宋" w:cs="仿宋"/>
          <w:bCs/>
          <w:color w:val="auto"/>
          <w:sz w:val="24"/>
          <w:szCs w:val="24"/>
          <w:highlight w:val="none"/>
          <w:lang w:val="en-US" w:eastAsia="zh-CN"/>
        </w:rPr>
        <w:t>响应</w:t>
      </w:r>
      <w:r>
        <w:rPr>
          <w:rFonts w:hint="eastAsia" w:ascii="仿宋" w:hAnsi="仿宋" w:eastAsia="仿宋" w:cs="仿宋"/>
          <w:bCs/>
          <w:color w:val="auto"/>
          <w:sz w:val="24"/>
          <w:szCs w:val="24"/>
          <w:highlight w:val="none"/>
        </w:rPr>
        <w:t>报价，不得妨碍其他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的公平竞争，不得损害采购人或其他</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的合法权益，</w:t>
      </w:r>
      <w:r>
        <w:rPr>
          <w:rFonts w:hint="eastAsia" w:ascii="仿宋" w:hAnsi="仿宋" w:eastAsia="仿宋" w:cs="仿宋"/>
          <w:bCs/>
          <w:color w:val="auto"/>
          <w:sz w:val="24"/>
          <w:szCs w:val="24"/>
          <w:highlight w:val="none"/>
          <w:lang w:val="en-US" w:eastAsia="zh-CN"/>
        </w:rPr>
        <w:t>响应供应商</w:t>
      </w:r>
      <w:r>
        <w:rPr>
          <w:rFonts w:hint="eastAsia" w:ascii="仿宋" w:hAnsi="仿宋" w:eastAsia="仿宋" w:cs="仿宋"/>
          <w:bCs/>
          <w:color w:val="auto"/>
          <w:sz w:val="24"/>
          <w:szCs w:val="24"/>
          <w:highlight w:val="none"/>
        </w:rPr>
        <w:t>不得以向采购人、</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行贿或者采取其他不正当手段谋取</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val="en-US" w:eastAsia="zh-CN"/>
        </w:rPr>
        <w:t>成交</w:t>
      </w:r>
      <w:r>
        <w:rPr>
          <w:rFonts w:hint="eastAsia" w:ascii="仿宋" w:hAnsi="仿宋" w:eastAsia="仿宋" w:cs="仿宋"/>
          <w:bCs/>
          <w:color w:val="auto"/>
          <w:sz w:val="24"/>
          <w:szCs w:val="24"/>
          <w:highlight w:val="none"/>
        </w:rPr>
        <w:t>供应商之前，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不得与采购人就</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价格、</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方案等实质性内容进行谈判，也不得私下接触</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成员。</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在确定</w:t>
      </w:r>
      <w:r>
        <w:rPr>
          <w:rFonts w:hint="eastAsia" w:ascii="仿宋" w:hAnsi="仿宋" w:eastAsia="仿宋" w:cs="仿宋"/>
          <w:bCs/>
          <w:color w:val="auto"/>
          <w:sz w:val="24"/>
          <w:szCs w:val="24"/>
          <w:highlight w:val="none"/>
          <w:lang w:eastAsia="zh-CN"/>
        </w:rPr>
        <w:t>成交供应商</w:t>
      </w:r>
      <w:r>
        <w:rPr>
          <w:rFonts w:hint="eastAsia" w:ascii="仿宋" w:hAnsi="仿宋" w:eastAsia="仿宋" w:cs="仿宋"/>
          <w:bCs/>
          <w:color w:val="auto"/>
          <w:sz w:val="24"/>
          <w:szCs w:val="24"/>
          <w:highlight w:val="none"/>
        </w:rPr>
        <w:t>之前，</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试图在</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文件审查、澄清、比较和评价时对</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、采购人施加任何影响都可能导致其</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无效。</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获得本</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者，须履行本项目</w:t>
      </w:r>
      <w:r>
        <w:rPr>
          <w:rFonts w:hint="eastAsia" w:ascii="仿宋" w:hAnsi="仿宋" w:eastAsia="仿宋" w:cs="仿宋"/>
          <w:bCs/>
          <w:color w:val="auto"/>
          <w:sz w:val="24"/>
          <w:szCs w:val="24"/>
          <w:highlight w:val="none"/>
          <w:lang w:eastAsia="zh-CN"/>
        </w:rPr>
        <w:t>的</w:t>
      </w:r>
      <w:r>
        <w:rPr>
          <w:rFonts w:hint="eastAsia" w:ascii="仿宋" w:hAnsi="仿宋" w:eastAsia="仿宋" w:cs="仿宋"/>
          <w:bCs/>
          <w:color w:val="auto"/>
          <w:sz w:val="24"/>
          <w:szCs w:val="24"/>
          <w:highlight w:val="none"/>
        </w:rPr>
        <w:t>保密义务，不得将因本次项目获得的信息向第三人外传，不得将</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用作本次</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以外的任何用途。</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由采购人向</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提供的图纸、详细资料、样品、模型、模件和所有其它资料，均为保密资料，仅被用于它所规定的用途。除非得到采购人的同意，不能向任何第三方透露。</w:t>
      </w:r>
      <w:r>
        <w:rPr>
          <w:rFonts w:hint="eastAsia" w:ascii="仿宋" w:hAnsi="仿宋" w:eastAsia="仿宋" w:cs="仿宋"/>
          <w:bCs/>
          <w:color w:val="auto"/>
          <w:sz w:val="24"/>
          <w:szCs w:val="24"/>
          <w:highlight w:val="none"/>
          <w:lang w:val="en-US" w:eastAsia="zh-CN"/>
        </w:rPr>
        <w:t>比选</w:t>
      </w:r>
      <w:r>
        <w:rPr>
          <w:rFonts w:hint="eastAsia" w:ascii="仿宋" w:hAnsi="仿宋" w:eastAsia="仿宋" w:cs="仿宋"/>
          <w:bCs/>
          <w:color w:val="auto"/>
          <w:sz w:val="24"/>
          <w:szCs w:val="24"/>
          <w:highlight w:val="none"/>
        </w:rPr>
        <w:t>结束后，应采购人要求，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应归还所有从采购人处获得的保密资料。</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采购人有权将供应商提供的所有资料向有关政府部门或评审小组披露。</w:t>
      </w:r>
    </w:p>
    <w:p>
      <w:pPr>
        <w:pStyle w:val="11"/>
        <w:numPr>
          <w:ilvl w:val="0"/>
          <w:numId w:val="0"/>
        </w:numPr>
        <w:adjustRightInd w:val="0"/>
        <w:snapToGrid w:val="0"/>
        <w:spacing w:line="360" w:lineRule="auto"/>
        <w:ind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在采购人认为适当时、国家机关调查、审查、审计时以及其他符合法律规定的情形下，采购人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11"/>
        <w:adjustRightInd w:val="0"/>
        <w:snapToGrid w:val="0"/>
        <w:spacing w:line="360" w:lineRule="auto"/>
        <w:ind w:firstLine="482" w:firstLineChars="200"/>
        <w:rPr>
          <w:rFonts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5.</w:t>
      </w:r>
      <w:r>
        <w:rPr>
          <w:rFonts w:hint="eastAsia" w:ascii="仿宋" w:hAnsi="仿宋" w:eastAsia="仿宋" w:cs="仿宋"/>
          <w:b/>
          <w:bCs/>
          <w:color w:val="auto"/>
          <w:sz w:val="24"/>
          <w:szCs w:val="24"/>
          <w:highlight w:val="none"/>
        </w:rPr>
        <w:t>比选的语言及计量</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提交的响应文件以及供应商与采购人就有关比选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除非比选文件中另有规定，供应商在响应文件中及其与采购单位的所有往来文件中的计量单位均应采用中华人民共和国法定计量单位。</w:t>
      </w:r>
    </w:p>
    <w:p>
      <w:pPr>
        <w:pStyle w:val="11"/>
        <w:adjustRightInd w:val="0"/>
        <w:snapToGrid w:val="0"/>
        <w:spacing w:line="360" w:lineRule="auto"/>
        <w:ind w:firstLine="480" w:firstLineChars="200"/>
        <w:rPr>
          <w:rFonts w:hint="eastAsia" w:ascii="仿宋" w:hAnsi="仿宋" w:eastAsia="仿宋" w:cs="仿宋"/>
          <w:b/>
          <w:bCs/>
          <w:strike w:val="0"/>
          <w:dstrike w:val="0"/>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响应文件的构成应符合法律法规及比选文件的要求。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strike w:val="0"/>
          <w:dstrike w:val="0"/>
          <w:color w:val="auto"/>
          <w:sz w:val="24"/>
          <w:szCs w:val="24"/>
          <w:highlight w:val="none"/>
          <w:lang w:val="en-US" w:eastAsia="zh-CN"/>
        </w:rPr>
        <w:t>6.</w:t>
      </w:r>
      <w:r>
        <w:rPr>
          <w:rFonts w:hint="eastAsia" w:ascii="仿宋" w:hAnsi="仿宋" w:eastAsia="仿宋" w:cs="仿宋"/>
          <w:b/>
          <w:bCs/>
          <w:color w:val="auto"/>
          <w:sz w:val="24"/>
          <w:szCs w:val="24"/>
          <w:highlight w:val="none"/>
        </w:rPr>
        <w:t>现场踏勘（如有）</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规定组织踏勘现场的，采购人按</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规定的时间、地点组织</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踏勘项目现场。</w:t>
      </w:r>
    </w:p>
    <w:p>
      <w:pPr>
        <w:pStyle w:val="11"/>
        <w:adjustRightInd w:val="0"/>
        <w:snapToGrid w:val="0"/>
        <w:spacing w:line="360" w:lineRule="auto"/>
        <w:ind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自行承担踏勘现场发生的责任、风险和自身费用。</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采购人在踏勘现场中介绍的资料和数据等，只是为了使</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能够利用</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现有的资料。</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人对</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由此而作出的推论、解释和结论概不负责。</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三、比选文件澄清和修改</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比选文件的澄清是指</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对比选文件中的遗漏、错误、词义表达不清或对比较复杂的事项进行说明，回答供应商提出的各种问题。比选文件的修改是指采购人对比选文件中出现的错误进行修订。</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任何要求对比选文件进行澄清的供应商，均应在比选文件规定的响应文件递交截止时间3日之前以书面形式通知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对其收到的书面的对比选文件的澄清要求均以书面形式予以答复，同时将书面形式答复发给每个</w:t>
      </w:r>
      <w:r>
        <w:rPr>
          <w:rFonts w:hint="eastAsia" w:ascii="仿宋" w:hAnsi="仿宋" w:eastAsia="仿宋" w:cs="仿宋"/>
          <w:color w:val="auto"/>
          <w:sz w:val="24"/>
          <w:szCs w:val="24"/>
          <w:highlight w:val="none"/>
          <w:lang w:val="en-US" w:eastAsia="zh-CN"/>
        </w:rPr>
        <w:t>报名成功的</w:t>
      </w:r>
      <w:r>
        <w:rPr>
          <w:rFonts w:hint="eastAsia" w:ascii="仿宋" w:hAnsi="仿宋" w:eastAsia="仿宋" w:cs="仿宋"/>
          <w:color w:val="auto"/>
          <w:sz w:val="24"/>
          <w:szCs w:val="24"/>
          <w:highlight w:val="none"/>
        </w:rPr>
        <w:t>供应商（答复中不包括问题的来源）。不足3日的，顺延提交响应文件的截止时间。该答复作为比选文件的一部分，对供应商有约束力。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比选文件的修改将在比选文件规定的响应文件递交截止时间3日之前由</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以书面形式通知所有潜在（报名成功的）供应商，并对其具有约束力。</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采购人可以视采购具体情况，延长响应文件递交截止时间，但至少应当在比选文件规定的响应文件递交截止时间3日前，并将变更时间书面通知所有已获取比选文件的潜在供应商。</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四、响应要求</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1.响应文件编制</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对比选文件中多个包（组）进行响应的，其响应文件的编制应按每个包（组）的要求进行页码编制并分别装订和封装。供应商应当对响应文件进行装订，对未经装订的响应文件可能发生的文件散落或缺损，由此产生的后果由供应商承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响应供应商应完整、真实、准确的填写比选文件中规定的所有内容，对响应文件所提供的全部资料的真实性承担法律责任，并无条件接受</w:t>
      </w:r>
      <w:r>
        <w:rPr>
          <w:rFonts w:hint="eastAsia" w:ascii="仿宋" w:hAnsi="仿宋" w:eastAsia="仿宋" w:cs="仿宋"/>
          <w:color w:val="auto"/>
          <w:sz w:val="24"/>
          <w:szCs w:val="24"/>
          <w:highlight w:val="none"/>
          <w:lang w:val="en-US" w:eastAsia="zh-CN"/>
        </w:rPr>
        <w:t>医院办公室</w:t>
      </w:r>
      <w:r>
        <w:rPr>
          <w:rFonts w:hint="eastAsia" w:ascii="仿宋" w:hAnsi="仿宋" w:eastAsia="仿宋" w:cs="仿宋"/>
          <w:color w:val="auto"/>
          <w:sz w:val="24"/>
          <w:szCs w:val="24"/>
          <w:highlight w:val="none"/>
        </w:rPr>
        <w:t>和监督管理小组等对其中任何资料进行核实的要求。供应商必须对响应文件所提供的全部资料的真实性承担法律责任。</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如果因为供应商响应文件填报的内容不详，或没有提供比选文件中所要求的全部资料及数据，由此造成的后果，其责任由供应商承担。</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响应文件的递交</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供应商应将《报价单》单独密封提交，并在信封上清晰标明“报价信封”字样。供应商应将响应文件密封包装。</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响应的信封袋或者文件袋外包装上应注明采购项目名称、项目编号 “在（比选文件中规定的比选日期和时点）之前不得拆封”字样，封口处加盖公章。未按要求密封和标记的，我院对误投或提前启封概不负责。</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在《比选邀请函》中规定的地点和响应截止时间之前接收响应文件，超过截止时间后的响应为无效响应，采购</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将拒绝接收。</w:t>
      </w:r>
    </w:p>
    <w:p>
      <w:pPr>
        <w:pStyle w:val="11"/>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3.响应文件的修改、撤回与撤销</w:t>
      </w:r>
    </w:p>
    <w:p>
      <w:pPr>
        <w:pStyle w:val="11"/>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在响应截止时间前，可以对所提交的响应文件进行补充、修改或撤回，但必须书面告知；补充、修改的内容应当按比选文件要求签署、盖章，并作为响应文件的组成部分。在响应截止时间后，供应商不得对其响应文件做任何修改和补充或</w:t>
      </w:r>
      <w:r>
        <w:rPr>
          <w:rFonts w:ascii="仿宋" w:hAnsi="仿宋" w:eastAsia="仿宋" w:cs="仿宋"/>
          <w:color w:val="auto"/>
          <w:sz w:val="24"/>
          <w:szCs w:val="24"/>
          <w:highlight w:val="none"/>
        </w:rPr>
        <w:t>撤回</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供应商所提交的响应文件在比选结束后，无论成交与否都不予退还。</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strike w:val="0"/>
          <w:color w:val="auto"/>
          <w:sz w:val="24"/>
          <w:szCs w:val="24"/>
          <w:highlight w:val="none"/>
        </w:rPr>
        <w:t>有以下情形的，将视为响应供应商互相串通响应，不得报名或响应无效：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（1）不同供应商委托同一单位或个人办理报价事宜；</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（2）不同供应商的报价文件出现同一公章或者签字的；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（3）不同供应商的响应文件异常一致或者非比选文件格式要求，响应文件中出现错误字/词/句位置一致的，雷同内容达到20字及以上的；</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（4）不同供应商的响应文件载明的项目管理成员或者联系人员为同一人；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（5）不同供应商的响应文件相互混装；</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（6）法定代表人为同一个人的两个及两个以上法人，母公司、全资子公司及其控股公司或有共同股东组成或主要管理人员中有共同人员的。</w:t>
      </w:r>
    </w:p>
    <w:p>
      <w:pPr>
        <w:pStyle w:val="11"/>
        <w:adjustRightInd w:val="0"/>
        <w:snapToGrid w:val="0"/>
        <w:spacing w:line="360" w:lineRule="auto"/>
        <w:ind w:firstLine="482" w:firstLineChars="200"/>
        <w:rPr>
          <w:rFonts w:hint="eastAsia" w:ascii="仿宋" w:hAnsi="仿宋" w:eastAsia="仿宋" w:cs="仿宋"/>
          <w:b/>
          <w:bCs/>
          <w:strike w:val="0"/>
          <w:color w:val="auto"/>
          <w:sz w:val="24"/>
          <w:szCs w:val="24"/>
          <w:highlight w:val="none"/>
        </w:rPr>
      </w:pPr>
      <w:r>
        <w:rPr>
          <w:rFonts w:hint="eastAsia" w:ascii="仿宋" w:hAnsi="仿宋" w:eastAsia="仿宋" w:cs="仿宋"/>
          <w:b/>
          <w:bCs/>
          <w:strike w:val="0"/>
          <w:color w:val="auto"/>
          <w:sz w:val="24"/>
          <w:szCs w:val="24"/>
          <w:highlight w:val="none"/>
          <w:lang w:val="en-US" w:eastAsia="zh-CN"/>
        </w:rPr>
        <w:t>5.</w:t>
      </w:r>
      <w:r>
        <w:rPr>
          <w:rFonts w:hint="eastAsia" w:ascii="仿宋" w:hAnsi="仿宋" w:eastAsia="仿宋" w:cs="仿宋"/>
          <w:b/>
          <w:bCs/>
          <w:strike w:val="0"/>
          <w:color w:val="auto"/>
          <w:sz w:val="24"/>
          <w:szCs w:val="24"/>
          <w:highlight w:val="none"/>
        </w:rPr>
        <w:t>响应供应商有下列弄虚作假的行为的，不得报名或响应无效：</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（1）使用伪造、变造的许可证件；</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（2）提供虚假的财务状况或者业绩；</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（3）提供虚假的项目负责人或者主要技术人员简历、劳动关系证明；</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（4）提供虚假的信用状况；</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（5）其他弄虚作假的行为；</w:t>
      </w:r>
    </w:p>
    <w:p>
      <w:pPr>
        <w:pStyle w:val="11"/>
        <w:adjustRightInd w:val="0"/>
        <w:snapToGrid w:val="0"/>
        <w:spacing w:line="360" w:lineRule="auto"/>
        <w:ind w:firstLine="48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（6）响应文件或报价文件的签名为代签或冒签的；</w:t>
      </w:r>
    </w:p>
    <w:p>
      <w:pPr>
        <w:pStyle w:val="11"/>
        <w:adjustRightInd w:val="0"/>
        <w:snapToGrid w:val="0"/>
        <w:spacing w:line="360" w:lineRule="auto"/>
        <w:ind w:firstLine="480" w:firstLineChars="0"/>
        <w:rPr>
          <w:rFonts w:hint="eastAsia" w:ascii="仿宋" w:hAnsi="仿宋" w:eastAsia="仿宋" w:cs="仿宋"/>
          <w:strike w:val="0"/>
          <w:color w:val="auto"/>
          <w:sz w:val="24"/>
          <w:szCs w:val="24"/>
          <w:highlight w:val="none"/>
        </w:rPr>
      </w:pPr>
      <w:r>
        <w:rPr>
          <w:rFonts w:hint="eastAsia" w:ascii="仿宋" w:hAnsi="仿宋" w:eastAsia="仿宋" w:cs="仿宋"/>
          <w:strike w:val="0"/>
          <w:color w:val="auto"/>
          <w:sz w:val="24"/>
          <w:szCs w:val="24"/>
          <w:highlight w:val="none"/>
        </w:rPr>
        <w:t>（7）被授权人委托他人提交响应文件的，无委托书的。</w:t>
      </w:r>
    </w:p>
    <w:p>
      <w:pPr>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6.</w:t>
      </w:r>
      <w:r>
        <w:rPr>
          <w:rFonts w:hint="eastAsia" w:ascii="仿宋" w:hAnsi="仿宋" w:eastAsia="仿宋" w:cs="仿宋"/>
          <w:b/>
          <w:bCs/>
          <w:color w:val="auto"/>
          <w:sz w:val="24"/>
          <w:highlight w:val="none"/>
        </w:rPr>
        <w:t>无效的报价认定</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（1）报价文件没有有效签署的； </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（2）报价文件不响应评审小组评审时质疑提出的问题，且该问题将可能给采购人造成重大影响的；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（3）报价文件的报价明显过低，可能低于其成本，而供应商又不能作出合理说明的；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（4）报价文件的总价超出采购预算且采购人不能接受的；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（5）报价文件附有采购人不能接受的条件的；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（6）评审小组认为本次报价不响应比选文件实质性要求的；</w:t>
      </w:r>
    </w:p>
    <w:p>
      <w:pPr>
        <w:pStyle w:val="11"/>
        <w:adjustRightInd w:val="0"/>
        <w:snapToGrid w:val="0"/>
        <w:spacing w:line="360" w:lineRule="auto"/>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（7）其它评审小组一致认为应作为无效报价的。</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7.</w:t>
      </w:r>
      <w:r>
        <w:rPr>
          <w:rFonts w:hint="eastAsia" w:ascii="仿宋" w:hAnsi="仿宋" w:eastAsia="仿宋" w:cs="仿宋"/>
          <w:b/>
          <w:bCs/>
          <w:color w:val="auto"/>
          <w:sz w:val="24"/>
          <w:szCs w:val="24"/>
          <w:highlight w:val="none"/>
        </w:rPr>
        <w:t>“</w:t>
      </w:r>
      <w:r>
        <w:rPr>
          <w:rFonts w:hint="eastAsia" w:ascii="仿宋" w:hAnsi="仿宋" w:eastAsia="仿宋" w:cs="仿宋"/>
          <w:b/>
          <w:color w:val="auto"/>
          <w:sz w:val="24"/>
          <w:szCs w:val="24"/>
          <w:highlight w:val="none"/>
        </w:rPr>
        <w:t>★”号条款：必须实质响应的条款，响应供应商不可偏离，负偏离将导致评审时认定为响应无效。“▲”号条款：可以偏离的响应条款，将影响响应供应商的得分。</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8.</w:t>
      </w:r>
      <w:r>
        <w:rPr>
          <w:rFonts w:hint="eastAsia" w:ascii="仿宋" w:hAnsi="仿宋" w:eastAsia="仿宋" w:cs="仿宋"/>
          <w:b/>
          <w:color w:val="auto"/>
          <w:sz w:val="24"/>
          <w:szCs w:val="24"/>
          <w:highlight w:val="none"/>
        </w:rPr>
        <w:t>以下情形，采购人有权拒收响应文件：</w:t>
      </w:r>
    </w:p>
    <w:p>
      <w:pPr>
        <w:pStyle w:val="11"/>
        <w:adjustRightInd w:val="0"/>
        <w:snapToGrid w:val="0"/>
        <w:spacing w:line="360" w:lineRule="auto"/>
        <w:ind w:firstLine="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（1）逾期送达；</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（2）未按比选文件要求密封。</w:t>
      </w:r>
    </w:p>
    <w:p>
      <w:pPr>
        <w:pStyle w:val="11"/>
        <w:adjustRightInd w:val="0"/>
        <w:snapToGrid w:val="0"/>
        <w:spacing w:line="360" w:lineRule="auto"/>
        <w:ind w:firstLine="48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9.</w:t>
      </w:r>
      <w:r>
        <w:rPr>
          <w:rFonts w:hint="eastAsia" w:ascii="仿宋" w:hAnsi="仿宋" w:eastAsia="仿宋" w:cs="仿宋"/>
          <w:b/>
          <w:color w:val="auto"/>
          <w:sz w:val="24"/>
          <w:szCs w:val="24"/>
          <w:highlight w:val="none"/>
        </w:rPr>
        <w:t>有下列情形，评审小组将否决其响应：</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（1）响应文件未经响应单位盖章和法人或单位负责人签字；</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（2）响应联合体没有提交共同响应协议；</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（3）同一响应供应商提交两个以上不同的响应文件或者响应报价，比选文件要求提交备选响应的除外；</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（4）响应报价低于成本或者高于比选最高响应限价的；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（5）响应文件没有对比选文件的实质性要求和条件作出响应的，</w:t>
      </w:r>
      <w:r>
        <w:rPr>
          <w:rFonts w:hint="eastAsia" w:ascii="仿宋" w:hAnsi="仿宋" w:eastAsia="仿宋" w:cs="仿宋"/>
          <w:color w:val="auto"/>
          <w:sz w:val="24"/>
          <w:szCs w:val="24"/>
          <w:highlight w:val="none"/>
        </w:rPr>
        <w:t>评审小组认为明显不符合评审要求的技术规格、技术标准、采购数量；</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（6）响应供应商有串通响应、弄虚作假等违法行为的；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（7）比选现场存在争议的。</w:t>
      </w:r>
    </w:p>
    <w:p>
      <w:pPr>
        <w:pStyle w:val="11"/>
        <w:adjustRightInd w:val="0"/>
        <w:snapToGrid w:val="0"/>
        <w:spacing w:line="360" w:lineRule="auto"/>
        <w:ind w:firstLine="48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10.</w:t>
      </w:r>
      <w:r>
        <w:rPr>
          <w:rFonts w:hint="eastAsia" w:ascii="仿宋" w:hAnsi="仿宋" w:eastAsia="仿宋" w:cs="仿宋"/>
          <w:b/>
          <w:color w:val="auto"/>
          <w:sz w:val="24"/>
          <w:szCs w:val="24"/>
          <w:highlight w:val="none"/>
        </w:rPr>
        <w:t>供应商在参加比选过程中出现的以下不良行为的，将列入我院黑名单管理，在此后的三年内不得参与我院任何采买活动：</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（1）远低于成本价恶意竞价或提供虚假材料谋求成交的；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（2）采取不正当手段诋毁、排挤其他潜在供应商的；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（3）与其他潜在供应商恶意串通的；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（4）随意申请撤换或放弃成交结果的；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（5）成交后无正当理由拒绝或迟迟不签订采购合同的；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（6）成交后，超过合同约定的供货（或服务）时间未按要求执行，给采购人造成损害的；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（7）在比选采购过程中，与相关部门协商谈判的；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（8）向医院涉及的相关部门行贿或者提供不正当利益的；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（9）拒绝有关部门监督检查或者提供虚假情况的；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（10）无正当理由拒绝履行合同和有关承诺，或擅自变更、中止（终止）采购合同的；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（11）提供假冒伪劣产品或走私物品的；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（12）不遵守比选现场纪律，扰乱评审现场，影响采购活动继续进行的；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（13）采购后擅自撤回采购相应文件，影响采购活动继续进行的；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（14）成交后，擅自将采购合同转包或分包给其他供应商的；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（15）不按比选、响应文件的要求和承诺执行或擅自降低响应承诺的产品质量和售后服务或以次充好、偷工减料的；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（16）实际提供的有关产品性能指标和技术服务能力明显低于采购响应文件时的承诺的；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（17）2年内有一次以上投诉查无实据、捏造事实或者提供虚假投诉材料的；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（18）累计两次供应商履约诚信量化评价得分不合格的供应商的；</w:t>
      </w:r>
    </w:p>
    <w:p>
      <w:pPr>
        <w:pStyle w:val="11"/>
        <w:adjustRightInd w:val="0"/>
        <w:snapToGrid w:val="0"/>
        <w:spacing w:line="360" w:lineRule="auto"/>
        <w:ind w:firstLine="48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（19）2年内累计达两次报名成功后未按规定提前一天发函告知不参加比选的。</w:t>
      </w:r>
    </w:p>
    <w:p>
      <w:pPr>
        <w:pStyle w:val="11"/>
        <w:widowControl/>
        <w:numPr>
          <w:ilvl w:val="0"/>
          <w:numId w:val="0"/>
        </w:numPr>
        <w:adjustRightInd w:val="0"/>
        <w:snapToGrid w:val="0"/>
        <w:spacing w:line="360" w:lineRule="auto"/>
        <w:ind w:firstLine="482" w:firstLineChars="200"/>
        <w:rPr>
          <w:rFonts w:hint="default" w:ascii="仿宋" w:hAnsi="仿宋" w:eastAsia="仿宋" w:cs="仿宋"/>
          <w:strike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11.</w:t>
      </w:r>
      <w:r>
        <w:rPr>
          <w:rFonts w:hint="eastAsia" w:ascii="仿宋" w:hAnsi="仿宋" w:eastAsia="仿宋" w:cs="仿宋"/>
          <w:b/>
          <w:color w:val="auto"/>
          <w:sz w:val="24"/>
          <w:szCs w:val="24"/>
          <w:highlight w:val="none"/>
        </w:rPr>
        <w:t>响应供应商在响应比选文件中必须列出具体数值，如果响应供应商只注明“差不多”“接近”等不明确表述，或擅自修改比选文件的比选服务、商务等要求的将导致评审小组拒绝其响应。</w:t>
      </w:r>
    </w:p>
    <w:p>
      <w:pPr>
        <w:pStyle w:val="11"/>
        <w:adjustRightInd w:val="0"/>
        <w:snapToGrid w:val="0"/>
        <w:spacing w:line="360" w:lineRule="auto"/>
        <w:ind w:right="32"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五、比选和定标</w:t>
      </w:r>
    </w:p>
    <w:p>
      <w:pPr>
        <w:pStyle w:val="11"/>
        <w:adjustRightInd w:val="0"/>
        <w:snapToGrid w:val="0"/>
        <w:spacing w:line="360" w:lineRule="auto"/>
        <w:ind w:right="32" w:firstLine="482"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（一）比选前</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在本比选文件规定的日期、时间和地点组织比选。参加比选的代表应签到以证明其出席</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出示有效身份证件以供查验。原则上要求法人或被授权人亲自前来参加比选。确因不可抗拒之原因，委托他人前来的，应出具授权委托书（含被授权人身份证复印件）并加盖公章，授权委托书必须具有法人签名，未签名无效。如缺少上述资料，按响应无效处理。</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供应商不参加现场比选的，视为无条件认同比选报价结果。</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szCs w:val="24"/>
          <w:highlight w:val="none"/>
        </w:rPr>
        <w:t>选派监督代表参加比选现场监督，只负责监督不负责评审工作。</w:t>
      </w:r>
    </w:p>
    <w:p>
      <w:pPr>
        <w:pStyle w:val="11"/>
        <w:adjustRightInd w:val="0"/>
        <w:snapToGrid w:val="0"/>
        <w:spacing w:line="360" w:lineRule="auto"/>
        <w:ind w:right="0" w:firstLine="480" w:firstLineChars="200"/>
        <w:rPr>
          <w:rFonts w:hint="default" w:ascii="仿宋" w:hAnsi="仿宋" w:eastAsia="仿宋" w:cs="仿宋"/>
          <w:b/>
          <w:color w:val="auto"/>
          <w:sz w:val="24"/>
          <w:szCs w:val="24"/>
          <w:highlight w:val="none"/>
          <w:lang w:val="en-US" w:eastAsia="zh-CN"/>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在响应供应商见证下、医院监督代表验证文件的密封性，并由工作人员现场宣读响应供应商名称、响应价格等实质内容。</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（二）评审</w:t>
      </w:r>
    </w:p>
    <w:p>
      <w:pPr>
        <w:pStyle w:val="11"/>
        <w:adjustRightInd w:val="0"/>
        <w:snapToGrid w:val="0"/>
        <w:spacing w:line="360" w:lineRule="auto"/>
        <w:ind w:right="32"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评审小组的组成</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评审小组按医院规定从专家库中随机抽取三名专家组成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kern w:val="0"/>
          <w:sz w:val="24"/>
          <w:highlight w:val="none"/>
        </w:rPr>
        <w:t>同一任职科室评审专家</w:t>
      </w:r>
      <w:r>
        <w:rPr>
          <w:rFonts w:hint="eastAsia" w:ascii="仿宋" w:hAnsi="仿宋" w:eastAsia="仿宋" w:cs="仿宋"/>
          <w:color w:val="auto"/>
          <w:kern w:val="0"/>
          <w:sz w:val="24"/>
          <w:highlight w:val="none"/>
          <w:lang w:val="en-US" w:eastAsia="zh-CN"/>
        </w:rPr>
        <w:t>不</w:t>
      </w:r>
      <w:r>
        <w:rPr>
          <w:rFonts w:hint="eastAsia" w:ascii="仿宋" w:hAnsi="仿宋" w:eastAsia="仿宋" w:cs="仿宋"/>
          <w:color w:val="auto"/>
          <w:kern w:val="0"/>
          <w:sz w:val="24"/>
          <w:highlight w:val="none"/>
        </w:rPr>
        <w:t>超过二名</w:t>
      </w:r>
      <w:r>
        <w:rPr>
          <w:rFonts w:hint="eastAsia"/>
          <w:color w:val="auto"/>
          <w:highlight w:val="none"/>
          <w:lang w:eastAsia="zh-CN"/>
        </w:rPr>
        <w:t>。</w:t>
      </w:r>
      <w:r>
        <w:rPr>
          <w:rFonts w:hint="eastAsia" w:ascii="仿宋" w:hAnsi="仿宋" w:eastAsia="仿宋" w:cs="仿宋"/>
          <w:color w:val="auto"/>
          <w:sz w:val="24"/>
          <w:szCs w:val="24"/>
          <w:highlight w:val="none"/>
        </w:rPr>
        <w:t>评审小组将本着公平、公正、科学、择优的原则，严格按照医院的</w:t>
      </w:r>
      <w:r>
        <w:rPr>
          <w:rFonts w:hint="eastAsia" w:ascii="仿宋" w:hAnsi="仿宋" w:eastAsia="仿宋" w:cs="仿宋"/>
          <w:color w:val="auto"/>
          <w:sz w:val="24"/>
          <w:szCs w:val="24"/>
          <w:highlight w:val="none"/>
          <w:lang w:val="en-US" w:eastAsia="zh-CN"/>
        </w:rPr>
        <w:t>医院招标</w:t>
      </w:r>
      <w:r>
        <w:rPr>
          <w:rFonts w:hint="eastAsia" w:ascii="仿宋" w:hAnsi="仿宋" w:eastAsia="仿宋" w:cs="仿宋"/>
          <w:color w:val="auto"/>
          <w:sz w:val="24"/>
          <w:szCs w:val="24"/>
          <w:highlight w:val="none"/>
        </w:rPr>
        <w:t>采购</w:t>
      </w:r>
      <w:r>
        <w:rPr>
          <w:rFonts w:hint="eastAsia" w:ascii="仿宋" w:hAnsi="仿宋" w:eastAsia="仿宋" w:cs="仿宋"/>
          <w:color w:val="auto"/>
          <w:sz w:val="24"/>
          <w:szCs w:val="24"/>
          <w:highlight w:val="none"/>
          <w:lang w:val="en-US" w:eastAsia="zh-CN"/>
        </w:rPr>
        <w:t>工作</w:t>
      </w:r>
      <w:r>
        <w:rPr>
          <w:rFonts w:hint="eastAsia" w:ascii="仿宋" w:hAnsi="仿宋" w:eastAsia="仿宋" w:cs="仿宋"/>
          <w:color w:val="auto"/>
          <w:sz w:val="24"/>
          <w:szCs w:val="24"/>
          <w:highlight w:val="none"/>
        </w:rPr>
        <w:t>实施细则和比选文件的要求进行评审及推荐</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评审小组成员对需要共同认定的事项存在争议的，评审小组组长应当组织评审成员讨论，按照少数服从多数的原则</w:t>
      </w:r>
      <w:r>
        <w:rPr>
          <w:rFonts w:hint="eastAsia" w:ascii="仿宋" w:hAnsi="仿宋" w:eastAsia="仿宋" w:cs="仿宋"/>
          <w:color w:val="auto"/>
          <w:sz w:val="24"/>
          <w:szCs w:val="24"/>
          <w:highlight w:val="none"/>
          <w:lang w:eastAsia="zh-CN"/>
        </w:rPr>
        <w:t>作出</w:t>
      </w:r>
      <w:r>
        <w:rPr>
          <w:rFonts w:hint="eastAsia" w:ascii="仿宋" w:hAnsi="仿宋" w:eastAsia="仿宋" w:cs="仿宋"/>
          <w:color w:val="auto"/>
          <w:sz w:val="24"/>
          <w:szCs w:val="24"/>
          <w:highlight w:val="none"/>
        </w:rPr>
        <w:t>结论。持不同意见的评审小组成员应当在评审报告上签署不同意见并说明理由，否则视为同意。</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color w:val="auto"/>
          <w:kern w:val="0"/>
          <w:sz w:val="24"/>
          <w:szCs w:val="24"/>
          <w:highlight w:val="none"/>
        </w:rPr>
        <w:t>评审</w:t>
      </w:r>
      <w:r>
        <w:rPr>
          <w:rFonts w:hint="eastAsia" w:ascii="仿宋" w:hAnsi="仿宋" w:eastAsia="仿宋" w:cs="仿宋"/>
          <w:b/>
          <w:color w:val="auto"/>
          <w:sz w:val="24"/>
          <w:szCs w:val="24"/>
          <w:highlight w:val="none"/>
        </w:rPr>
        <w:t>方法、步骤及标准</w:t>
      </w:r>
    </w:p>
    <w:p>
      <w:pPr>
        <w:pStyle w:val="11"/>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根据比选响应相关法规确定以下评审方法、步骤及标准：</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（一）评审方法</w:t>
      </w:r>
    </w:p>
    <w:p>
      <w:pPr>
        <w:pStyle w:val="11"/>
        <w:adjustRightInd w:val="0"/>
        <w:snapToGrid w:val="0"/>
        <w:spacing w:line="360" w:lineRule="auto"/>
        <w:ind w:firstLine="480" w:firstLineChars="200"/>
        <w:rPr>
          <w:rFonts w:hint="eastAsia" w:ascii="仿宋" w:hAnsi="仿宋" w:eastAsia="仿宋" w:cs="仿宋"/>
          <w:strike w:val="0"/>
          <w:dstrike w:val="0"/>
          <w:color w:val="auto"/>
          <w:sz w:val="24"/>
          <w:szCs w:val="24"/>
          <w:highlight w:val="none"/>
          <w:lang w:eastAsia="zh-CN"/>
        </w:rPr>
      </w:pPr>
      <w:r>
        <w:rPr>
          <w:rFonts w:hint="eastAsia" w:ascii="仿宋" w:hAnsi="仿宋" w:eastAsia="仿宋" w:cs="仿宋"/>
          <w:color w:val="auto"/>
          <w:sz w:val="24"/>
          <w:szCs w:val="24"/>
          <w:highlight w:val="none"/>
          <w:lang w:eastAsia="zh-CN"/>
        </w:rPr>
        <w:t>本项目采用“定量评审”方式。</w:t>
      </w:r>
      <w:r>
        <w:rPr>
          <w:rFonts w:hint="eastAsia" w:ascii="仿宋" w:hAnsi="仿宋" w:eastAsia="仿宋" w:cs="仿宋"/>
          <w:color w:val="auto"/>
          <w:sz w:val="24"/>
          <w:szCs w:val="24"/>
          <w:highlight w:val="none"/>
          <w:lang w:val="en-US" w:eastAsia="zh-CN"/>
        </w:rPr>
        <w:t>采用“定量评审”方式推荐成交候选人的，评审小组根据比选文件规定的评审办法对通过资格性、符合性审查的响应文件进行评审，按评审结果顺序，推荐前3名成交候选人。</w:t>
      </w:r>
    </w:p>
    <w:p>
      <w:pPr>
        <w:pStyle w:val="11"/>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评审步骤</w:t>
      </w:r>
    </w:p>
    <w:p>
      <w:pPr>
        <w:pStyle w:val="11"/>
        <w:adjustRightInd w:val="0"/>
        <w:snapToGrid w:val="0"/>
        <w:spacing w:line="360" w:lineRule="auto"/>
        <w:ind w:right="32" w:firstLine="460" w:firstLineChars="192"/>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1</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宣读评审纪律</w:t>
      </w:r>
    </w:p>
    <w:p>
      <w:pPr>
        <w:pStyle w:val="11"/>
        <w:adjustRightInd w:val="0"/>
        <w:snapToGrid w:val="0"/>
        <w:spacing w:line="360" w:lineRule="auto"/>
        <w:ind w:firstLine="460" w:firstLineChars="19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评审专家签到，</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在评审开始前宣读评审纪律及比选文件说明。</w:t>
      </w:r>
    </w:p>
    <w:p>
      <w:pPr>
        <w:autoSpaceDE w:val="0"/>
        <w:autoSpaceDN w:val="0"/>
        <w:adjustRightInd w:val="0"/>
        <w:snapToGrid w:val="0"/>
        <w:spacing w:line="360" w:lineRule="auto"/>
        <w:ind w:right="32" w:firstLine="460" w:firstLineChars="192"/>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kern w:val="0"/>
          <w:sz w:val="24"/>
          <w:highlight w:val="none"/>
        </w:rPr>
        <w:t>评审专家有下列情形之一的，受到邀请应主动提出回避，采购当事人也可以要求该评审专家回避：</w:t>
      </w:r>
    </w:p>
    <w:tbl>
      <w:tblPr>
        <w:tblStyle w:val="16"/>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7847" w:type="dxa"/>
            <w:noWrap w:val="0"/>
            <w:vAlign w:val="top"/>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评审专家回避情形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现在或者在采购活动发生前三年内，与供应商存在雇佣关系；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现在或者在采购活动发生前三年内担任供应商的财务顾问、法律顾问或技术顾问；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现在或者在采购活动发生前三年内是供应商的控股股东或者实际控制人；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评审专家与参加该采购项目供应商发生过法律纠纷的；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与供应商的法定代表人或者负责人有直系血亲、三代以内旁系血亲及姻亲关系；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6</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与供应商之间存在其他影响或可能影响政府采购活动依法进行的利害关系。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 w:type="dxa"/>
            <w:noWrap w:val="0"/>
            <w:vAlign w:val="center"/>
          </w:tcPr>
          <w:p>
            <w:pPr>
              <w:autoSpaceDE w:val="0"/>
              <w:autoSpaceDN w:val="0"/>
              <w:adjustRightInd w:val="0"/>
              <w:snapToGrid w:val="0"/>
              <w:ind w:right="32"/>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lang w:val="en-US" w:eastAsia="zh-CN"/>
              </w:rPr>
              <w:t>7</w:t>
            </w:r>
          </w:p>
        </w:tc>
        <w:tc>
          <w:tcPr>
            <w:tcW w:w="7847" w:type="dxa"/>
            <w:noWrap w:val="0"/>
            <w:vAlign w:val="top"/>
          </w:tcPr>
          <w:p>
            <w:pPr>
              <w:autoSpaceDE w:val="0"/>
              <w:autoSpaceDN w:val="0"/>
              <w:adjustRightInd w:val="0"/>
              <w:snapToGrid w:val="0"/>
              <w:ind w:right="32"/>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法律、法规、规章规定应当回避以及其他可能影响公正评审的。</w:t>
            </w:r>
          </w:p>
        </w:tc>
      </w:tr>
    </w:tbl>
    <w:p>
      <w:pPr>
        <w:autoSpaceDE w:val="0"/>
        <w:autoSpaceDN w:val="0"/>
        <w:adjustRightInd w:val="0"/>
        <w:snapToGrid w:val="0"/>
        <w:spacing w:line="360" w:lineRule="auto"/>
        <w:ind w:right="32"/>
        <w:rPr>
          <w:rFonts w:hint="eastAsia" w:ascii="仿宋" w:hAnsi="仿宋" w:eastAsia="仿宋" w:cs="仿宋"/>
          <w:b/>
          <w:color w:val="auto"/>
          <w:sz w:val="24"/>
          <w:highlight w:val="none"/>
        </w:rPr>
      </w:pPr>
    </w:p>
    <w:p>
      <w:pPr>
        <w:autoSpaceDE w:val="0"/>
        <w:autoSpaceDN w:val="0"/>
        <w:adjustRightInd w:val="0"/>
        <w:snapToGrid w:val="0"/>
        <w:spacing w:line="360" w:lineRule="auto"/>
        <w:ind w:right="32" w:firstLine="480" w:firstLineChars="200"/>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3</w:t>
      </w:r>
      <w:r>
        <w:rPr>
          <w:rFonts w:hint="eastAsia" w:ascii="仿宋" w:hAnsi="仿宋" w:eastAsia="仿宋" w:cs="仿宋"/>
          <w:b w:val="0"/>
          <w:bCs/>
          <w:color w:val="auto"/>
          <w:sz w:val="24"/>
          <w:highlight w:val="none"/>
          <w:lang w:val="en-US" w:eastAsia="zh-CN"/>
        </w:rPr>
        <w:t>.</w:t>
      </w:r>
      <w:r>
        <w:rPr>
          <w:rFonts w:hint="eastAsia" w:ascii="仿宋" w:hAnsi="仿宋" w:eastAsia="仿宋" w:cs="仿宋"/>
          <w:b w:val="0"/>
          <w:bCs/>
          <w:color w:val="auto"/>
          <w:sz w:val="24"/>
          <w:highlight w:val="none"/>
        </w:rPr>
        <w:t>推荐评审小组组长</w:t>
      </w:r>
    </w:p>
    <w:p>
      <w:pPr>
        <w:autoSpaceDE w:val="0"/>
        <w:autoSpaceDN w:val="0"/>
        <w:adjustRightInd w:val="0"/>
        <w:snapToGrid w:val="0"/>
        <w:spacing w:line="360" w:lineRule="auto"/>
        <w:ind w:right="32" w:firstLine="458" w:firstLineChars="191"/>
        <w:rPr>
          <w:rFonts w:hint="eastAsia" w:ascii="仿宋" w:hAnsi="仿宋" w:eastAsia="仿宋" w:cs="仿宋"/>
          <w:b w:val="0"/>
          <w:bCs/>
          <w:color w:val="auto"/>
          <w:kern w:val="0"/>
          <w:sz w:val="24"/>
          <w:highlight w:val="none"/>
        </w:rPr>
      </w:pPr>
      <w:r>
        <w:rPr>
          <w:rFonts w:hint="eastAsia" w:ascii="仿宋" w:hAnsi="仿宋" w:eastAsia="仿宋" w:cs="仿宋"/>
          <w:b w:val="0"/>
          <w:bCs/>
          <w:color w:val="auto"/>
          <w:kern w:val="0"/>
          <w:sz w:val="24"/>
          <w:highlight w:val="none"/>
          <w:lang w:eastAsia="zh-CN"/>
        </w:rPr>
        <w:t>评审小组</w:t>
      </w:r>
      <w:r>
        <w:rPr>
          <w:rFonts w:hint="eastAsia" w:ascii="仿宋" w:hAnsi="仿宋" w:eastAsia="仿宋" w:cs="仿宋"/>
          <w:b w:val="0"/>
          <w:bCs/>
          <w:color w:val="auto"/>
          <w:kern w:val="0"/>
          <w:sz w:val="24"/>
          <w:highlight w:val="none"/>
        </w:rPr>
        <w:t>按照少数服从多数的原则推荐组长。评</w:t>
      </w:r>
      <w:r>
        <w:rPr>
          <w:rFonts w:hint="eastAsia" w:ascii="仿宋" w:hAnsi="仿宋" w:eastAsia="仿宋" w:cs="仿宋"/>
          <w:b w:val="0"/>
          <w:bCs/>
          <w:color w:val="auto"/>
          <w:sz w:val="24"/>
          <w:highlight w:val="none"/>
        </w:rPr>
        <w:t>审</w:t>
      </w:r>
      <w:r>
        <w:rPr>
          <w:rFonts w:hint="eastAsia" w:ascii="仿宋" w:hAnsi="仿宋" w:eastAsia="仿宋" w:cs="仿宋"/>
          <w:b w:val="0"/>
          <w:bCs/>
          <w:color w:val="auto"/>
          <w:kern w:val="0"/>
          <w:sz w:val="24"/>
          <w:highlight w:val="none"/>
        </w:rPr>
        <w:t>小组成员在履行独立评审权利义务的同时，不得发表有失公正和不负责任的言论，不得相互串通和压制他人意见，不得将个人倾向性意见诱导、暗示或强加于他人认同。</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响应文件的资格性、符合性审查</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资格性、符合性审查内容主要为对响应文件的响应函、法定代表人/负责人资格证明书及授权委托书、</w:t>
      </w:r>
      <w:r>
        <w:rPr>
          <w:rFonts w:hint="eastAsia" w:ascii="仿宋" w:hAnsi="仿宋" w:eastAsia="仿宋" w:cs="仿宋"/>
          <w:bCs/>
          <w:color w:val="auto"/>
          <w:sz w:val="24"/>
          <w:szCs w:val="24"/>
          <w:highlight w:val="none"/>
          <w:lang w:val="en-US" w:eastAsia="zh-CN"/>
        </w:rPr>
        <w:t>供应商资格、技术商务实质性响应</w:t>
      </w:r>
      <w:r>
        <w:rPr>
          <w:rFonts w:hint="eastAsia" w:ascii="仿宋" w:hAnsi="仿宋" w:eastAsia="仿宋" w:cs="仿宋"/>
          <w:bCs/>
          <w:color w:val="auto"/>
          <w:sz w:val="24"/>
          <w:szCs w:val="24"/>
          <w:highlight w:val="none"/>
        </w:rPr>
        <w:t>及报价的唯一性等，审查不合格者按响应无效处理。只有资格性符合性全部审查合格才能进入后续评审。</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val="en-US" w:eastAsia="zh-CN"/>
        </w:rPr>
        <w:t>小组</w:t>
      </w:r>
      <w:r>
        <w:rPr>
          <w:rFonts w:hint="eastAsia" w:ascii="仿宋" w:hAnsi="仿宋" w:eastAsia="仿宋" w:cs="仿宋"/>
          <w:bCs/>
          <w:color w:val="auto"/>
          <w:sz w:val="24"/>
          <w:szCs w:val="24"/>
          <w:highlight w:val="none"/>
        </w:rPr>
        <w:t>对大小写金额不一致、单价汇总与总价不一致的，按以下方法更正：响应文件的大写金额和小写金额不一致的，以大写金额为准；总价金额与按单价汇总金额不一致的，以单价金额计算结果为准；单价金额小数点明显错位的，应以总价为准，并修改单价。如果响应不接受对其错误的更正，其响应将被视为响应无效。</w:t>
      </w:r>
    </w:p>
    <w:p>
      <w:pPr>
        <w:pStyle w:val="11"/>
        <w:adjustRightInd w:val="0"/>
        <w:snapToGrid w:val="0"/>
        <w:spacing w:line="360" w:lineRule="auto"/>
        <w:ind w:right="32" w:firstLine="460" w:firstLineChars="191"/>
        <w:rPr>
          <w:rFonts w:hint="eastAsia" w:ascii="仿宋" w:hAnsi="仿宋" w:eastAsia="仿宋" w:cs="仿宋"/>
          <w:bCs/>
          <w:color w:val="auto"/>
          <w:sz w:val="24"/>
          <w:szCs w:val="24"/>
          <w:highlight w:val="none"/>
        </w:rPr>
      </w:pP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不得恶意竞价，对于报价差异巨大的，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有权要求</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在规定的时间内提供相关证明材料，在规定时间内不能提供材料或者无法证明的</w:t>
      </w:r>
      <w:r>
        <w:rPr>
          <w:rFonts w:hint="eastAsia" w:ascii="仿宋" w:hAnsi="仿宋" w:eastAsia="仿宋" w:cs="仿宋"/>
          <w:b/>
          <w:bCs/>
          <w:strike w:val="0"/>
          <w:color w:val="auto"/>
          <w:sz w:val="24"/>
          <w:highlight w:val="none"/>
          <w:lang w:eastAsia="zh-CN"/>
        </w:rPr>
        <w:t>，评审小组</w:t>
      </w:r>
      <w:r>
        <w:rPr>
          <w:rFonts w:hint="eastAsia" w:ascii="仿宋" w:hAnsi="仿宋" w:eastAsia="仿宋" w:cs="仿宋"/>
          <w:b/>
          <w:bCs/>
          <w:strike w:val="0"/>
          <w:color w:val="auto"/>
          <w:sz w:val="24"/>
          <w:highlight w:val="none"/>
        </w:rPr>
        <w:t>有权裁定该报价是否为恶意报价。恶意竞价的</w:t>
      </w:r>
      <w:r>
        <w:rPr>
          <w:rFonts w:hint="eastAsia" w:ascii="仿宋" w:hAnsi="仿宋" w:eastAsia="仿宋" w:cs="仿宋"/>
          <w:b/>
          <w:bCs/>
          <w:strike w:val="0"/>
          <w:color w:val="auto"/>
          <w:sz w:val="24"/>
          <w:highlight w:val="none"/>
          <w:lang w:eastAsia="zh-CN"/>
        </w:rPr>
        <w:t>响应供应商</w:t>
      </w:r>
      <w:r>
        <w:rPr>
          <w:rFonts w:hint="eastAsia" w:ascii="仿宋" w:hAnsi="仿宋" w:eastAsia="仿宋" w:cs="仿宋"/>
          <w:b/>
          <w:bCs/>
          <w:strike w:val="0"/>
          <w:color w:val="auto"/>
          <w:sz w:val="24"/>
          <w:highlight w:val="none"/>
        </w:rPr>
        <w:t>将被取消成交资格，并列入黑名单，在此后五年内不得参与我院任何采买活动。</w:t>
      </w:r>
    </w:p>
    <w:tbl>
      <w:tblPr>
        <w:tblStyle w:val="16"/>
        <w:tblW w:w="85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032"/>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gridSpan w:val="2"/>
            <w:noWrap w:val="0"/>
            <w:vAlign w:val="top"/>
          </w:tcPr>
          <w:p>
            <w:pPr>
              <w:spacing w:line="380" w:lineRule="exact"/>
              <w:jc w:val="center"/>
              <w:rPr>
                <w:rFonts w:hint="eastAsia"/>
                <w:color w:val="auto"/>
                <w:highlight w:val="none"/>
              </w:rPr>
            </w:pPr>
            <w:r>
              <w:rPr>
                <w:rFonts w:hint="eastAsia" w:ascii="仿宋" w:hAnsi="仿宋" w:eastAsia="仿宋" w:cs="仿宋"/>
                <w:b/>
                <w:bCs/>
                <w:color w:val="auto"/>
                <w:szCs w:val="21"/>
                <w:highlight w:val="none"/>
              </w:rPr>
              <w:t>评审内容</w:t>
            </w:r>
          </w:p>
        </w:tc>
        <w:tc>
          <w:tcPr>
            <w:tcW w:w="5760" w:type="dxa"/>
            <w:noWrap w:val="0"/>
            <w:vAlign w:val="center"/>
          </w:tcPr>
          <w:p>
            <w:pPr>
              <w:spacing w:line="380" w:lineRule="exact"/>
              <w:ind w:left="-171"/>
              <w:jc w:val="center"/>
              <w:rPr>
                <w:rFonts w:hint="eastAsia"/>
                <w:color w:val="auto"/>
                <w:highlight w:val="none"/>
              </w:rPr>
            </w:pPr>
            <w:r>
              <w:rPr>
                <w:rFonts w:hint="eastAsia" w:ascii="仿宋" w:hAnsi="仿宋" w:eastAsia="仿宋" w:cs="仿宋"/>
                <w:b/>
                <w:bCs/>
                <w:color w:val="auto"/>
                <w:szCs w:val="21"/>
                <w:highlight w:val="none"/>
              </w:rPr>
              <w:t>比选/采购文件要求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资格性审查</w:t>
            </w:r>
          </w:p>
        </w:tc>
        <w:tc>
          <w:tcPr>
            <w:tcW w:w="2032"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具有独立承担民事责任能力</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rPr>
              <w:t>具有良好的商业信誉和健全的财务会计制度</w:t>
            </w:r>
          </w:p>
        </w:tc>
        <w:tc>
          <w:tcPr>
            <w:tcW w:w="5760" w:type="dxa"/>
            <w:noWrap w:val="0"/>
            <w:vAlign w:val="center"/>
          </w:tcPr>
          <w:p>
            <w:pPr>
              <w:spacing w:line="380" w:lineRule="exact"/>
              <w:ind w:left="40" w:leftChars="19"/>
              <w:jc w:val="left"/>
              <w:rPr>
                <w:rFonts w:hint="eastAsia" w:ascii="仿宋" w:hAnsi="仿宋" w:eastAsia="仿宋" w:cs="仿宋"/>
                <w:color w:val="auto"/>
                <w:highlight w:val="none"/>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有</w:t>
            </w:r>
            <w:r>
              <w:rPr>
                <w:rFonts w:hint="eastAsia" w:ascii="仿宋" w:hAnsi="仿宋" w:eastAsia="仿宋" w:cs="仿宋"/>
                <w:color w:val="auto"/>
                <w:highlight w:val="none"/>
              </w:rPr>
              <w:t>依法缴纳税收</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有</w:t>
            </w:r>
            <w:r>
              <w:rPr>
                <w:rFonts w:hint="eastAsia" w:ascii="仿宋" w:hAnsi="仿宋" w:eastAsia="仿宋" w:cs="仿宋"/>
                <w:color w:val="auto"/>
                <w:highlight w:val="none"/>
              </w:rPr>
              <w:t>依法缴纳社会保险凭据</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highlight w:val="none"/>
                <w:lang w:eastAsia="zh-CN"/>
              </w:rPr>
              <w:t>或书面声明</w:t>
            </w:r>
            <w:r>
              <w:rPr>
                <w:rFonts w:hint="eastAsia" w:ascii="仿宋" w:hAnsi="仿宋" w:eastAsia="仿宋" w:cs="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履行合同所必需的设备和专业技术能力的证明材料或书面声明；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没有重大违法记录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信用记录</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控股关系</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不得参加本项目情况</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联合体</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落实政府采购政策需满足的资格要求</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本项目是专门面向中小企业采购的项目。（提供《中小企业声明函》</w:t>
            </w:r>
            <w:r>
              <w:rPr>
                <w:rFonts w:hint="eastAsia" w:ascii="仿宋" w:hAnsi="仿宋" w:eastAsia="仿宋" w:cs="仿宋"/>
                <w:color w:val="auto"/>
                <w:szCs w:val="21"/>
                <w:highlight w:val="none"/>
                <w:lang w:eastAsia="zh-CN"/>
              </w:rPr>
              <w:t>，具体格式文件见比价文件P</w:t>
            </w:r>
            <w:r>
              <w:rPr>
                <w:rFonts w:hint="eastAsia" w:ascii="仿宋" w:hAnsi="仿宋" w:eastAsia="仿宋" w:cs="仿宋"/>
                <w:color w:val="auto"/>
                <w:szCs w:val="21"/>
                <w:highlight w:val="none"/>
                <w:lang w:val="en-US" w:eastAsia="zh-CN"/>
              </w:rPr>
              <w:t>51</w:t>
            </w:r>
            <w:r>
              <w:rPr>
                <w:rFonts w:hint="eastAsia" w:ascii="仿宋" w:hAnsi="仿宋" w:eastAsia="仿宋" w:cs="仿宋"/>
                <w:color w:val="auto"/>
                <w:szCs w:val="21"/>
                <w:highlight w:val="none"/>
                <w:lang w:eastAsia="zh-CN"/>
              </w:rPr>
              <w:t>中小企业声明函（工程、服务）</w:t>
            </w:r>
            <w:r>
              <w:rPr>
                <w:rFonts w:hint="eastAsia" w:ascii="仿宋" w:hAnsi="仿宋" w:eastAsia="仿宋" w:cs="仿宋"/>
                <w:color w:val="auto"/>
                <w:szCs w:val="21"/>
                <w:highlight w:val="none"/>
                <w:lang w:val="hr-HR" w:eastAsia="zh-CN"/>
              </w:rPr>
              <w:t>，未按要求提供声明函的将导致响应无效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r>
              <w:rPr>
                <w:rFonts w:hint="eastAsia" w:ascii="仿宋" w:hAnsi="仿宋" w:eastAsia="仿宋" w:cs="仿宋"/>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761" w:type="dxa"/>
            <w:vMerge w:val="continue"/>
            <w:noWrap w:val="0"/>
            <w:vAlign w:val="center"/>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报名</w:t>
            </w:r>
          </w:p>
        </w:tc>
        <w:tc>
          <w:tcPr>
            <w:tcW w:w="57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已在医院办公室报名。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61" w:type="dxa"/>
            <w:vMerge w:val="restart"/>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符合性审查</w:t>
            </w:r>
          </w:p>
        </w:tc>
        <w:tc>
          <w:tcPr>
            <w:tcW w:w="2032" w:type="dxa"/>
            <w:noWrap w:val="0"/>
            <w:vAlign w:val="center"/>
          </w:tcPr>
          <w:p>
            <w:pPr>
              <w:ind w:left="40" w:leftChars="19"/>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文件签署</w:t>
            </w:r>
          </w:p>
        </w:tc>
        <w:tc>
          <w:tcPr>
            <w:tcW w:w="5760" w:type="dxa"/>
            <w:tcBorders>
              <w:bottom w:val="single" w:color="auto" w:sz="4" w:space="0"/>
            </w:tcBorders>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响应有效期</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报价合理性</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1" w:type="dxa"/>
            <w:vMerge w:val="continue"/>
            <w:noWrap w:val="0"/>
            <w:vAlign w:val="top"/>
          </w:tcPr>
          <w:p>
            <w:pPr>
              <w:spacing w:line="380" w:lineRule="exact"/>
              <w:ind w:left="40" w:leftChars="19"/>
              <w:jc w:val="center"/>
              <w:rPr>
                <w:rFonts w:hint="eastAsia" w:ascii="仿宋" w:hAnsi="仿宋" w:eastAsia="仿宋" w:cs="仿宋"/>
                <w:color w:val="auto"/>
                <w:szCs w:val="21"/>
                <w:highlight w:val="none"/>
              </w:rPr>
            </w:pPr>
          </w:p>
        </w:tc>
        <w:tc>
          <w:tcPr>
            <w:tcW w:w="2032" w:type="dxa"/>
            <w:noWrap w:val="0"/>
            <w:vAlign w:val="center"/>
          </w:tcPr>
          <w:p>
            <w:pPr>
              <w:ind w:left="40" w:leftChars="19"/>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eastAsia="zh-CN"/>
              </w:rPr>
              <w:t>其他</w:t>
            </w:r>
          </w:p>
        </w:tc>
        <w:tc>
          <w:tcPr>
            <w:tcW w:w="5760" w:type="dxa"/>
            <w:noWrap w:val="0"/>
            <w:vAlign w:val="center"/>
          </w:tcPr>
          <w:p>
            <w:pPr>
              <w:tabs>
                <w:tab w:val="left" w:pos="2880"/>
              </w:tabs>
              <w:spacing w:line="380" w:lineRule="exact"/>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61" w:type="dxa"/>
            <w:noWrap w:val="0"/>
            <w:vAlign w:val="center"/>
          </w:tcPr>
          <w:p>
            <w:pPr>
              <w:spacing w:line="380" w:lineRule="exact"/>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7792" w:type="dxa"/>
            <w:gridSpan w:val="2"/>
            <w:noWrap w:val="0"/>
            <w:vAlign w:val="center"/>
          </w:tcPr>
          <w:p>
            <w:pPr>
              <w:tabs>
                <w:tab w:val="left" w:pos="2880"/>
              </w:tabs>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响应文件一式</w:t>
            </w:r>
            <w:r>
              <w:rPr>
                <w:rFonts w:hint="eastAsia" w:ascii="仿宋" w:hAnsi="仿宋" w:eastAsia="仿宋" w:cs="仿宋"/>
                <w:color w:val="auto"/>
                <w:szCs w:val="21"/>
                <w:highlight w:val="none"/>
                <w:lang w:eastAsia="zh-CN"/>
              </w:rPr>
              <w:t>两</w:t>
            </w:r>
            <w:r>
              <w:rPr>
                <w:rFonts w:hint="eastAsia" w:ascii="仿宋" w:hAnsi="仿宋" w:eastAsia="仿宋" w:cs="仿宋"/>
                <w:color w:val="auto"/>
                <w:szCs w:val="21"/>
                <w:highlight w:val="none"/>
              </w:rPr>
              <w:t>份，其中正本一份和副本</w:t>
            </w:r>
            <w:r>
              <w:rPr>
                <w:rFonts w:hint="eastAsia" w:ascii="仿宋" w:hAnsi="仿宋" w:eastAsia="仿宋" w:cs="仿宋"/>
                <w:color w:val="auto"/>
                <w:szCs w:val="21"/>
                <w:highlight w:val="none"/>
                <w:lang w:eastAsia="zh-CN"/>
              </w:rPr>
              <w:t>一</w:t>
            </w:r>
            <w:r>
              <w:rPr>
                <w:rFonts w:hint="eastAsia" w:ascii="仿宋" w:hAnsi="仿宋" w:eastAsia="仿宋" w:cs="仿宋"/>
                <w:color w:val="auto"/>
                <w:szCs w:val="21"/>
                <w:highlight w:val="none"/>
              </w:rPr>
              <w:t>份</w:t>
            </w:r>
          </w:p>
        </w:tc>
      </w:tr>
    </w:tbl>
    <w:p>
      <w:pPr>
        <w:pStyle w:val="11"/>
        <w:adjustRightInd w:val="0"/>
        <w:snapToGrid w:val="0"/>
        <w:spacing w:line="360" w:lineRule="auto"/>
        <w:ind w:right="32"/>
        <w:rPr>
          <w:rFonts w:hint="eastAsia" w:ascii="仿宋" w:hAnsi="仿宋" w:eastAsia="仿宋" w:cs="仿宋"/>
          <w:b w:val="0"/>
          <w:bCs/>
          <w:color w:val="auto"/>
          <w:sz w:val="24"/>
          <w:szCs w:val="24"/>
          <w:highlight w:val="none"/>
        </w:rPr>
      </w:pPr>
    </w:p>
    <w:p>
      <w:pPr>
        <w:pStyle w:val="11"/>
        <w:adjustRightInd w:val="0"/>
        <w:snapToGrid w:val="0"/>
        <w:spacing w:line="360" w:lineRule="auto"/>
        <w:ind w:right="32" w:firstLine="480" w:firstLineChars="200"/>
        <w:rPr>
          <w:rFonts w:hint="eastAsia" w:ascii="仿宋" w:hAnsi="仿宋" w:eastAsia="仿宋" w:cs="仿宋"/>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响应</w:t>
      </w:r>
      <w:r>
        <w:rPr>
          <w:rFonts w:hint="eastAsia" w:ascii="仿宋" w:hAnsi="仿宋" w:eastAsia="仿宋" w:cs="仿宋"/>
          <w:b w:val="0"/>
          <w:bCs/>
          <w:color w:val="auto"/>
          <w:sz w:val="24"/>
          <w:szCs w:val="24"/>
          <w:highlight w:val="none"/>
        </w:rPr>
        <w:t>文件澄清</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对于</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文件中含义不明确、同类问题表述不一致或者有明显文字和计算错误的内容，</w:t>
      </w:r>
      <w:r>
        <w:rPr>
          <w:rFonts w:hint="eastAsia" w:ascii="仿宋" w:hAnsi="仿宋" w:eastAsia="仿宋" w:cs="仿宋"/>
          <w:bCs/>
          <w:color w:val="auto"/>
          <w:sz w:val="24"/>
          <w:szCs w:val="24"/>
          <w:highlight w:val="none"/>
          <w:lang w:val="en-US" w:eastAsia="zh-CN"/>
        </w:rPr>
        <w:t>评审小组</w:t>
      </w:r>
      <w:r>
        <w:rPr>
          <w:rFonts w:hint="eastAsia" w:ascii="仿宋" w:hAnsi="仿宋" w:eastAsia="仿宋" w:cs="仿宋"/>
          <w:bCs/>
          <w:color w:val="auto"/>
          <w:sz w:val="24"/>
          <w:szCs w:val="24"/>
          <w:highlight w:val="none"/>
        </w:rPr>
        <w:t>应当在评审过程中发起澄清，要求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针对价格或内容做出必要的澄清、说明或补正。若因</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联系方式错误未接收短信、未接听电话或超时未进行澄清（响应）造成的不利后果由供应商自行承担。</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的澄清、说明或者补正不得超出</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文件的范围或者改变</w:t>
      </w:r>
      <w:r>
        <w:rPr>
          <w:rFonts w:hint="eastAsia" w:ascii="仿宋" w:hAnsi="仿宋" w:eastAsia="仿宋" w:cs="仿宋"/>
          <w:bCs/>
          <w:color w:val="auto"/>
          <w:sz w:val="24"/>
          <w:szCs w:val="24"/>
          <w:highlight w:val="none"/>
          <w:lang w:eastAsia="zh-CN"/>
        </w:rPr>
        <w:t>响应</w:t>
      </w:r>
      <w:r>
        <w:rPr>
          <w:rFonts w:hint="eastAsia" w:ascii="仿宋" w:hAnsi="仿宋" w:eastAsia="仿宋" w:cs="仿宋"/>
          <w:bCs/>
          <w:color w:val="auto"/>
          <w:sz w:val="24"/>
          <w:szCs w:val="24"/>
          <w:highlight w:val="none"/>
        </w:rPr>
        <w:t>文件的实质性内容。</w:t>
      </w:r>
    </w:p>
    <w:p>
      <w:pPr>
        <w:pStyle w:val="11"/>
        <w:adjustRightInd w:val="0"/>
        <w:snapToGrid w:val="0"/>
        <w:spacing w:line="360" w:lineRule="auto"/>
        <w:ind w:right="32" w:firstLine="458" w:firstLineChars="19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不接受</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主动提出的澄清、说明或补正。</w:t>
      </w:r>
    </w:p>
    <w:p>
      <w:pPr>
        <w:pStyle w:val="11"/>
        <w:adjustRightInd w:val="0"/>
        <w:snapToGrid w:val="0"/>
        <w:spacing w:line="360" w:lineRule="auto"/>
        <w:ind w:right="32" w:firstLine="458" w:firstLineChars="191"/>
        <w:rPr>
          <w:rFonts w:hint="default" w:ascii="仿宋" w:hAnsi="仿宋" w:eastAsia="仿宋" w:cs="仿宋"/>
          <w:b w:val="0"/>
          <w:bCs/>
          <w:color w:val="auto"/>
          <w:sz w:val="24"/>
          <w:szCs w:val="24"/>
          <w:highlight w:val="none"/>
          <w:lang w:val="en-US"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eastAsia="zh-CN"/>
        </w:rPr>
        <w:t>）评审小组</w:t>
      </w:r>
      <w:r>
        <w:rPr>
          <w:rFonts w:hint="eastAsia" w:ascii="仿宋" w:hAnsi="仿宋" w:eastAsia="仿宋" w:cs="仿宋"/>
          <w:bCs/>
          <w:color w:val="auto"/>
          <w:sz w:val="24"/>
          <w:szCs w:val="24"/>
          <w:highlight w:val="none"/>
        </w:rPr>
        <w:t>对</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提交的澄清、说明或补正有疑问的，可以要求</w:t>
      </w:r>
      <w:r>
        <w:rPr>
          <w:rFonts w:hint="eastAsia" w:ascii="仿宋" w:hAnsi="仿宋" w:eastAsia="仿宋" w:cs="仿宋"/>
          <w:bCs/>
          <w:color w:val="auto"/>
          <w:sz w:val="24"/>
          <w:szCs w:val="24"/>
          <w:highlight w:val="none"/>
          <w:lang w:eastAsia="zh-CN"/>
        </w:rPr>
        <w:t>响应供应商</w:t>
      </w:r>
      <w:r>
        <w:rPr>
          <w:rFonts w:hint="eastAsia" w:ascii="仿宋" w:hAnsi="仿宋" w:eastAsia="仿宋" w:cs="仿宋"/>
          <w:bCs/>
          <w:color w:val="auto"/>
          <w:sz w:val="24"/>
          <w:szCs w:val="24"/>
          <w:highlight w:val="none"/>
        </w:rPr>
        <w:t>进一步澄清、说明或补正。</w:t>
      </w: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rPr>
        <w:t>响应文件的比较和评价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小组按比选文件中规定的评审方法和标准，对审查合格的响应文件的商务、技术、服务和价格进行评估，最后进行综合比较与评价。</w:t>
      </w:r>
    </w:p>
    <w:p>
      <w:pPr>
        <w:autoSpaceDE w:val="0"/>
        <w:autoSpaceDN w:val="0"/>
        <w:adjustRightInd w:val="0"/>
        <w:snapToGrid w:val="0"/>
        <w:spacing w:line="360" w:lineRule="auto"/>
        <w:ind w:right="32" w:firstLine="458" w:firstLineChars="191"/>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评审小组对技术规格偏离表、服务响应偏离表的响应资料等进行评审，并填写相关表格。</w:t>
      </w:r>
    </w:p>
    <w:tbl>
      <w:tblPr>
        <w:tblStyle w:val="16"/>
        <w:tblW w:w="8729" w:type="dxa"/>
        <w:tblInd w:w="0" w:type="dxa"/>
        <w:tblLayout w:type="fixed"/>
        <w:tblCellMar>
          <w:top w:w="0" w:type="dxa"/>
          <w:left w:w="108" w:type="dxa"/>
          <w:bottom w:w="0" w:type="dxa"/>
          <w:right w:w="108" w:type="dxa"/>
        </w:tblCellMar>
      </w:tblPr>
      <w:tblGrid>
        <w:gridCol w:w="750"/>
        <w:gridCol w:w="1354"/>
        <w:gridCol w:w="944"/>
        <w:gridCol w:w="5681"/>
      </w:tblGrid>
      <w:tr>
        <w:tblPrEx>
          <w:tblCellMar>
            <w:top w:w="0" w:type="dxa"/>
            <w:left w:w="108" w:type="dxa"/>
            <w:bottom w:w="0" w:type="dxa"/>
            <w:right w:w="108" w:type="dxa"/>
          </w:tblCellMar>
        </w:tblPrEx>
        <w:trPr>
          <w:trHeight w:val="434" w:hRule="atLeast"/>
        </w:trPr>
        <w:tc>
          <w:tcPr>
            <w:tcW w:w="872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评审标准（</w:t>
            </w:r>
            <w:r>
              <w:rPr>
                <w:rFonts w:hint="eastAsia" w:ascii="仿宋" w:hAnsi="仿宋" w:eastAsia="仿宋" w:cs="仿宋"/>
                <w:color w:val="auto"/>
                <w:kern w:val="0"/>
                <w:sz w:val="24"/>
                <w:szCs w:val="24"/>
                <w:highlight w:val="none"/>
                <w:lang w:val="en-US" w:eastAsia="zh-CN"/>
              </w:rPr>
              <w:t>100分</w:t>
            </w:r>
            <w:r>
              <w:rPr>
                <w:rFonts w:hint="eastAsia" w:ascii="仿宋" w:hAnsi="仿宋" w:eastAsia="仿宋" w:cs="仿宋"/>
                <w:color w:val="auto"/>
                <w:kern w:val="0"/>
                <w:sz w:val="24"/>
                <w:szCs w:val="24"/>
                <w:highlight w:val="none"/>
                <w:lang w:eastAsia="zh-CN"/>
              </w:rPr>
              <w:t>）</w:t>
            </w:r>
          </w:p>
        </w:tc>
      </w:tr>
      <w:tr>
        <w:tblPrEx>
          <w:tblCellMar>
            <w:top w:w="0" w:type="dxa"/>
            <w:left w:w="108" w:type="dxa"/>
            <w:bottom w:w="0" w:type="dxa"/>
            <w:right w:w="108" w:type="dxa"/>
          </w:tblCellMar>
        </w:tblPrEx>
        <w:trPr>
          <w:trHeight w:val="576"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评审内容</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分值</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评分细则</w:t>
            </w:r>
          </w:p>
        </w:tc>
      </w:tr>
      <w:tr>
        <w:tblPrEx>
          <w:tblCellMar>
            <w:top w:w="0" w:type="dxa"/>
            <w:left w:w="108" w:type="dxa"/>
            <w:bottom w:w="0" w:type="dxa"/>
            <w:right w:w="108" w:type="dxa"/>
          </w:tblCellMar>
        </w:tblPrEx>
        <w:trPr>
          <w:trHeight w:val="86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号条款</w:t>
            </w:r>
            <w:r>
              <w:rPr>
                <w:rFonts w:hint="eastAsia" w:ascii="仿宋" w:hAnsi="仿宋" w:eastAsia="仿宋" w:cs="仿宋"/>
                <w:color w:val="auto"/>
                <w:kern w:val="0"/>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22</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根据各响应供应商所提供的服务是否满足</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rPr>
              <w:t>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分； </w:t>
            </w:r>
          </w:p>
          <w:p>
            <w:pPr>
              <w:widowControl/>
              <w:jc w:val="left"/>
              <w:rPr>
                <w:rFonts w:hint="eastAsia"/>
                <w:color w:val="auto"/>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以此类推，当▲号条款负偏离达到</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项（含）以上时，视为严重偏离此评分项不得分。</w:t>
            </w:r>
          </w:p>
          <w:p>
            <w:pPr>
              <w:widowControl/>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r>
      <w:tr>
        <w:tblPrEx>
          <w:tblCellMar>
            <w:top w:w="0" w:type="dxa"/>
            <w:left w:w="108" w:type="dxa"/>
            <w:bottom w:w="0" w:type="dxa"/>
            <w:right w:w="108" w:type="dxa"/>
          </w:tblCellMar>
        </w:tblPrEx>
        <w:trPr>
          <w:trHeight w:val="499"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lang w:val="en-US" w:eastAsia="zh-CN"/>
              </w:rPr>
              <w:t>中不带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号条款</w:t>
            </w:r>
            <w:r>
              <w:rPr>
                <w:rFonts w:hint="eastAsia" w:ascii="仿宋" w:hAnsi="仿宋" w:eastAsia="仿宋" w:cs="仿宋"/>
                <w:color w:val="auto"/>
                <w:sz w:val="24"/>
                <w:szCs w:val="24"/>
                <w:highlight w:val="none"/>
              </w:rPr>
              <w:t>的响应程度</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根据各响应供应商所提供的服务是否满足项目要求响应程度进行评分：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不带▲号</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有一项不带▲号条款负偏离，得</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有二项不带▲号条款负偏离，得</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有三项不带▲号条款负偏离，得</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以此类推，当不带▲号条款负偏离达到</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项（含）以上时，视为严重偏离此评分项不得分。</w:t>
            </w:r>
          </w:p>
          <w:p>
            <w:pPr>
              <w:pStyle w:val="10"/>
              <w:ind w:left="0" w:leftChars="0" w:firstLine="0" w:firstLineChars="0"/>
              <w:rPr>
                <w:rFonts w:hint="eastAsia"/>
                <w:color w:val="auto"/>
                <w:highlight w:val="none"/>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r>
      <w:tr>
        <w:tblPrEx>
          <w:tblCellMar>
            <w:top w:w="0" w:type="dxa"/>
            <w:left w:w="108" w:type="dxa"/>
            <w:bottom w:w="0" w:type="dxa"/>
            <w:right w:w="108" w:type="dxa"/>
          </w:tblCellMar>
        </w:tblPrEx>
        <w:trPr>
          <w:trHeight w:val="212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项目实施方案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提供的项目实施方案（包括对项目需求的理解、项目实施部署与计划）进行评审：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1.方案内容完整、详细、表述清晰、科学合理、切实可行，对项目理解全面、准确、深入，完全符合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需求的，得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2.方案内容比较完整、详细、表述比较清晰、合理、可行，较符合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3.方案内容基本完整，基本满足采购需求，方案一般的，得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1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同类业绩</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6</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sz w:val="24"/>
                <w:szCs w:val="24"/>
                <w:highlight w:val="none"/>
                <w:lang w:eastAsia="zh-CN"/>
              </w:rPr>
              <w:t>提供的</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年1月1日至今的同类项目业绩情况进行评分，每提供一个业绩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r>
      <w:tr>
        <w:tblPrEx>
          <w:tblCellMar>
            <w:top w:w="0" w:type="dxa"/>
            <w:left w:w="108" w:type="dxa"/>
            <w:bottom w:w="0" w:type="dxa"/>
            <w:right w:w="108" w:type="dxa"/>
          </w:tblCellMar>
        </w:tblPrEx>
        <w:trPr>
          <w:trHeight w:val="91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履约评价</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strike w:val="0"/>
                <w:dstrike w:val="0"/>
                <w:color w:val="auto"/>
                <w:sz w:val="24"/>
                <w:szCs w:val="24"/>
                <w:highlight w:val="none"/>
                <w:lang w:val="en-US" w:eastAsia="zh-CN"/>
              </w:rPr>
            </w:pPr>
            <w:r>
              <w:rPr>
                <w:rFonts w:hint="eastAsia" w:ascii="仿宋" w:hAnsi="仿宋" w:eastAsia="仿宋" w:cs="仿宋"/>
                <w:strike w:val="0"/>
                <w:dstrike w:val="0"/>
                <w:color w:val="auto"/>
                <w:sz w:val="24"/>
                <w:szCs w:val="24"/>
                <w:highlight w:val="none"/>
                <w:lang w:val="en-US" w:eastAsia="zh-CN"/>
              </w:rPr>
              <w:t>5</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sz w:val="24"/>
                <w:szCs w:val="24"/>
                <w:highlight w:val="none"/>
              </w:rPr>
              <w:t>供应商提供自2022年1月1日</w:t>
            </w:r>
            <w:r>
              <w:rPr>
                <w:rFonts w:hint="eastAsia" w:ascii="仿宋" w:hAnsi="仿宋" w:eastAsia="仿宋" w:cs="仿宋"/>
                <w:color w:val="auto"/>
                <w:sz w:val="24"/>
                <w:szCs w:val="24"/>
                <w:highlight w:val="none"/>
                <w:lang w:eastAsia="zh-CN"/>
              </w:rPr>
              <w:t>至今关于</w:t>
            </w:r>
            <w:r>
              <w:rPr>
                <w:rFonts w:hint="eastAsia" w:ascii="仿宋" w:hAnsi="仿宋" w:eastAsia="仿宋" w:cs="仿宋"/>
                <w:color w:val="auto"/>
                <w:sz w:val="24"/>
                <w:szCs w:val="24"/>
                <w:highlight w:val="none"/>
              </w:rPr>
              <w:t>多媒体导引系统或候诊排队叫号系统的同类业绩履约评价</w:t>
            </w:r>
            <w:r>
              <w:rPr>
                <w:rFonts w:hint="eastAsia" w:ascii="仿宋" w:hAnsi="仿宋" w:eastAsia="仿宋" w:cs="仿宋"/>
                <w:color w:val="auto"/>
                <w:sz w:val="24"/>
                <w:szCs w:val="24"/>
                <w:highlight w:val="none"/>
                <w:lang w:eastAsia="zh-CN"/>
              </w:rPr>
              <w:t>或验收报告进行评审</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1份，</w:t>
            </w:r>
            <w:r>
              <w:rPr>
                <w:rFonts w:hint="eastAsia" w:ascii="仿宋" w:hAnsi="仿宋" w:eastAsia="仿宋" w:cs="仿宋"/>
                <w:color w:val="auto"/>
                <w:sz w:val="24"/>
                <w:szCs w:val="24"/>
                <w:highlight w:val="none"/>
              </w:rPr>
              <w:t>得1分</w:t>
            </w:r>
            <w:r>
              <w:rPr>
                <w:rFonts w:hint="eastAsia" w:ascii="仿宋" w:hAnsi="仿宋" w:eastAsia="仿宋" w:cs="仿宋"/>
                <w:color w:val="auto"/>
                <w:sz w:val="24"/>
                <w:szCs w:val="24"/>
                <w:highlight w:val="none"/>
                <w:lang w:eastAsia="zh-CN"/>
              </w:rPr>
              <w:t>，本项</w:t>
            </w:r>
            <w:r>
              <w:rPr>
                <w:rFonts w:hint="eastAsia" w:ascii="仿宋" w:hAnsi="仿宋" w:eastAsia="仿宋" w:cs="仿宋"/>
                <w:color w:val="auto"/>
                <w:sz w:val="24"/>
                <w:szCs w:val="24"/>
                <w:highlight w:val="none"/>
              </w:rPr>
              <w:t xml:space="preserve">最高得5分。 </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1.提供</w:t>
            </w:r>
            <w:r>
              <w:rPr>
                <w:rFonts w:hint="eastAsia" w:ascii="仿宋" w:hAnsi="仿宋" w:eastAsia="仿宋" w:cs="仿宋"/>
                <w:color w:val="auto"/>
                <w:sz w:val="24"/>
                <w:szCs w:val="24"/>
                <w:highlight w:val="none"/>
                <w:lang w:eastAsia="zh-CN"/>
              </w:rPr>
              <w:t>被服务单位的总体履约评价证明文件，</w:t>
            </w:r>
            <w:r>
              <w:rPr>
                <w:rFonts w:hint="eastAsia" w:ascii="仿宋" w:hAnsi="仿宋" w:eastAsia="仿宋" w:cs="仿宋"/>
                <w:color w:val="auto"/>
                <w:sz w:val="24"/>
                <w:szCs w:val="24"/>
                <w:highlight w:val="none"/>
                <w:lang w:val="en-US" w:eastAsia="zh-CN"/>
              </w:rPr>
              <w:t>评价材料应达到90分（或以上）或带有“满意”或“好评”或“优秀”等相关正面评价字眼，</w:t>
            </w:r>
            <w:r>
              <w:rPr>
                <w:rFonts w:hint="eastAsia" w:ascii="仿宋" w:hAnsi="仿宋" w:eastAsia="仿宋" w:cs="仿宋"/>
                <w:color w:val="auto"/>
                <w:sz w:val="24"/>
                <w:szCs w:val="24"/>
                <w:highlight w:val="none"/>
                <w:lang w:eastAsia="zh-CN"/>
              </w:rPr>
              <w:t>并加盖被服务单位公章；验收报告复印件需验收双方签字。</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.按项目计分，同一个项目的履约评价或验收报告不重复计分。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（以上内容需提供清晰的复印件并加盖供应商公章，无提供不得分。）</w:t>
            </w:r>
          </w:p>
        </w:tc>
      </w:tr>
      <w:tr>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培训方案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1.方案内容完整、详细、表述清晰、科学合理、切实可行，优于或满足采购需求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2.方案内容基本满足采购</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3.仅提供方案但无法满足采购需求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67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售后服务方案</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5681"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4.未提供方案不得分。</w:t>
            </w:r>
          </w:p>
        </w:tc>
      </w:tr>
      <w:tr>
        <w:tblPrEx>
          <w:tblCellMar>
            <w:top w:w="0" w:type="dxa"/>
            <w:left w:w="108" w:type="dxa"/>
            <w:bottom w:w="0" w:type="dxa"/>
            <w:right w:w="108" w:type="dxa"/>
          </w:tblCellMar>
        </w:tblPrEx>
        <w:trPr>
          <w:trHeight w:val="98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8</w:t>
            </w:r>
          </w:p>
        </w:tc>
        <w:tc>
          <w:tcPr>
            <w:tcW w:w="13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20</w:t>
            </w:r>
          </w:p>
        </w:tc>
        <w:tc>
          <w:tcPr>
            <w:tcW w:w="5681"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widowControl/>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r>
    </w:tbl>
    <w:p>
      <w:pPr>
        <w:widowControl/>
        <w:jc w:val="left"/>
        <w:rPr>
          <w:rFonts w:hint="eastAsia" w:ascii="仿宋" w:hAnsi="仿宋" w:eastAsia="仿宋" w:cs="仿宋"/>
          <w:color w:val="auto"/>
          <w:sz w:val="24"/>
          <w:szCs w:val="24"/>
          <w:highlight w:val="none"/>
        </w:rPr>
      </w:pPr>
    </w:p>
    <w:p>
      <w:pPr>
        <w:pStyle w:val="11"/>
        <w:adjustRightInd w:val="0"/>
        <w:snapToGrid w:val="0"/>
        <w:spacing w:line="360" w:lineRule="auto"/>
        <w:ind w:right="32" w:firstLine="458" w:firstLineChars="191"/>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7.推荐</w:t>
      </w:r>
      <w:r>
        <w:rPr>
          <w:rFonts w:hint="eastAsia" w:ascii="仿宋" w:hAnsi="仿宋" w:eastAsia="仿宋" w:cs="仿宋"/>
          <w:b w:val="0"/>
          <w:bCs/>
          <w:color w:val="auto"/>
          <w:sz w:val="24"/>
          <w:szCs w:val="24"/>
          <w:highlight w:val="none"/>
        </w:rPr>
        <w:t>成交候选供应商</w:t>
      </w:r>
    </w:p>
    <w:p>
      <w:pPr>
        <w:autoSpaceDE w:val="0"/>
        <w:autoSpaceDN w:val="0"/>
        <w:adjustRightInd w:val="0"/>
        <w:snapToGrid w:val="0"/>
        <w:spacing w:line="360" w:lineRule="auto"/>
        <w:ind w:right="32" w:firstLine="458" w:firstLineChars="191"/>
        <w:rPr>
          <w:rFonts w:ascii="仿宋" w:hAnsi="仿宋" w:eastAsia="仿宋" w:cs="仿宋"/>
          <w:b w:val="0"/>
          <w:bCs w:val="0"/>
          <w:color w:val="auto"/>
          <w:kern w:val="0"/>
          <w:sz w:val="24"/>
          <w:highlight w:val="none"/>
        </w:rPr>
      </w:pPr>
      <w:r>
        <w:rPr>
          <w:rFonts w:hint="eastAsia" w:ascii="仿宋" w:hAnsi="仿宋" w:eastAsia="仿宋" w:cs="仿宋"/>
          <w:color w:val="auto"/>
          <w:kern w:val="0"/>
          <w:sz w:val="24"/>
          <w:highlight w:val="none"/>
        </w:rPr>
        <w:t>评</w:t>
      </w:r>
      <w:r>
        <w:rPr>
          <w:rFonts w:hint="eastAsia" w:ascii="仿宋" w:hAnsi="仿宋" w:eastAsia="仿宋" w:cs="仿宋"/>
          <w:color w:val="auto"/>
          <w:sz w:val="24"/>
          <w:highlight w:val="none"/>
        </w:rPr>
        <w:t>审</w:t>
      </w:r>
      <w:r>
        <w:rPr>
          <w:rFonts w:hint="eastAsia" w:ascii="仿宋" w:hAnsi="仿宋" w:eastAsia="仿宋" w:cs="仿宋"/>
          <w:color w:val="auto"/>
          <w:kern w:val="0"/>
          <w:sz w:val="24"/>
          <w:highlight w:val="none"/>
        </w:rPr>
        <w:t>小组出具书面的评审报告，按照响应供应商的综合得分由高到低的顺序对响应供应商进行排名，并</w:t>
      </w:r>
      <w:r>
        <w:rPr>
          <w:rFonts w:hint="eastAsia" w:ascii="仿宋" w:hAnsi="仿宋" w:eastAsia="仿宋" w:cs="仿宋"/>
          <w:color w:val="auto"/>
          <w:kern w:val="0"/>
          <w:sz w:val="24"/>
          <w:highlight w:val="none"/>
          <w:lang w:val="en-US" w:eastAsia="zh-CN"/>
        </w:rPr>
        <w:t>推荐前3名</w:t>
      </w:r>
      <w:r>
        <w:rPr>
          <w:rFonts w:hint="eastAsia" w:ascii="仿宋" w:hAnsi="仿宋" w:eastAsia="仿宋" w:cs="仿宋"/>
          <w:color w:val="auto"/>
          <w:kern w:val="0"/>
          <w:sz w:val="24"/>
          <w:highlight w:val="none"/>
        </w:rPr>
        <w:t>成交候选供应商。综合得分相同的，按响应报价由低到高顺序推荐成交候选供应商，得分</w:t>
      </w:r>
      <w:r>
        <w:rPr>
          <w:rFonts w:hint="eastAsia" w:ascii="仿宋" w:hAnsi="仿宋" w:eastAsia="仿宋" w:cs="仿宋"/>
          <w:b w:val="0"/>
          <w:bCs w:val="0"/>
          <w:color w:val="auto"/>
          <w:kern w:val="0"/>
          <w:sz w:val="24"/>
          <w:highlight w:val="none"/>
        </w:rPr>
        <w:t>且</w:t>
      </w:r>
      <w:r>
        <w:rPr>
          <w:rFonts w:hint="eastAsia" w:ascii="仿宋" w:hAnsi="仿宋" w:eastAsia="仿宋" w:cs="仿宋"/>
          <w:b w:val="0"/>
          <w:bCs w:val="0"/>
          <w:color w:val="auto"/>
          <w:kern w:val="0"/>
          <w:sz w:val="24"/>
          <w:highlight w:val="none"/>
          <w:lang w:eastAsia="zh-CN"/>
        </w:rPr>
        <w:t>响应</w:t>
      </w:r>
      <w:r>
        <w:rPr>
          <w:rFonts w:hint="eastAsia" w:ascii="仿宋" w:hAnsi="仿宋" w:eastAsia="仿宋" w:cs="仿宋"/>
          <w:b w:val="0"/>
          <w:bCs w:val="0"/>
          <w:color w:val="auto"/>
          <w:kern w:val="0"/>
          <w:sz w:val="24"/>
          <w:highlight w:val="none"/>
        </w:rPr>
        <w:t>报价相同的，由</w:t>
      </w:r>
      <w:r>
        <w:rPr>
          <w:rFonts w:hint="eastAsia" w:ascii="仿宋" w:hAnsi="仿宋" w:eastAsia="仿宋" w:cs="仿宋"/>
          <w:b w:val="0"/>
          <w:bCs w:val="0"/>
          <w:color w:val="auto"/>
          <w:kern w:val="0"/>
          <w:sz w:val="24"/>
          <w:highlight w:val="none"/>
          <w:lang w:eastAsia="zh-CN"/>
        </w:rPr>
        <w:t>评审小组</w:t>
      </w:r>
      <w:r>
        <w:rPr>
          <w:rFonts w:hint="eastAsia" w:ascii="仿宋" w:hAnsi="仿宋" w:eastAsia="仿宋" w:cs="仿宋"/>
          <w:b w:val="0"/>
          <w:bCs w:val="0"/>
          <w:color w:val="auto"/>
          <w:kern w:val="0"/>
          <w:sz w:val="24"/>
          <w:highlight w:val="none"/>
        </w:rPr>
        <w:t>采取随机抽取的方式确定。</w:t>
      </w:r>
    </w:p>
    <w:p>
      <w:pPr>
        <w:pStyle w:val="11"/>
        <w:adjustRightInd w:val="0"/>
        <w:snapToGrid w:val="0"/>
        <w:spacing w:line="360" w:lineRule="auto"/>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（三）定标</w:t>
      </w:r>
    </w:p>
    <w:p>
      <w:pPr>
        <w:pStyle w:val="11"/>
        <w:adjustRightInd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1.定标方法：定标由采购人负责，按照科学、民主决策原则，根据评审结果和采购需求，由党委会（或院务会）从成交候选供应商中确定最终成交供应商。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default" w:ascii="仿宋" w:hAnsi="仿宋" w:eastAsia="仿宋" w:cs="仿宋"/>
          <w:color w:val="auto"/>
          <w:sz w:val="24"/>
          <w:szCs w:val="24"/>
          <w:highlight w:val="none"/>
          <w:lang w:val="en-US" w:eastAsia="zh-CN"/>
        </w:rPr>
        <w:t>定标因素：本项目定标因素包括企业实力、企业信誉、投标文件响应情况、投标报价、拟派团队管理能力与水平等多方面因素，结合医院发展需求，择优选择履约能力较强、价格合理的供应商。</w:t>
      </w:r>
    </w:p>
    <w:p>
      <w:pPr>
        <w:pStyle w:val="11"/>
        <w:adjustRightInd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定标时间：在评标报告</w:t>
      </w:r>
      <w:r>
        <w:rPr>
          <w:rFonts w:hint="eastAsia" w:ascii="仿宋" w:hAnsi="仿宋" w:eastAsia="仿宋" w:cs="仿宋"/>
          <w:color w:val="auto"/>
          <w:sz w:val="24"/>
          <w:szCs w:val="24"/>
          <w:highlight w:val="none"/>
          <w:lang w:val="en-US" w:eastAsia="zh-CN"/>
        </w:rPr>
        <w:t>出具后</w:t>
      </w:r>
      <w:r>
        <w:rPr>
          <w:rFonts w:hint="default" w:ascii="仿宋" w:hAnsi="仿宋" w:eastAsia="仿宋" w:cs="仿宋"/>
          <w:color w:val="auto"/>
          <w:sz w:val="24"/>
          <w:szCs w:val="24"/>
          <w:highlight w:val="none"/>
          <w:lang w:val="en-US" w:eastAsia="zh-CN"/>
        </w:rPr>
        <w:t>3周内完成定标工作。</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4.成交候选供应商公示</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采购人应当在决策确定后3个工作日内公示成交候选供应商，公示期不得少于1个工作日。公示应当包括以下内容: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(1)响应供应商名称、报价；</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(2)成交候选供应商名单；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(3)确定的成交供应商名单；</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(4)法律、法规和规章规定的其他内容。</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5.成交通知书：</w:t>
      </w:r>
    </w:p>
    <w:p>
      <w:pPr>
        <w:pStyle w:val="11"/>
        <w:adjustRightInd w:val="0"/>
        <w:snapToGrid w:val="0"/>
        <w:spacing w:line="360" w:lineRule="auto"/>
        <w:ind w:firstLine="480" w:firstLineChars="2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公示期满无异议或者异议不成立的，采购人确定成交候选供应商为成交供应商，发出成交通知书。成交供应商放弃中标、因不可抗力不能履行合同或者被查实存在影响中标结果的违法行为等情形，采购人可以按照成交候选供应商名单排序依次确定其他成交候选供应商为成交供应商，也可以重新比选。</w:t>
      </w:r>
    </w:p>
    <w:p>
      <w:pPr>
        <w:autoSpaceDE w:val="0"/>
        <w:autoSpaceDN w:val="0"/>
        <w:adjustRightInd w:val="0"/>
        <w:snapToGrid w:val="0"/>
        <w:spacing w:line="360" w:lineRule="auto"/>
        <w:ind w:right="32"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六</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询问、</w:t>
      </w:r>
      <w:r>
        <w:rPr>
          <w:rFonts w:hint="eastAsia" w:ascii="仿宋" w:hAnsi="仿宋" w:eastAsia="仿宋" w:cs="仿宋"/>
          <w:b/>
          <w:color w:val="auto"/>
          <w:sz w:val="24"/>
          <w:highlight w:val="none"/>
        </w:rPr>
        <w:t>质疑和投诉</w:t>
      </w:r>
    </w:p>
    <w:p>
      <w:pPr>
        <w:pStyle w:val="11"/>
        <w:adjustRightInd w:val="0"/>
        <w:snapToGrid w:val="0"/>
        <w:spacing w:line="360" w:lineRule="auto"/>
        <w:ind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（一）询问</w:t>
      </w:r>
    </w:p>
    <w:p>
      <w:pPr>
        <w:pStyle w:val="11"/>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对政府采购活动事项（</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、采购过程和</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结果）有疑问的，可以向采购人提出询问，采购人将及时作出答复，但答复的内容不涉及商业秘密。询问可以口头方式提出，也可以书面方式提出，书面方式包括但不限于传真、信函、电子邮件。联系方式见《</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邀请函》中“采购人的名称、地址和联系方式”。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对比选文件的质疑和处理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供应商对比选公告或文件有异议的，应在比选公告的有效期内书面向</w:t>
      </w:r>
      <w:r>
        <w:rPr>
          <w:rFonts w:hint="eastAsia" w:ascii="仿宋" w:hAnsi="仿宋" w:eastAsia="仿宋" w:cs="仿宋"/>
          <w:color w:val="auto"/>
          <w:sz w:val="24"/>
          <w:highlight w:val="none"/>
          <w:lang w:val="en-US" w:eastAsia="zh-CN"/>
        </w:rPr>
        <w:t>采购人</w:t>
      </w:r>
      <w:r>
        <w:rPr>
          <w:rFonts w:hint="eastAsia" w:ascii="仿宋" w:hAnsi="仿宋" w:eastAsia="仿宋" w:cs="仿宋"/>
          <w:color w:val="auto"/>
          <w:sz w:val="24"/>
          <w:highlight w:val="none"/>
        </w:rPr>
        <w:t>提出合理的质疑。公告期限内未收到书面质疑，视为潜在供应商认同比选文件的全部内容，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不再受理供应商对比选公告或文件的质疑。</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应当在接收到质疑函后起七个工作日内进行答复，并以书面形式通知质疑供应商和其他有关供应商。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对比选文件提出的质疑成立后，由</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通过澄清或者修改，并以书面形式告知潜在的供应商后可以继续开展采购活动的，澄清或者修改比选文件后继续开展采购活动；否则应当修改比选文件后重新开展采购活动。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三</w:t>
      </w:r>
      <w:r>
        <w:rPr>
          <w:rFonts w:hint="eastAsia" w:ascii="仿宋" w:hAnsi="仿宋" w:eastAsia="仿宋" w:cs="仿宋"/>
          <w:color w:val="auto"/>
          <w:sz w:val="24"/>
          <w:highlight w:val="none"/>
        </w:rPr>
        <w:t>）对采购过程、成交结果的质疑和处理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供应商认为</w:t>
      </w:r>
      <w:r>
        <w:rPr>
          <w:rFonts w:hint="eastAsia" w:ascii="仿宋" w:hAnsi="仿宋" w:eastAsia="仿宋" w:cs="仿宋"/>
          <w:strike w:val="0"/>
          <w:dstrike w:val="0"/>
          <w:color w:val="auto"/>
          <w:sz w:val="24"/>
          <w:highlight w:val="none"/>
          <w:lang w:val="en-US" w:eastAsia="zh-CN"/>
        </w:rPr>
        <w:t>响应</w:t>
      </w:r>
      <w:r>
        <w:rPr>
          <w:rFonts w:hint="eastAsia" w:ascii="仿宋" w:hAnsi="仿宋" w:eastAsia="仿宋" w:cs="仿宋"/>
          <w:strike w:val="0"/>
          <w:dstrike w:val="0"/>
          <w:color w:val="auto"/>
          <w:sz w:val="24"/>
          <w:highlight w:val="none"/>
        </w:rPr>
        <w:t>文件、评定标过程的评</w:t>
      </w:r>
      <w:r>
        <w:rPr>
          <w:rFonts w:hint="eastAsia" w:ascii="仿宋" w:hAnsi="仿宋" w:eastAsia="仿宋" w:cs="仿宋"/>
          <w:strike w:val="0"/>
          <w:dstrike w:val="0"/>
          <w:color w:val="auto"/>
          <w:sz w:val="24"/>
          <w:highlight w:val="none"/>
          <w:lang w:eastAsia="zh-CN"/>
        </w:rPr>
        <w:t>审及</w:t>
      </w:r>
      <w:r>
        <w:rPr>
          <w:rFonts w:hint="eastAsia" w:ascii="仿宋" w:hAnsi="仿宋" w:eastAsia="仿宋" w:cs="仿宋"/>
          <w:strike w:val="0"/>
          <w:dstrike w:val="0"/>
          <w:color w:val="auto"/>
          <w:sz w:val="24"/>
          <w:highlight w:val="none"/>
        </w:rPr>
        <w:t>定标结果</w:t>
      </w:r>
      <w:r>
        <w:rPr>
          <w:rFonts w:hint="eastAsia" w:ascii="仿宋" w:hAnsi="仿宋" w:eastAsia="仿宋" w:cs="仿宋"/>
          <w:color w:val="auto"/>
          <w:sz w:val="24"/>
          <w:highlight w:val="none"/>
        </w:rPr>
        <w:t>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提出质疑。</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应于收到质疑函后起7个工作日内组织原评审小组协助答复质疑，并以书面形式通知质疑供应商和其他有关供应商。</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医院认为供应商质疑不成立，或者成立但未对成交结果构成影响的，继续开展采购活动；认为供应商质疑成立且影响或者可能影响成交结果的，合格供应商符合法定数量时，可以从合格的成交候选人中另行确定成交供应商的，应当依法另行确定成交供应商；否则应当重新开展采购活动。</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四</w:t>
      </w:r>
      <w:r>
        <w:rPr>
          <w:rFonts w:hint="eastAsia" w:ascii="仿宋" w:hAnsi="仿宋" w:eastAsia="仿宋" w:cs="仿宋"/>
          <w:color w:val="auto"/>
          <w:sz w:val="24"/>
          <w:highlight w:val="none"/>
        </w:rPr>
        <w:t>）供应商提出质疑应当提交质疑函和必要的证明材料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包括证明材料清单、证明文件及获取途径说明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。质疑函应当包括下列内容：</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（1）供应商的姓名或者名称、地址、邮编、联系人及联系电话；</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（2）质疑项目的名称、编号；</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（3）具体、明确的质疑事项和与质疑事项相关的请求；</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（4）事实依据；</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（5）必要的法律依据；</w:t>
      </w:r>
    </w:p>
    <w:p>
      <w:pPr>
        <w:pStyle w:val="11"/>
        <w:adjustRightInd w:val="0"/>
        <w:snapToGrid w:val="0"/>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（6）提出质疑的日期。</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的质疑答复不满意或在规定时间内未得到答复的，可以在答复期满后15个工作日内，按如下联系方式向</w:t>
      </w:r>
      <w:r>
        <w:rPr>
          <w:rFonts w:hint="eastAsia" w:ascii="仿宋" w:hAnsi="仿宋" w:eastAsia="仿宋" w:cs="仿宋"/>
          <w:color w:val="auto"/>
          <w:sz w:val="24"/>
          <w:szCs w:val="24"/>
          <w:highlight w:val="none"/>
          <w:lang w:val="en-US" w:eastAsia="zh-CN"/>
        </w:rPr>
        <w:t>医院招标采购工作监督小组</w:t>
      </w:r>
      <w:r>
        <w:rPr>
          <w:rFonts w:hint="eastAsia" w:ascii="仿宋" w:hAnsi="仿宋" w:eastAsia="仿宋" w:cs="仿宋"/>
          <w:color w:val="auto"/>
          <w:sz w:val="24"/>
          <w:highlight w:val="none"/>
        </w:rPr>
        <w:t>提出书面投诉。</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（五）质疑供应商未按以上规定进行质疑的，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将不予接收。</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（六）供应商捏造事实、提供虚假材料或者以非法手段取得证明材料进行质疑或投诉的，予以驳回，并列入黑名单。</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受理质疑后，质疑人书面申请撤回质疑的，应当终止质疑处理程序。</w:t>
      </w:r>
    </w:p>
    <w:p>
      <w:pPr>
        <w:pStyle w:val="11"/>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（八）同一供应商不能对同一事项重复质疑。</w:t>
      </w:r>
    </w:p>
    <w:p>
      <w:pPr>
        <w:pStyle w:val="11"/>
        <w:adjustRightInd w:val="0"/>
        <w:snapToGrid w:val="0"/>
        <w:spacing w:line="360" w:lineRule="auto"/>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lang w:val="en-US" w:eastAsia="zh-CN"/>
        </w:rPr>
        <w:t>七</w:t>
      </w:r>
      <w:r>
        <w:rPr>
          <w:rFonts w:hint="eastAsia" w:ascii="仿宋" w:hAnsi="仿宋" w:eastAsia="仿宋" w:cs="仿宋"/>
          <w:b/>
          <w:color w:val="auto"/>
          <w:kern w:val="0"/>
          <w:sz w:val="24"/>
          <w:szCs w:val="24"/>
          <w:highlight w:val="none"/>
        </w:rPr>
        <w:t>、合同的订立和履行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合同的订立</w:t>
      </w:r>
    </w:p>
    <w:p>
      <w:pPr>
        <w:autoSpaceDE w:val="0"/>
        <w:autoSpaceDN w:val="0"/>
        <w:adjustRightInd w:val="0"/>
        <w:snapToGrid w:val="0"/>
        <w:spacing w:line="360" w:lineRule="auto"/>
        <w:ind w:right="32" w:firstLine="480" w:firstLineChars="200"/>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采购人与成交供应商自成交通知书发出之日起三十日内，按比选文件要求和</w:t>
      </w:r>
      <w:r>
        <w:rPr>
          <w:rFonts w:hint="eastAsia" w:ascii="仿宋" w:hAnsi="仿宋" w:eastAsia="仿宋" w:cs="仿宋"/>
          <w:color w:val="auto"/>
          <w:kern w:val="0"/>
          <w:sz w:val="24"/>
          <w:highlight w:val="none"/>
          <w:lang w:eastAsia="zh-CN"/>
        </w:rPr>
        <w:t>成交供应商</w:t>
      </w:r>
      <w:r>
        <w:rPr>
          <w:rFonts w:hint="eastAsia" w:ascii="仿宋" w:hAnsi="仿宋" w:eastAsia="仿宋" w:cs="仿宋"/>
          <w:color w:val="auto"/>
          <w:kern w:val="0"/>
          <w:sz w:val="24"/>
          <w:highlight w:val="none"/>
        </w:rPr>
        <w:t>响应文件承诺签订采购合同。未按规定时间签订合同的，视为主动放弃成交资格。但不得超出比选文件和成交供应商响应文件的范围</w:t>
      </w:r>
      <w:r>
        <w:rPr>
          <w:rFonts w:hint="eastAsia" w:ascii="仿宋" w:hAnsi="仿宋" w:eastAsia="仿宋" w:cs="仿宋"/>
          <w:color w:val="auto"/>
          <w:kern w:val="0"/>
          <w:sz w:val="24"/>
          <w:highlight w:val="none"/>
          <w:lang w:eastAsia="zh-CN"/>
        </w:rPr>
        <w:t>，也</w:t>
      </w:r>
      <w:r>
        <w:rPr>
          <w:rFonts w:hint="eastAsia" w:ascii="仿宋" w:hAnsi="仿宋" w:eastAsia="仿宋" w:cs="仿宋"/>
          <w:color w:val="auto"/>
          <w:kern w:val="0"/>
          <w:sz w:val="24"/>
          <w:highlight w:val="none"/>
        </w:rPr>
        <w:t>不得再行订立背离合同实质性内容的其他协议。如果第一成交候选供应商放弃成交资格或者没有按照规定签订合同，采购人将取消其成交资格。在此情况下，采购人可确定第二成交候选供应商为成交供应商，或重新采购。</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color w:val="auto"/>
          <w:kern w:val="0"/>
          <w:sz w:val="24"/>
          <w:highlight w:val="none"/>
          <w:lang w:val="en-US" w:eastAsia="zh-CN"/>
        </w:rPr>
        <w:t>.</w:t>
      </w:r>
      <w:r>
        <w:rPr>
          <w:rFonts w:hint="eastAsia" w:ascii="仿宋" w:hAnsi="仿宋" w:eastAsia="仿宋" w:cs="仿宋"/>
          <w:color w:val="auto"/>
          <w:kern w:val="0"/>
          <w:sz w:val="24"/>
          <w:highlight w:val="none"/>
        </w:rPr>
        <w:t>合同的履行</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（1）采购合同订立后，合同各方不得擅自变更、中止或者终止合同。合同确需要变更的，应以书面形式报</w:t>
      </w:r>
      <w:r>
        <w:rPr>
          <w:rFonts w:hint="eastAsia" w:ascii="仿宋" w:hAnsi="仿宋" w:eastAsia="仿宋" w:cs="仿宋"/>
          <w:color w:val="auto"/>
          <w:kern w:val="0"/>
          <w:sz w:val="24"/>
          <w:highlight w:val="none"/>
          <w:lang w:eastAsia="zh-CN"/>
        </w:rPr>
        <w:t>采购人</w:t>
      </w:r>
      <w:r>
        <w:rPr>
          <w:rFonts w:hint="eastAsia" w:ascii="仿宋" w:hAnsi="仿宋" w:eastAsia="仿宋" w:cs="仿宋"/>
          <w:color w:val="auto"/>
          <w:kern w:val="0"/>
          <w:sz w:val="24"/>
          <w:highlight w:val="none"/>
        </w:rPr>
        <w:t>审批。</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（2）采购合同履行中，采购人需追加与合同标的相同的货物、工程或者服务的，在不改变合同实质条款的前提下，可以与成交供应商签订补充合同，但所补充合同的采购金额不得超过原采购金额的百分之十。</w:t>
      </w:r>
    </w:p>
    <w:p>
      <w:pPr>
        <w:adjustRightInd w:val="0"/>
        <w:snapToGrid w:val="0"/>
        <w:spacing w:line="36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、适用法律及规定</w:t>
      </w:r>
    </w:p>
    <w:p>
      <w:pPr>
        <w:autoSpaceDE w:val="0"/>
        <w:autoSpaceDN w:val="0"/>
        <w:adjustRightInd w:val="0"/>
        <w:snapToGrid w:val="0"/>
        <w:spacing w:line="360" w:lineRule="auto"/>
        <w:ind w:right="32"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lang w:val="en-US" w:eastAsia="zh-CN"/>
        </w:rPr>
        <w:t>采购人</w:t>
      </w:r>
      <w:r>
        <w:rPr>
          <w:rFonts w:hint="eastAsia" w:ascii="仿宋" w:hAnsi="仿宋" w:eastAsia="仿宋" w:cs="仿宋"/>
          <w:color w:val="auto"/>
          <w:kern w:val="0"/>
          <w:sz w:val="24"/>
          <w:highlight w:val="none"/>
        </w:rPr>
        <w:t>及供应商的一切采购活动均参考《中华人民共和国政府采购法》及医院的采购制度。</w:t>
      </w:r>
    </w:p>
    <w:p>
      <w:pPr>
        <w:pStyle w:val="11"/>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（2）单位负责人为同一人或者存在直接控股、管理关系的不同供应商，不得参加同一合同项下的采购活动。</w:t>
      </w:r>
      <w:r>
        <w:rPr>
          <w:rFonts w:hint="eastAsia" w:ascii="仿宋" w:hAnsi="仿宋" w:eastAsia="仿宋" w:cs="仿宋"/>
          <w:color w:val="auto"/>
          <w:kern w:val="0"/>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kern w:val="0"/>
          <w:sz w:val="24"/>
          <w:highlight w:val="none"/>
        </w:rPr>
        <w:t>存在以上情形的供应商应主动予以回避，否则自行承担相应的法律责任及后果。</w:t>
      </w:r>
    </w:p>
    <w:p>
      <w:pPr>
        <w:autoSpaceDE/>
        <w:autoSpaceDN/>
        <w:adjustRightInd/>
        <w:snapToGrid/>
        <w:spacing w:line="240" w:lineRule="auto"/>
        <w:ind w:right="0" w:firstLine="0" w:firstLineChars="0"/>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autoSpaceDE w:val="0"/>
        <w:autoSpaceDN w:val="0"/>
        <w:adjustRightInd w:val="0"/>
        <w:snapToGrid w:val="0"/>
        <w:spacing w:line="360" w:lineRule="auto"/>
        <w:ind w:right="32" w:firstLine="562" w:firstLineChars="200"/>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第四部分  合同书范本格式</w:t>
      </w:r>
    </w:p>
    <w:p>
      <w:pPr>
        <w:autoSpaceDE w:val="0"/>
        <w:autoSpaceDN w:val="0"/>
        <w:adjustRightInd w:val="0"/>
        <w:spacing w:before="100" w:beforeAutospacing="1" w:after="100" w:afterAutospacing="1"/>
        <w:jc w:val="right"/>
        <w:rPr>
          <w:rFonts w:hint="eastAsia" w:ascii="Arial" w:hAnsi="Arial" w:eastAsia="黑体"/>
          <w:bCs/>
          <w:color w:val="auto"/>
          <w:sz w:val="30"/>
          <w:szCs w:val="30"/>
          <w:highlight w:val="none"/>
          <w:lang w:val="en-US" w:eastAsia="zh-CN"/>
        </w:rPr>
      </w:pPr>
      <w:r>
        <w:rPr>
          <w:rFonts w:hint="eastAsia" w:ascii="Arial" w:hAnsi="Arial" w:eastAsia="黑体"/>
          <w:bCs/>
          <w:color w:val="auto"/>
          <w:sz w:val="30"/>
          <w:szCs w:val="30"/>
          <w:highlight w:val="none"/>
          <w:lang w:val="en-US" w:eastAsia="zh-CN"/>
        </w:rPr>
        <w:t>合同模板编号</w:t>
      </w:r>
      <w:r>
        <w:rPr>
          <w:rFonts w:hint="eastAsia" w:ascii="Arial" w:hAnsi="Arial" w:eastAsia="黑体"/>
          <w:bCs/>
          <w:color w:val="auto"/>
          <w:sz w:val="30"/>
          <w:szCs w:val="30"/>
          <w:highlight w:val="none"/>
        </w:rPr>
        <w:t>：</w:t>
      </w:r>
      <w:r>
        <w:rPr>
          <w:rFonts w:hint="eastAsia" w:ascii="Arial" w:hAnsi="Arial" w:eastAsia="黑体"/>
          <w:bCs/>
          <w:color w:val="auto"/>
          <w:sz w:val="30"/>
          <w:szCs w:val="30"/>
          <w:highlight w:val="none"/>
          <w:lang w:val="en-US" w:eastAsia="zh-CN"/>
        </w:rPr>
        <w:t>XXB005</w:t>
      </w:r>
    </w:p>
    <w:p>
      <w:pPr>
        <w:autoSpaceDE w:val="0"/>
        <w:autoSpaceDN w:val="0"/>
        <w:adjustRightInd w:val="0"/>
        <w:spacing w:before="100" w:beforeAutospacing="1" w:after="100" w:afterAutospacing="1"/>
        <w:ind w:firstLine="8196" w:firstLineChars="1946"/>
        <w:rPr>
          <w:rFonts w:ascii="仿宋" w:hAnsi="仿宋" w:eastAsia="仿宋" w:cs="FangSong_GB2312-Identity-H"/>
          <w:b/>
          <w:bCs/>
          <w:color w:val="auto"/>
          <w:spacing w:val="60"/>
          <w:kern w:val="0"/>
          <w:sz w:val="30"/>
          <w:szCs w:val="30"/>
          <w:highlight w:val="none"/>
        </w:rPr>
      </w:pPr>
    </w:p>
    <w:tbl>
      <w:tblPr>
        <w:tblStyle w:val="16"/>
        <w:tblpPr w:leftFromText="180" w:rightFromText="180" w:vertAnchor="text" w:horzAnchor="margin" w:tblpXSpec="center" w:tblpY="2498"/>
        <w:tblOverlap w:val="never"/>
        <w:tblW w:w="6629" w:type="dxa"/>
        <w:tblInd w:w="0" w:type="dxa"/>
        <w:tblLayout w:type="fixed"/>
        <w:tblCellMar>
          <w:top w:w="0" w:type="dxa"/>
          <w:left w:w="108" w:type="dxa"/>
          <w:bottom w:w="0" w:type="dxa"/>
          <w:right w:w="108" w:type="dxa"/>
        </w:tblCellMar>
      </w:tblPr>
      <w:tblGrid>
        <w:gridCol w:w="6629"/>
      </w:tblGrid>
      <w:tr>
        <w:tblPrEx>
          <w:tblCellMar>
            <w:top w:w="0" w:type="dxa"/>
            <w:left w:w="108" w:type="dxa"/>
            <w:bottom w:w="0" w:type="dxa"/>
            <w:right w:w="108" w:type="dxa"/>
          </w:tblCellMar>
        </w:tblPrEx>
        <w:trPr>
          <w:trHeight w:val="446" w:hRule="atLeast"/>
        </w:trPr>
        <w:tc>
          <w:tcPr>
            <w:tcW w:w="6629" w:type="dxa"/>
            <w:noWrap w:val="0"/>
            <w:vAlign w:val="top"/>
          </w:tcPr>
          <w:p>
            <w:pPr>
              <w:pStyle w:val="11"/>
              <w:spacing w:line="800" w:lineRule="exact"/>
              <w:jc w:val="left"/>
              <w:rPr>
                <w:rFonts w:hAnsi="宋体"/>
                <w:b/>
                <w:color w:val="auto"/>
                <w:sz w:val="30"/>
                <w:szCs w:val="30"/>
                <w:highlight w:val="none"/>
              </w:rPr>
            </w:pPr>
          </w:p>
          <w:p>
            <w:pPr>
              <w:pStyle w:val="11"/>
              <w:spacing w:line="800" w:lineRule="exact"/>
              <w:jc w:val="left"/>
              <w:rPr>
                <w:rFonts w:hAnsi="宋体"/>
                <w:b/>
                <w:color w:val="auto"/>
                <w:sz w:val="30"/>
                <w:szCs w:val="30"/>
                <w:highlight w:val="none"/>
              </w:rPr>
            </w:pPr>
            <w:r>
              <w:rPr>
                <w:rFonts w:hint="eastAsia" w:hAnsi="宋体"/>
                <w:b/>
                <w:color w:val="auto"/>
                <w:sz w:val="30"/>
                <w:szCs w:val="30"/>
                <w:highlight w:val="none"/>
              </w:rPr>
              <w:t>采购编号：</w:t>
            </w:r>
          </w:p>
          <w:p>
            <w:pPr>
              <w:pStyle w:val="11"/>
              <w:spacing w:line="800" w:lineRule="exact"/>
              <w:jc w:val="left"/>
              <w:rPr>
                <w:rFonts w:hAnsi="宋体"/>
                <w:b/>
                <w:color w:val="auto"/>
                <w:sz w:val="30"/>
                <w:szCs w:val="30"/>
                <w:highlight w:val="none"/>
              </w:rPr>
            </w:pPr>
            <w:r>
              <w:rPr>
                <w:rFonts w:hint="eastAsia" w:hAnsi="宋体"/>
                <w:b/>
                <w:color w:val="auto"/>
                <w:sz w:val="30"/>
                <w:szCs w:val="30"/>
                <w:highlight w:val="none"/>
              </w:rPr>
              <w:t>项目名称：</w:t>
            </w:r>
          </w:p>
          <w:p>
            <w:pPr>
              <w:pStyle w:val="11"/>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甲方：惠州市第一妇幼保健院</w:t>
            </w:r>
          </w:p>
          <w:p>
            <w:pPr>
              <w:pStyle w:val="11"/>
              <w:spacing w:line="800" w:lineRule="exact"/>
              <w:jc w:val="left"/>
              <w:rPr>
                <w:rFonts w:hAnsi="宋体" w:cs="Times New Roman"/>
                <w:b/>
                <w:bCs/>
                <w:color w:val="auto"/>
                <w:sz w:val="30"/>
                <w:szCs w:val="30"/>
                <w:highlight w:val="none"/>
              </w:rPr>
            </w:pPr>
            <w:r>
              <w:rPr>
                <w:rFonts w:hint="eastAsia" w:hAnsi="宋体" w:cs="Times New Roman"/>
                <w:b/>
                <w:bCs/>
                <w:color w:val="auto"/>
                <w:sz w:val="30"/>
                <w:szCs w:val="30"/>
                <w:highlight w:val="none"/>
              </w:rPr>
              <w:t>乙方：</w:t>
            </w:r>
          </w:p>
          <w:p>
            <w:pPr>
              <w:tabs>
                <w:tab w:val="left" w:pos="720"/>
              </w:tabs>
              <w:spacing w:line="360" w:lineRule="auto"/>
              <w:rPr>
                <w:rFonts w:ascii="宋体"/>
                <w:b/>
                <w:color w:val="auto"/>
                <w:sz w:val="30"/>
                <w:szCs w:val="30"/>
                <w:highlight w:val="none"/>
              </w:rPr>
            </w:pPr>
          </w:p>
        </w:tc>
      </w:tr>
    </w:tbl>
    <w:p>
      <w:pPr>
        <w:autoSpaceDE w:val="0"/>
        <w:autoSpaceDN w:val="0"/>
        <w:adjustRightInd w:val="0"/>
        <w:spacing w:before="100" w:beforeAutospacing="1" w:after="100" w:afterAutospacing="1"/>
        <w:jc w:val="center"/>
        <w:rPr>
          <w:rFonts w:ascii="仿宋_GB2312" w:hAnsi="仿宋" w:eastAsia="仿宋_GB2312"/>
          <w:b/>
          <w:color w:val="auto"/>
          <w:sz w:val="28"/>
          <w:highlight w:val="none"/>
        </w:rPr>
      </w:pPr>
      <w:r>
        <w:rPr>
          <w:rFonts w:hint="eastAsia" w:ascii="仿宋" w:hAnsi="仿宋" w:eastAsia="仿宋" w:cs="FangSong_GB2312-Identity-H"/>
          <w:b/>
          <w:bCs/>
          <w:color w:val="auto"/>
          <w:spacing w:val="60"/>
          <w:kern w:val="0"/>
          <w:sz w:val="84"/>
          <w:szCs w:val="84"/>
          <w:highlight w:val="none"/>
        </w:rPr>
        <w:t>技术服务合同</w:t>
      </w:r>
    </w:p>
    <w:p>
      <w:pPr>
        <w:spacing w:line="360" w:lineRule="auto"/>
        <w:ind w:right="480"/>
        <w:jc w:val="center"/>
        <w:rPr>
          <w:rFonts w:ascii="宋体"/>
          <w:bCs/>
          <w:color w:val="auto"/>
          <w:sz w:val="24"/>
          <w:highlight w:val="none"/>
        </w:rPr>
      </w:pPr>
    </w:p>
    <w:p>
      <w:pPr>
        <w:spacing w:line="360" w:lineRule="auto"/>
        <w:jc w:val="center"/>
        <w:rPr>
          <w:rFonts w:ascii="宋体"/>
          <w:b/>
          <w:color w:val="auto"/>
          <w:sz w:val="44"/>
          <w:szCs w:val="44"/>
          <w:highlight w:val="none"/>
        </w:rPr>
      </w:pPr>
      <w:r>
        <w:rPr>
          <w:rFonts w:ascii="宋体"/>
          <w:bCs/>
          <w:color w:val="auto"/>
          <w:sz w:val="24"/>
          <w:highlight w:val="none"/>
        </w:rPr>
        <w:br w:type="page"/>
      </w:r>
      <w:r>
        <w:rPr>
          <w:rFonts w:hint="eastAsia" w:ascii="宋体" w:hAnsi="宋体"/>
          <w:b/>
          <w:color w:val="auto"/>
          <w:sz w:val="44"/>
          <w:szCs w:val="44"/>
          <w:highlight w:val="none"/>
        </w:rPr>
        <w:t>合   同</w:t>
      </w:r>
    </w:p>
    <w:p>
      <w:pPr>
        <w:spacing w:line="360" w:lineRule="auto"/>
        <w:jc w:val="center"/>
        <w:rPr>
          <w:rFonts w:ascii="宋体"/>
          <w:b/>
          <w:color w:val="auto"/>
          <w:sz w:val="44"/>
          <w:szCs w:val="44"/>
          <w:highlight w:val="none"/>
        </w:rPr>
      </w:pPr>
    </w:p>
    <w:p>
      <w:pPr>
        <w:spacing w:line="360" w:lineRule="auto"/>
        <w:jc w:val="left"/>
        <w:rPr>
          <w:rFonts w:ascii="宋体"/>
          <w:b/>
          <w:color w:val="auto"/>
          <w:sz w:val="24"/>
          <w:highlight w:val="none"/>
        </w:rPr>
      </w:pPr>
      <w:r>
        <w:rPr>
          <w:rFonts w:hint="eastAsia" w:ascii="宋体" w:hAnsi="宋体"/>
          <w:b/>
          <w:color w:val="auto"/>
          <w:sz w:val="24"/>
          <w:highlight w:val="none"/>
        </w:rPr>
        <w:t>甲方：</w:t>
      </w:r>
      <w:r>
        <w:rPr>
          <w:rFonts w:hint="eastAsia" w:ascii="宋体" w:hAnsi="宋体"/>
          <w:b/>
          <w:color w:val="auto"/>
          <w:kern w:val="0"/>
          <w:sz w:val="24"/>
          <w:highlight w:val="none"/>
        </w:rPr>
        <w:t>惠州市第一妇幼保健院</w:t>
      </w:r>
    </w:p>
    <w:p>
      <w:pPr>
        <w:tabs>
          <w:tab w:val="left" w:pos="720"/>
        </w:tabs>
        <w:spacing w:line="360" w:lineRule="auto"/>
        <w:rPr>
          <w:rFonts w:ascii="宋体" w:hAnsi="宋体"/>
          <w:b/>
          <w:color w:val="auto"/>
          <w:kern w:val="0"/>
          <w:sz w:val="24"/>
          <w:highlight w:val="none"/>
        </w:rPr>
      </w:pPr>
      <w:r>
        <w:rPr>
          <w:rFonts w:hint="eastAsia" w:ascii="宋体" w:hAnsi="宋体"/>
          <w:b/>
          <w:color w:val="auto"/>
          <w:sz w:val="24"/>
          <w:highlight w:val="none"/>
        </w:rPr>
        <w:t>乙方：</w:t>
      </w:r>
    </w:p>
    <w:p>
      <w:pPr>
        <w:tabs>
          <w:tab w:val="left" w:pos="7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）的中标结果，按照《中华人民共和国政府采购法》、《中华人民共和国民法典》的规定，经双方协商，本着平等互利和诚实信用的原则，一致同意签订本合同如下。</w:t>
      </w:r>
    </w:p>
    <w:p>
      <w:pPr>
        <w:pStyle w:val="21"/>
        <w:numPr>
          <w:ilvl w:val="0"/>
          <w:numId w:val="3"/>
        </w:numPr>
        <w:tabs>
          <w:tab w:val="left" w:pos="960"/>
        </w:tabs>
        <w:spacing w:line="360" w:lineRule="auto"/>
        <w:ind w:firstLine="482"/>
        <w:rPr>
          <w:rFonts w:ascii="宋体" w:hAnsi="宋体"/>
          <w:b/>
          <w:color w:val="auto"/>
          <w:sz w:val="24"/>
          <w:highlight w:val="none"/>
        </w:rPr>
      </w:pPr>
      <w:r>
        <w:rPr>
          <w:rFonts w:hint="eastAsia" w:ascii="宋体" w:hAnsi="宋体"/>
          <w:b/>
          <w:color w:val="auto"/>
          <w:sz w:val="24"/>
          <w:highlight w:val="none"/>
        </w:rPr>
        <w:t>服务内容</w:t>
      </w:r>
    </w:p>
    <w:p>
      <w:pPr>
        <w:pStyle w:val="21"/>
        <w:tabs>
          <w:tab w:val="left" w:pos="960"/>
        </w:tabs>
        <w:spacing w:line="360" w:lineRule="auto"/>
        <w:ind w:firstLine="481" w:firstLineChars="0"/>
        <w:rPr>
          <w:rFonts w:ascii="宋体" w:hAnsi="宋体"/>
          <w:color w:val="auto"/>
          <w:sz w:val="24"/>
          <w:highlight w:val="none"/>
        </w:rPr>
      </w:pPr>
      <w:r>
        <w:rPr>
          <w:rFonts w:hint="eastAsia" w:ascii="宋体" w:hAnsi="宋体"/>
          <w:color w:val="auto"/>
          <w:sz w:val="24"/>
          <w:highlight w:val="none"/>
        </w:rPr>
        <w:t>本合同甲方委托乙方就</w:t>
      </w:r>
      <w:r>
        <w:rPr>
          <w:rFonts w:hint="eastAsia" w:ascii="宋体" w:hAnsi="宋体"/>
          <w:color w:val="auto"/>
          <w:sz w:val="24"/>
          <w:highlight w:val="none"/>
          <w:u w:val="single"/>
        </w:rPr>
        <w:t xml:space="preserve">                                </w:t>
      </w:r>
      <w:r>
        <w:rPr>
          <w:rFonts w:hint="eastAsia" w:ascii="宋体" w:hAnsi="宋体"/>
          <w:color w:val="auto"/>
          <w:sz w:val="24"/>
          <w:highlight w:val="none"/>
        </w:rPr>
        <w:t>项目进行的专项技术服务，并支付相应的技术服务报酬。</w:t>
      </w:r>
    </w:p>
    <w:p>
      <w:pPr>
        <w:pStyle w:val="21"/>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1.技术服务的目标：</w:t>
      </w:r>
    </w:p>
    <w:p>
      <w:pPr>
        <w:pStyle w:val="21"/>
        <w:tabs>
          <w:tab w:val="left" w:pos="960"/>
        </w:tabs>
        <w:spacing w:line="360" w:lineRule="auto"/>
        <w:ind w:firstLine="480"/>
        <w:rPr>
          <w:rFonts w:hint="eastAsia" w:ascii="宋体" w:hAnsi="宋体"/>
          <w:color w:val="auto"/>
          <w:sz w:val="24"/>
          <w:highlight w:val="none"/>
        </w:rPr>
      </w:pPr>
      <w:r>
        <w:rPr>
          <w:rFonts w:hint="eastAsia" w:ascii="宋体" w:hAnsi="宋体"/>
          <w:color w:val="auto"/>
          <w:sz w:val="24"/>
          <w:highlight w:val="none"/>
        </w:rPr>
        <w:t>2.技术服务的内容：</w:t>
      </w:r>
    </w:p>
    <w:p>
      <w:pPr>
        <w:pStyle w:val="21"/>
        <w:tabs>
          <w:tab w:val="left" w:pos="960"/>
        </w:tabs>
        <w:spacing w:line="360" w:lineRule="auto"/>
        <w:ind w:firstLine="480"/>
        <w:rPr>
          <w:rFonts w:ascii="宋体" w:hAnsi="宋体"/>
          <w:color w:val="auto"/>
          <w:sz w:val="24"/>
          <w:highlight w:val="none"/>
          <w:u w:val="single"/>
        </w:rPr>
      </w:pPr>
      <w:r>
        <w:rPr>
          <w:rFonts w:hint="eastAsia" w:ascii="宋体" w:hAnsi="宋体"/>
          <w:color w:val="auto"/>
          <w:sz w:val="24"/>
          <w:highlight w:val="none"/>
        </w:rPr>
        <w:t>3.技术服务的方式：</w:t>
      </w:r>
    </w:p>
    <w:p>
      <w:pPr>
        <w:pStyle w:val="21"/>
        <w:tabs>
          <w:tab w:val="left" w:pos="960"/>
        </w:tabs>
        <w:spacing w:line="360" w:lineRule="auto"/>
        <w:ind w:firstLine="480"/>
        <w:rPr>
          <w:rFonts w:ascii="宋体" w:hAnsi="宋体"/>
          <w:color w:val="auto"/>
          <w:sz w:val="24"/>
          <w:highlight w:val="none"/>
        </w:rPr>
      </w:pPr>
      <w:r>
        <w:rPr>
          <w:rFonts w:hint="eastAsia" w:ascii="宋体" w:hAnsi="宋体"/>
          <w:color w:val="auto"/>
          <w:sz w:val="24"/>
          <w:highlight w:val="none"/>
        </w:rPr>
        <w:t>4.非售后服务内容：由甲乙双方另行协商约定。</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二、合同金额</w:t>
      </w:r>
    </w:p>
    <w:p>
      <w:pPr>
        <w:spacing w:line="360" w:lineRule="auto"/>
        <w:ind w:firstLine="480" w:firstLineChars="200"/>
        <w:rPr>
          <w:rFonts w:hAnsi="宋体" w:cs="宋体"/>
          <w:color w:val="auto"/>
          <w:kern w:val="0"/>
          <w:sz w:val="24"/>
          <w:szCs w:val="21"/>
          <w:highlight w:val="none"/>
        </w:rPr>
      </w:pPr>
      <w:r>
        <w:rPr>
          <w:rFonts w:hint="eastAsia" w:hAnsi="宋体"/>
          <w:color w:val="auto"/>
          <w:sz w:val="24"/>
          <w:highlight w:val="none"/>
        </w:rPr>
        <w:t>合同金额为：（大写）</w:t>
      </w:r>
      <w:r>
        <w:rPr>
          <w:rFonts w:hint="eastAsia" w:ascii="宋体" w:hAnsi="宋体" w:cs="宋体"/>
          <w:color w:val="auto"/>
          <w:kern w:val="0"/>
          <w:sz w:val="24"/>
          <w:highlight w:val="none"/>
        </w:rPr>
        <w:t>人民币</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元整；（小写）¥</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szCs w:val="21"/>
          <w:highlight w:val="none"/>
          <w:u w:val="single"/>
        </w:rPr>
        <w:t>.00</w:t>
      </w:r>
      <w:r>
        <w:rPr>
          <w:rFonts w:hint="eastAsia" w:ascii="宋体" w:hAnsi="宋体" w:cs="宋体"/>
          <w:color w:val="auto"/>
          <w:kern w:val="0"/>
          <w:sz w:val="24"/>
          <w:szCs w:val="21"/>
          <w:highlight w:val="none"/>
        </w:rPr>
        <w:t>元</w:t>
      </w:r>
      <w:r>
        <w:rPr>
          <w:rFonts w:hint="eastAsia" w:hAnsi="宋体" w:cs="宋体"/>
          <w:color w:val="auto"/>
          <w:kern w:val="0"/>
          <w:sz w:val="24"/>
          <w:szCs w:val="21"/>
          <w:highlight w:val="none"/>
        </w:rPr>
        <w:t>。</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合同总额包括</w:t>
      </w:r>
    </w:p>
    <w:p>
      <w:pPr>
        <w:spacing w:line="360" w:lineRule="auto"/>
        <w:ind w:firstLine="482" w:firstLineChars="200"/>
        <w:rPr>
          <w:rFonts w:ascii="宋体"/>
          <w:b/>
          <w:color w:val="auto"/>
          <w:sz w:val="24"/>
          <w:highlight w:val="none"/>
        </w:rPr>
      </w:pPr>
      <w:r>
        <w:rPr>
          <w:rFonts w:hint="eastAsia" w:ascii="宋体" w:hAnsi="宋体"/>
          <w:b/>
          <w:color w:val="auto"/>
          <w:sz w:val="24"/>
          <w:highlight w:val="none"/>
        </w:rPr>
        <w:t>三、服务要求</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四、服务期限和服务地点</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1.服务期限：</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2.地点：甲方指定地点</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五、付款方式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2.支付方式采用银行转账支付。</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乙方账户信息如下：</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开户行：</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账户名称：</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银行账户：</w:t>
      </w:r>
      <w:r>
        <w:rPr>
          <w:rFonts w:hint="eastAsia" w:ascii="宋体" w:hAnsi="宋体"/>
          <w:color w:val="auto"/>
          <w:sz w:val="24"/>
          <w:highlight w:val="none"/>
          <w:u w:val="single"/>
        </w:rPr>
        <w:t xml:space="preserve">                                        </w:t>
      </w:r>
    </w:p>
    <w:p>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税号：</w:t>
      </w:r>
      <w:r>
        <w:rPr>
          <w:rFonts w:hint="eastAsia" w:ascii="宋体" w:hAnsi="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3.乙方必须向甲方出具合法有效完整的完税发票及凭证进行支付结算。</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六、质保期及售后服务</w:t>
      </w:r>
    </w:p>
    <w:p>
      <w:pPr>
        <w:spacing w:line="460" w:lineRule="exact"/>
        <w:ind w:firstLine="482" w:firstLineChars="200"/>
        <w:rPr>
          <w:rFonts w:ascii="宋体" w:hAnsi="宋体"/>
          <w:b/>
          <w:bCs/>
          <w:color w:val="auto"/>
          <w:sz w:val="24"/>
          <w:highlight w:val="none"/>
        </w:rPr>
      </w:pPr>
      <w:r>
        <w:rPr>
          <w:rFonts w:hint="eastAsia" w:ascii="宋体" w:hAnsi="宋体"/>
          <w:b/>
          <w:bCs/>
          <w:color w:val="auto"/>
          <w:sz w:val="24"/>
          <w:highlight w:val="none"/>
        </w:rPr>
        <w:t>七、验收</w:t>
      </w:r>
    </w:p>
    <w:p>
      <w:pPr>
        <w:tabs>
          <w:tab w:val="left" w:pos="900"/>
        </w:tabs>
        <w:spacing w:line="460" w:lineRule="exact"/>
        <w:ind w:firstLine="482" w:firstLineChars="200"/>
        <w:rPr>
          <w:rFonts w:ascii="宋体"/>
          <w:b/>
          <w:color w:val="auto"/>
          <w:sz w:val="24"/>
          <w:highlight w:val="none"/>
        </w:rPr>
      </w:pPr>
      <w:r>
        <w:rPr>
          <w:rFonts w:hint="eastAsia" w:ascii="宋体" w:hAnsi="宋体"/>
          <w:b/>
          <w:bCs/>
          <w:color w:val="auto"/>
          <w:sz w:val="24"/>
          <w:highlight w:val="none"/>
        </w:rPr>
        <w:t>八、</w:t>
      </w:r>
      <w:r>
        <w:rPr>
          <w:rFonts w:hint="eastAsia" w:ascii="宋体" w:hAnsi="宋体"/>
          <w:b/>
          <w:color w:val="auto"/>
          <w:sz w:val="24"/>
          <w:highlight w:val="none"/>
        </w:rPr>
        <w:t>违约责任与赔偿损失</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1</w:t>
      </w:r>
      <w:r>
        <w:rPr>
          <w:rFonts w:hint="eastAsia" w:ascii="宋体" w:hAnsi="宋体"/>
          <w:color w:val="auto"/>
          <w:sz w:val="24"/>
          <w:highlight w:val="none"/>
        </w:rPr>
        <w:t>.乙方交付的货物、工程、提供的服务不符合采购文件、报价文件或本合同规定的，甲方有权拒收，并且乙方须向甲方支付本合同金额5%的违约金。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2.乙方未能按本合同规定的交货时间交付货物、工程、提供服务，从逾期之日起每日按本合同金额3‰的数额向甲方支付违约金；逾期半个月以上的，甲方有权终止合同，由此造成的甲方经济损失由乙方承担。</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3.甲方无正当理由拒收货物、接受服务，到期拒付货物、工程、提供服务款项的，甲方向乙方偿付拒付款项的5%的违约金。甲方逾期付款，则每日按逾期款项的3‰向乙方偿付违约金。</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4.其它违约责任按《中华人民共和国民法典》处理。</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九、争议的解决</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1.本合同的变更必须由双方协商一致，并以书面形式确定。但有下列情形之一的，一方可以向另一方提出变更合同权利与义务的请求，另一方应当在</w:t>
      </w:r>
      <w:r>
        <w:rPr>
          <w:rFonts w:hint="eastAsia" w:ascii="宋体" w:hAnsi="宋体"/>
          <w:color w:val="auto"/>
          <w:sz w:val="24"/>
          <w:highlight w:val="none"/>
          <w:u w:val="single"/>
        </w:rPr>
        <w:t xml:space="preserve"> 15 </w:t>
      </w:r>
      <w:r>
        <w:rPr>
          <w:rFonts w:hint="eastAsia" w:ascii="宋体" w:hAnsi="宋体"/>
          <w:color w:val="auto"/>
          <w:sz w:val="24"/>
          <w:highlight w:val="none"/>
        </w:rPr>
        <w:t>日内予以答复；逾期未予答复的，视为同意：</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（1）发生不可抗力；</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（2）一方进入破产、解散、被依法关闭、撤销或已进入清算阶段；</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（3）一方财务状况严重恶化，不能支付到期债务；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（4）出现了本合同规定的或法定的解除事由。</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因履行本合同引起的或者与本合同有关的争议，甲乙双方应当通过友好协商方式解决；如协商不能解决的，</w:t>
      </w:r>
      <w:r>
        <w:rPr>
          <w:rFonts w:hint="eastAsia" w:ascii="宋体" w:hAnsi="宋体" w:cs="宋体"/>
          <w:color w:val="auto"/>
          <w:kern w:val="0"/>
          <w:sz w:val="24"/>
          <w:highlight w:val="none"/>
        </w:rPr>
        <w:t>双方均可向惠州市惠城区人民法院提起诉讼</w:t>
      </w:r>
      <w:r>
        <w:rPr>
          <w:rFonts w:ascii="宋体" w:hAnsi="宋体"/>
          <w:color w:val="auto"/>
          <w:sz w:val="24"/>
          <w:highlight w:val="none"/>
        </w:rPr>
        <w:t>。</w:t>
      </w:r>
    </w:p>
    <w:p>
      <w:pPr>
        <w:tabs>
          <w:tab w:val="left" w:pos="824"/>
        </w:tabs>
        <w:spacing w:line="460" w:lineRule="exact"/>
        <w:ind w:firstLine="482" w:firstLineChars="200"/>
        <w:rPr>
          <w:color w:val="auto"/>
          <w:highlight w:val="none"/>
        </w:rPr>
      </w:pPr>
      <w:r>
        <w:rPr>
          <w:rFonts w:hint="eastAsia" w:ascii="宋体" w:hAnsi="宋体"/>
          <w:b/>
          <w:bCs/>
          <w:color w:val="auto"/>
          <w:sz w:val="24"/>
          <w:highlight w:val="none"/>
        </w:rPr>
        <w:t>十、保密条款</w:t>
      </w:r>
    </w:p>
    <w:p>
      <w:pPr>
        <w:tabs>
          <w:tab w:val="left" w:pos="824"/>
        </w:tabs>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未经对方书面许可，任何一方不得向第三方提供或披露因本合同的签订和履行而得知的与对方业务有关的资料和信息，法律另有规定或本合同另有约定的除外。</w:t>
      </w:r>
    </w:p>
    <w:p>
      <w:pPr>
        <w:tabs>
          <w:tab w:val="left" w:pos="824"/>
        </w:tabs>
        <w:spacing w:line="460" w:lineRule="exact"/>
        <w:ind w:firstLine="482" w:firstLineChars="200"/>
        <w:rPr>
          <w:rFonts w:ascii="宋体" w:hAnsi="宋体"/>
          <w:b/>
          <w:color w:val="auto"/>
          <w:sz w:val="24"/>
          <w:highlight w:val="none"/>
        </w:rPr>
      </w:pPr>
      <w:r>
        <w:rPr>
          <w:rFonts w:hint="eastAsia" w:ascii="宋体" w:hAnsi="宋体"/>
          <w:b/>
          <w:bCs/>
          <w:color w:val="auto"/>
          <w:sz w:val="24"/>
          <w:highlight w:val="none"/>
        </w:rPr>
        <w:t>十一、</w:t>
      </w:r>
      <w:r>
        <w:rPr>
          <w:rFonts w:hint="eastAsia" w:ascii="宋体" w:hAnsi="宋体"/>
          <w:b/>
          <w:color w:val="auto"/>
          <w:sz w:val="24"/>
          <w:highlight w:val="none"/>
        </w:rPr>
        <w:t>不可抗力</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1.由于不可预见、不可避免、不可克服等不可抗力的原因，一方不能履行合同义务的，应当在不可抗力发生之日起</w:t>
      </w:r>
      <w:r>
        <w:rPr>
          <w:rFonts w:ascii="宋体" w:hAnsi="宋体"/>
          <w:color w:val="auto"/>
          <w:sz w:val="24"/>
          <w:highlight w:val="none"/>
          <w:u w:val="single"/>
        </w:rPr>
        <w:t xml:space="preserve">     </w:t>
      </w:r>
      <w:r>
        <w:rPr>
          <w:rFonts w:ascii="宋体" w:hAnsi="宋体"/>
          <w:color w:val="auto"/>
          <w:sz w:val="24"/>
          <w:highlight w:val="none"/>
        </w:rPr>
        <w:t>天内以书面形式通知对方，证明不可抗力事件的存在。</w:t>
      </w:r>
    </w:p>
    <w:p>
      <w:pPr>
        <w:tabs>
          <w:tab w:val="left" w:pos="824"/>
        </w:tabs>
        <w:spacing w:line="460" w:lineRule="exact"/>
        <w:ind w:firstLine="480" w:firstLineChars="200"/>
        <w:rPr>
          <w:rFonts w:ascii="宋体" w:hAnsi="宋体"/>
          <w:color w:val="auto"/>
          <w:sz w:val="24"/>
          <w:highlight w:val="none"/>
        </w:rPr>
      </w:pPr>
      <w:r>
        <w:rPr>
          <w:rFonts w:ascii="宋体" w:hAnsi="宋体"/>
          <w:color w:val="auto"/>
          <w:sz w:val="24"/>
          <w:highlight w:val="none"/>
        </w:rPr>
        <w:t>2.不可抗力事件发生后，甲方和乙方应当积极寻求以合理的方式履行本合同。如不可抗力无法消除，致使合同目的无法实现的</w:t>
      </w:r>
      <w:r>
        <w:rPr>
          <w:rFonts w:hint="eastAsia" w:ascii="宋体" w:hAnsi="宋体"/>
          <w:color w:val="auto"/>
          <w:sz w:val="24"/>
          <w:highlight w:val="none"/>
        </w:rPr>
        <w:t>，允许延期履行或修订合同，并根据情况可部分或全部免于承担违约责任。</w:t>
      </w:r>
      <w:r>
        <w:rPr>
          <w:rFonts w:ascii="宋体" w:hAnsi="宋体"/>
          <w:color w:val="auto"/>
          <w:sz w:val="24"/>
          <w:highlight w:val="none"/>
        </w:rPr>
        <w:t>双方均有权解除合同，且均不互相索赔。</w:t>
      </w:r>
    </w:p>
    <w:p>
      <w:pPr>
        <w:tabs>
          <w:tab w:val="left" w:pos="824"/>
        </w:tabs>
        <w:spacing w:line="460" w:lineRule="exact"/>
        <w:ind w:firstLine="480" w:firstLineChars="200"/>
        <w:rPr>
          <w:color w:val="auto"/>
          <w:highlight w:val="none"/>
        </w:rPr>
      </w:pPr>
      <w:r>
        <w:rPr>
          <w:rFonts w:hint="eastAsia" w:ascii="宋体" w:hAnsi="宋体"/>
          <w:color w:val="auto"/>
          <w:sz w:val="24"/>
          <w:highlight w:val="none"/>
        </w:rPr>
        <w:t xml:space="preserve">3.除不可抗力事件，任何一方不得违反本合同条款。 </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十二、税费</w:t>
      </w:r>
    </w:p>
    <w:p>
      <w:pPr>
        <w:spacing w:line="460" w:lineRule="exact"/>
        <w:ind w:firstLine="480" w:firstLineChars="200"/>
        <w:rPr>
          <w:rFonts w:ascii="宋体"/>
          <w:color w:val="auto"/>
          <w:sz w:val="24"/>
          <w:highlight w:val="none"/>
        </w:rPr>
      </w:pPr>
      <w:r>
        <w:rPr>
          <w:rFonts w:hint="eastAsia" w:ascii="宋体" w:hAnsi="宋体"/>
          <w:color w:val="auto"/>
          <w:sz w:val="24"/>
          <w:highlight w:val="none"/>
        </w:rPr>
        <w:t>在中国境内、外发生的与本合同执行有关的一切税费均由乙方负担。</w:t>
      </w:r>
    </w:p>
    <w:p>
      <w:pPr>
        <w:spacing w:line="460" w:lineRule="exact"/>
        <w:ind w:firstLine="482" w:firstLineChars="200"/>
        <w:rPr>
          <w:rFonts w:ascii="宋体"/>
          <w:b/>
          <w:color w:val="auto"/>
          <w:sz w:val="24"/>
          <w:highlight w:val="none"/>
        </w:rPr>
      </w:pPr>
      <w:r>
        <w:rPr>
          <w:rFonts w:hint="eastAsia" w:ascii="宋体" w:hAnsi="宋体"/>
          <w:b/>
          <w:color w:val="auto"/>
          <w:sz w:val="24"/>
          <w:highlight w:val="none"/>
        </w:rPr>
        <w:t>十三、其它</w:t>
      </w:r>
    </w:p>
    <w:p>
      <w:pPr>
        <w:spacing w:line="460" w:lineRule="exact"/>
        <w:ind w:firstLine="480" w:firstLineChars="200"/>
        <w:rPr>
          <w:rFonts w:ascii="宋体"/>
          <w:b/>
          <w:color w:val="auto"/>
          <w:sz w:val="24"/>
          <w:highlight w:val="none"/>
        </w:rPr>
      </w:pPr>
      <w:r>
        <w:rPr>
          <w:rFonts w:hint="eastAsia" w:ascii="宋体" w:hAnsi="宋体"/>
          <w:color w:val="auto"/>
          <w:sz w:val="24"/>
          <w:highlight w:val="none"/>
        </w:rPr>
        <w:t>1.本合同所有附件、采购文件、</w:t>
      </w:r>
      <w:r>
        <w:rPr>
          <w:rFonts w:hint="eastAsia" w:ascii="宋体" w:hAnsi="宋体"/>
          <w:color w:val="auto"/>
          <w:sz w:val="24"/>
          <w:highlight w:val="none"/>
          <w:lang w:eastAsia="zh-CN"/>
        </w:rPr>
        <w:t>响应</w:t>
      </w:r>
      <w:r>
        <w:rPr>
          <w:rFonts w:hint="eastAsia" w:ascii="宋体" w:hAnsi="宋体"/>
          <w:color w:val="auto"/>
          <w:sz w:val="24"/>
          <w:highlight w:val="none"/>
        </w:rPr>
        <w:t>文件、中标通知书均为合同的有效组成部分，与本合同具有同等法律效力，乙方除按本合同约定的履行合同义务外，还应按其提供的</w:t>
      </w:r>
      <w:r>
        <w:rPr>
          <w:rFonts w:hint="eastAsia" w:ascii="宋体" w:hAnsi="宋体"/>
          <w:color w:val="auto"/>
          <w:sz w:val="24"/>
          <w:highlight w:val="none"/>
          <w:lang w:eastAsia="zh-CN"/>
        </w:rPr>
        <w:t>响应</w:t>
      </w:r>
      <w:r>
        <w:rPr>
          <w:rFonts w:hint="eastAsia" w:ascii="宋体" w:hAnsi="宋体"/>
          <w:color w:val="auto"/>
          <w:sz w:val="24"/>
          <w:highlight w:val="none"/>
        </w:rPr>
        <w:t>文件中的承诺履行相关义务。</w:t>
      </w:r>
    </w:p>
    <w:p>
      <w:pPr>
        <w:spacing w:line="460" w:lineRule="exact"/>
        <w:ind w:firstLine="480" w:firstLineChars="200"/>
        <w:rPr>
          <w:rFonts w:ascii="宋体"/>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在执行本合同的过程中，所有经双方签署确认的文件（包括会议纪要、补充协议、往来信函）即成为本合同的有效组成部分。</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3.如一方地址、电话、传真号码有变更，应在变更当日内书面通知对方，否则，应承担相应责任。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4.除甲方事先书面同意外，乙方不得部分或全部转让其应履行的合同项下的义务。</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5.本合同及相关附件中所涉及的有关名词和技术术语，其定义和解释如下：</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（1）软件系统、项目等词除另有指明外，均指本合同项下由甲方出资，乙方承建的“年度维护服务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商业秘密：是指甲方、乙方双方各自所拥有的，不为公众所知的管理信息、方式、方法、顾客名单、数据、产品信息、销售渠道、技术诀窍、计算机文档和技术资料等，或由甲方、乙方双方在履行本合同过程中明确指明为商业秘密的、法律所认可的任何信息。</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（3）工作日：是指国家所规定的节假日之外的所有工作日，未指明为工作日的日期指自然顺延的日期。</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（4）规格：是指在技术或其它开发任务上所设定的关于硬件和软件的技术标准、规范。</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本合同所称日期月、日，如无特指，均指自然月、自然日</w:t>
      </w:r>
      <w:r>
        <w:rPr>
          <w:rFonts w:hint="eastAsia" w:ascii="宋体" w:hAnsi="宋体"/>
          <w:color w:val="auto"/>
          <w:sz w:val="24"/>
          <w:highlight w:val="none"/>
          <w:lang w:eastAsia="zh-CN"/>
        </w:rPr>
        <w:t>。</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十四、廉洁自律及其他条款</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甲乙双方应自觉遵守廉洁自律制度，严禁商业贿赂行为。如有违反，按照国家法律法规及医院规章制度进行处理。</w:t>
      </w:r>
    </w:p>
    <w:p>
      <w:pPr>
        <w:numPr>
          <w:ilvl w:val="0"/>
          <w:numId w:val="4"/>
        </w:num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双方联系人</w:t>
      </w:r>
    </w:p>
    <w:p>
      <w:pPr>
        <w:spacing w:line="46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为甲方项目联系人，乙方指定</w:t>
      </w:r>
      <w:r>
        <w:rPr>
          <w:rFonts w:ascii="宋体" w:hAnsi="宋体"/>
          <w:color w:val="auto"/>
          <w:sz w:val="24"/>
          <w:highlight w:val="none"/>
          <w:u w:val="single"/>
        </w:rPr>
        <w:t xml:space="preserve">         </w:t>
      </w:r>
      <w:r>
        <w:rPr>
          <w:rFonts w:hint="eastAsia" w:ascii="宋体" w:hAnsi="宋体"/>
          <w:color w:val="auto"/>
          <w:sz w:val="24"/>
          <w:highlight w:val="none"/>
        </w:rPr>
        <w:t>为乙方项目联系人。项目联系人承担以下责任：</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（1）对整个项目的进程负责。　　　　　　　</w:t>
      </w:r>
      <w:r>
        <w:rPr>
          <w:rFonts w:ascii="宋体" w:hAnsi="宋体"/>
          <w:color w:val="auto"/>
          <w:sz w:val="24"/>
          <w:highlight w:val="none"/>
        </w:rPr>
        <w:t xml:space="preserve"> </w:t>
      </w:r>
      <w:r>
        <w:rPr>
          <w:rFonts w:hint="eastAsia" w:ascii="宋体" w:hAnsi="宋体"/>
          <w:color w:val="auto"/>
          <w:sz w:val="24"/>
          <w:highlight w:val="none"/>
        </w:rPr>
        <w:t>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（2）作为双方在项目上互相沟通，协调的主要人员。</w:t>
      </w:r>
      <w:r>
        <w:rPr>
          <w:rFonts w:ascii="宋体" w:hAnsi="宋体"/>
          <w:color w:val="auto"/>
          <w:sz w:val="24"/>
          <w:highlight w:val="none"/>
        </w:rPr>
        <w:t xml:space="preserve">                                            </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（3）定时、及时的向对方汇报，交流项目的进展情况。</w:t>
      </w:r>
      <w:r>
        <w:rPr>
          <w:rFonts w:ascii="宋体" w:hAnsi="宋体"/>
          <w:color w:val="auto"/>
          <w:sz w:val="24"/>
          <w:highlight w:val="none"/>
        </w:rPr>
        <w:t xml:space="preserve">                                           </w:t>
      </w:r>
    </w:p>
    <w:p>
      <w:pPr>
        <w:spacing w:line="460" w:lineRule="exact"/>
        <w:ind w:firstLine="480" w:firstLineChars="200"/>
        <w:rPr>
          <w:color w:val="auto"/>
          <w:highlight w:val="none"/>
        </w:rPr>
      </w:pPr>
      <w:r>
        <w:rPr>
          <w:rFonts w:hint="eastAsia" w:ascii="宋体" w:hAnsi="宋体"/>
          <w:color w:val="auto"/>
          <w:sz w:val="24"/>
          <w:highlight w:val="none"/>
        </w:rPr>
        <w:t>（4）一方变更项目联系人的，应当及时以书面形式通知另一方，未及时通知并影响本合同履行或造成损失的，应承担相应的责任。</w:t>
      </w:r>
    </w:p>
    <w:p>
      <w:pPr>
        <w:spacing w:line="460" w:lineRule="exact"/>
        <w:ind w:firstLine="482" w:firstLineChars="200"/>
        <w:rPr>
          <w:rFonts w:ascii="宋体" w:hAnsi="宋体"/>
          <w:b/>
          <w:color w:val="auto"/>
          <w:sz w:val="24"/>
          <w:highlight w:val="none"/>
        </w:rPr>
      </w:pPr>
      <w:r>
        <w:rPr>
          <w:rFonts w:hint="eastAsia" w:ascii="宋体" w:hAnsi="宋体"/>
          <w:b/>
          <w:color w:val="auto"/>
          <w:sz w:val="24"/>
          <w:highlight w:val="none"/>
        </w:rPr>
        <w:t>十六、合同生效</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 xml:space="preserve"> </w:t>
      </w:r>
      <w:r>
        <w:rPr>
          <w:rFonts w:hint="eastAsia" w:ascii="宋体" w:hAnsi="宋体"/>
          <w:color w:val="auto"/>
          <w:sz w:val="24"/>
          <w:highlight w:val="none"/>
        </w:rPr>
        <w:t>本合同在甲乙双方</w:t>
      </w:r>
      <w:r>
        <w:rPr>
          <w:rFonts w:hint="eastAsia" w:ascii="宋体" w:hAnsi="宋体"/>
          <w:color w:val="auto"/>
          <w:sz w:val="24"/>
          <w:highlight w:val="none"/>
          <w:lang w:val="en-US" w:eastAsia="zh-CN"/>
        </w:rPr>
        <w:t>法定代表人</w:t>
      </w:r>
      <w:r>
        <w:rPr>
          <w:rFonts w:hint="eastAsia" w:ascii="宋体" w:hAnsi="宋体"/>
          <w:color w:val="auto"/>
          <w:sz w:val="24"/>
          <w:highlight w:val="none"/>
        </w:rPr>
        <w:t>或其授权代表签字盖章后生效。</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2.一式伍份，具有同等效力，甲方持肆份，乙方持壹份。</w:t>
      </w:r>
    </w:p>
    <w:p>
      <w:pPr>
        <w:pStyle w:val="9"/>
        <w:rPr>
          <w:rFonts w:hint="eastAsia" w:ascii="宋体" w:hAnsi="宋体"/>
          <w:color w:val="auto"/>
          <w:sz w:val="24"/>
          <w:highlight w:val="none"/>
        </w:rPr>
      </w:pPr>
    </w:p>
    <w:p>
      <w:pPr>
        <w:pStyle w:val="1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pPr>
        <w:pStyle w:val="9"/>
        <w:rPr>
          <w:rFonts w:hint="eastAsia" w:ascii="宋体" w:hAnsi="宋体"/>
          <w:color w:val="auto"/>
          <w:sz w:val="24"/>
          <w:highlight w:val="none"/>
        </w:rPr>
      </w:pPr>
    </w:p>
    <w:p>
      <w:pPr>
        <w:spacing w:line="460" w:lineRule="exact"/>
        <w:ind w:left="5519" w:leftChars="228" w:hanging="5040" w:hangingChars="2100"/>
        <w:jc w:val="left"/>
        <w:rPr>
          <w:rFonts w:ascii="宋体"/>
          <w:color w:val="auto"/>
          <w:sz w:val="24"/>
          <w:highlight w:val="none"/>
        </w:rPr>
      </w:pPr>
      <w:r>
        <w:rPr>
          <w:rFonts w:hint="eastAsia" w:ascii="宋体" w:hAnsi="宋体" w:cs="宋体"/>
          <w:color w:val="auto"/>
          <w:sz w:val="24"/>
          <w:highlight w:val="none"/>
        </w:rPr>
        <w:t>甲方：惠州市第一妇幼保健院            乙方：</w:t>
      </w:r>
    </w:p>
    <w:p>
      <w:pPr>
        <w:spacing w:line="460" w:lineRule="exact"/>
        <w:ind w:left="5519" w:leftChars="228" w:hanging="5040" w:hangingChars="2100"/>
        <w:jc w:val="left"/>
        <w:rPr>
          <w:rFonts w:ascii="宋体"/>
          <w:color w:val="auto"/>
          <w:sz w:val="24"/>
          <w:highlight w:val="none"/>
        </w:rPr>
      </w:pPr>
      <w:r>
        <w:rPr>
          <w:rFonts w:hint="eastAsia" w:ascii="宋体" w:hAnsi="宋体"/>
          <w:color w:val="auto"/>
          <w:sz w:val="24"/>
          <w:highlight w:val="none"/>
        </w:rPr>
        <w:t>授权代表</w:t>
      </w: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hAnsi="宋体"/>
          <w:color w:val="auto"/>
          <w:sz w:val="24"/>
          <w:highlight w:val="none"/>
          <w:lang w:val="en-US" w:eastAsia="zh-CN"/>
        </w:rPr>
        <w:t>法定代表人</w:t>
      </w:r>
    </w:p>
    <w:p>
      <w:pPr>
        <w:spacing w:line="460" w:lineRule="exact"/>
        <w:ind w:left="5519" w:leftChars="228" w:hanging="5040" w:hangingChars="2100"/>
        <w:jc w:val="left"/>
        <w:rPr>
          <w:rFonts w:ascii="宋体" w:hAnsi="宋体" w:cs="宋体"/>
          <w:color w:val="auto"/>
          <w:sz w:val="24"/>
          <w:highlight w:val="none"/>
        </w:rPr>
      </w:pPr>
      <w:r>
        <w:rPr>
          <w:rFonts w:hint="eastAsia" w:ascii="宋体" w:hAnsi="宋体" w:cs="宋体"/>
          <w:color w:val="auto"/>
          <w:sz w:val="24"/>
          <w:highlight w:val="none"/>
        </w:rPr>
        <w:t>地址：惠州市演达四路5号              地址：</w:t>
      </w:r>
    </w:p>
    <w:p>
      <w:pPr>
        <w:autoSpaceDE w:val="0"/>
        <w:autoSpaceDN w:val="0"/>
        <w:adjustRightInd w:val="0"/>
        <w:spacing w:line="460" w:lineRule="exact"/>
        <w:ind w:right="246" w:firstLine="480" w:firstLineChars="200"/>
        <w:rPr>
          <w:rFonts w:ascii="宋体" w:hAnsi="宋体" w:cs="宋体"/>
          <w:color w:val="auto"/>
          <w:sz w:val="24"/>
          <w:highlight w:val="none"/>
        </w:rPr>
      </w:pPr>
      <w:r>
        <w:rPr>
          <w:rFonts w:hint="eastAsia" w:ascii="宋体" w:hAnsi="宋体" w:cs="宋体"/>
          <w:color w:val="auto"/>
          <w:sz w:val="24"/>
          <w:highlight w:val="none"/>
        </w:rPr>
        <w:t>电话：0752-7806</w:t>
      </w:r>
      <w:r>
        <w:rPr>
          <w:rFonts w:hint="eastAsia" w:ascii="宋体" w:hAnsi="宋体" w:cs="宋体"/>
          <w:color w:val="auto"/>
          <w:sz w:val="24"/>
          <w:highlight w:val="none"/>
          <w:lang w:val="en-US" w:eastAsia="zh-CN"/>
        </w:rPr>
        <w:t xml:space="preserve">628 </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电话：</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日期：   年    月   日                日期：    年    月    日</w:t>
      </w:r>
    </w:p>
    <w:p>
      <w:pPr>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pStyle w:val="9"/>
        <w:rPr>
          <w:color w:val="auto"/>
          <w:highlight w:val="none"/>
        </w:rPr>
      </w:pPr>
    </w:p>
    <w:p>
      <w:pPr>
        <w:rPr>
          <w:rFonts w:hint="eastAsia"/>
          <w:color w:val="auto"/>
          <w:sz w:val="28"/>
          <w:szCs w:val="30"/>
          <w:highlight w:val="none"/>
        </w:rPr>
      </w:pPr>
    </w:p>
    <w:p>
      <w:pPr>
        <w:pStyle w:val="3"/>
        <w:numPr>
          <w:ilvl w:val="0"/>
          <w:numId w:val="0"/>
        </w:numPr>
        <w:jc w:val="left"/>
        <w:rPr>
          <w:color w:val="auto"/>
          <w:sz w:val="28"/>
          <w:szCs w:val="30"/>
          <w:highlight w:val="none"/>
        </w:rPr>
      </w:pPr>
      <w:r>
        <w:rPr>
          <w:rFonts w:hint="eastAsia"/>
          <w:color w:val="auto"/>
          <w:sz w:val="28"/>
          <w:szCs w:val="30"/>
          <w:highlight w:val="none"/>
        </w:rPr>
        <w:t>附件一：项目验收报告</w:t>
      </w:r>
    </w:p>
    <w:p>
      <w:pPr>
        <w:adjustRightInd w:val="0"/>
        <w:snapToGrid w:val="0"/>
        <w:spacing w:after="200"/>
        <w:jc w:val="center"/>
        <w:rPr>
          <w:rFonts w:ascii="宋体" w:hAnsi="宋体" w:eastAsia="微软雅黑"/>
          <w:b/>
          <w:bCs/>
          <w:color w:val="auto"/>
          <w:sz w:val="36"/>
          <w:szCs w:val="36"/>
          <w:highlight w:val="none"/>
        </w:rPr>
      </w:pPr>
      <w:r>
        <w:rPr>
          <w:rFonts w:hint="eastAsia" w:ascii="宋体" w:hAnsi="宋体" w:eastAsia="微软雅黑"/>
          <w:b/>
          <w:bCs/>
          <w:color w:val="auto"/>
          <w:sz w:val="36"/>
          <w:szCs w:val="36"/>
          <w:highlight w:val="none"/>
          <w:u w:val="single"/>
        </w:rPr>
        <w:t xml:space="preserve">        </w:t>
      </w:r>
      <w:r>
        <w:rPr>
          <w:rFonts w:hint="eastAsia" w:ascii="宋体" w:hAnsi="宋体" w:eastAsia="微软雅黑"/>
          <w:b/>
          <w:bCs/>
          <w:color w:val="auto"/>
          <w:sz w:val="36"/>
          <w:szCs w:val="36"/>
          <w:highlight w:val="none"/>
        </w:rPr>
        <w:t>项目验收报告</w:t>
      </w:r>
    </w:p>
    <w:p>
      <w:pPr>
        <w:adjustRightInd w:val="0"/>
        <w:snapToGrid w:val="0"/>
        <w:spacing w:after="200"/>
        <w:ind w:right="844"/>
        <w:jc w:val="center"/>
        <w:rPr>
          <w:rFonts w:ascii="宋体" w:hAnsi="宋体" w:eastAsia="微软雅黑"/>
          <w:b/>
          <w:bCs/>
          <w:color w:val="auto"/>
          <w:sz w:val="22"/>
          <w:szCs w:val="21"/>
          <w:highlight w:val="none"/>
        </w:rPr>
      </w:pPr>
      <w:r>
        <w:rPr>
          <w:rFonts w:hint="eastAsia" w:ascii="宋体" w:hAnsi="宋体" w:eastAsia="微软雅黑"/>
          <w:b/>
          <w:bCs/>
          <w:color w:val="auto"/>
          <w:sz w:val="22"/>
          <w:szCs w:val="21"/>
          <w:highlight w:val="none"/>
        </w:rPr>
        <w:t>年    月    日</w:t>
      </w: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8"/>
        <w:gridCol w:w="1215"/>
        <w:gridCol w:w="5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ind w:firstLine="2860" w:firstLineChars="13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合同号</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合同名称</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甲方项目负责人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乙方项目负责人</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r>
              <w:rPr>
                <w:rFonts w:hint="eastAsia" w:ascii="宋体" w:hAnsi="宋体" w:eastAsia="微软雅黑"/>
                <w:color w:val="auto"/>
                <w:sz w:val="22"/>
                <w:szCs w:val="22"/>
                <w:highlight w:val="none"/>
              </w:rPr>
              <w:t>验收参加人员</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甲方：</w:t>
            </w:r>
          </w:p>
          <w:p>
            <w:pPr>
              <w:adjustRightInd w:val="0"/>
              <w:snapToGrid w:val="0"/>
              <w:spacing w:after="200"/>
              <w:jc w:val="left"/>
              <w:rPr>
                <w:rFonts w:ascii="宋体" w:hAnsi="宋体" w:eastAsia="微软雅黑"/>
                <w:color w:val="auto"/>
                <w:sz w:val="22"/>
                <w:highlight w:val="none"/>
              </w:rPr>
            </w:pPr>
            <w:r>
              <w:rPr>
                <w:rFonts w:hint="eastAsia" w:ascii="宋体" w:hAnsi="宋体" w:eastAsia="微软雅黑"/>
                <w:color w:val="auto"/>
                <w:sz w:val="22"/>
                <w:szCs w:val="22"/>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主要完成工作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1.乙方协助甲方，完成项目入场前的软件、硬件准备工作。</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2.乙方系统经安装调试符合《销售合同》的要求。</w:t>
            </w:r>
          </w:p>
          <w:p>
            <w:pPr>
              <w:adjustRightInd w:val="0"/>
              <w:snapToGrid w:val="0"/>
              <w:spacing w:after="200"/>
              <w:jc w:val="left"/>
              <w:rPr>
                <w:rFonts w:ascii="宋体" w:hAnsi="宋体" w:eastAsia="微软雅黑"/>
                <w:color w:val="auto"/>
                <w:sz w:val="22"/>
                <w:szCs w:val="22"/>
                <w:highlight w:val="none"/>
              </w:rPr>
            </w:pPr>
            <w:r>
              <w:rPr>
                <w:rFonts w:hint="eastAsia" w:ascii="宋体" w:hAnsi="宋体" w:eastAsia="微软雅黑"/>
                <w:color w:val="auto"/>
                <w:sz w:val="22"/>
                <w:szCs w:val="22"/>
                <w:highlight w:val="none"/>
              </w:rPr>
              <w:t>3.乙方完成甲方相关应用人员及维护人员的培训工作。</w:t>
            </w:r>
          </w:p>
          <w:p>
            <w:pPr>
              <w:adjustRightInd w:val="0"/>
              <w:snapToGrid w:val="0"/>
              <w:spacing w:after="200"/>
              <w:jc w:val="left"/>
              <w:rPr>
                <w:rFonts w:ascii="宋体" w:hAnsi="宋体"/>
                <w:color w:val="auto"/>
                <w:szCs w:val="22"/>
                <w:highlight w:val="none"/>
              </w:rPr>
            </w:pPr>
            <w:r>
              <w:rPr>
                <w:rFonts w:hint="eastAsia" w:ascii="宋体" w:hAnsi="宋体" w:eastAsia="微软雅黑"/>
                <w:color w:val="auto"/>
                <w:sz w:val="22"/>
                <w:szCs w:val="22"/>
                <w:highlight w:val="none"/>
              </w:rPr>
              <w:t>4.乙方在项目撤场阶段与甲方信息科或临床科室项目负责人已完成相关文档资料移交。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33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甲方验收意见</w:t>
            </w:r>
          </w:p>
        </w:tc>
        <w:tc>
          <w:tcPr>
            <w:tcW w:w="66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543"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甲方代表签字（盖章）</w:t>
            </w:r>
          </w:p>
        </w:tc>
        <w:tc>
          <w:tcPr>
            <w:tcW w:w="54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jc w:val="center"/>
              <w:rPr>
                <w:rFonts w:ascii="宋体" w:hAnsi="宋体" w:eastAsia="微软雅黑"/>
                <w:b/>
                <w:color w:val="auto"/>
                <w:sz w:val="22"/>
                <w:highlight w:val="none"/>
              </w:rPr>
            </w:pPr>
            <w:r>
              <w:rPr>
                <w:rFonts w:hint="eastAsia" w:ascii="宋体" w:hAnsi="宋体" w:eastAsia="微软雅黑"/>
                <w:b/>
                <w:color w:val="auto"/>
                <w:sz w:val="22"/>
                <w:szCs w:val="22"/>
                <w:highlight w:val="none"/>
              </w:rPr>
              <w:t>乙方代表签字（盖章）</w:t>
            </w:r>
          </w:p>
        </w:tc>
      </w:tr>
    </w:tbl>
    <w:p>
      <w:pPr>
        <w:pStyle w:val="5"/>
        <w:ind w:firstLine="643"/>
        <w:rPr>
          <w:b/>
          <w:bCs/>
          <w:color w:val="auto"/>
          <w:sz w:val="32"/>
          <w:szCs w:val="32"/>
          <w:highlight w:val="none"/>
        </w:rPr>
      </w:pPr>
    </w:p>
    <w:p>
      <w:pPr>
        <w:pStyle w:val="9"/>
        <w:rPr>
          <w:rFonts w:hint="eastAsia" w:ascii="宋体" w:hAnsi="宋体" w:eastAsia="宋体" w:cs="宋体"/>
          <w:color w:val="auto"/>
          <w:sz w:val="24"/>
          <w:szCs w:val="24"/>
          <w:highlight w:val="none"/>
        </w:rPr>
      </w:pPr>
    </w:p>
    <w:p>
      <w:pPr>
        <w:rPr>
          <w:rFonts w:hint="eastAsia" w:ascii="仿宋" w:hAnsi="仿宋" w:eastAsia="仿宋" w:cs="仿宋"/>
          <w:b/>
          <w:color w:val="auto"/>
          <w:kern w:val="0"/>
          <w:sz w:val="28"/>
          <w:szCs w:val="28"/>
          <w:highlight w:val="none"/>
        </w:rPr>
      </w:pP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第五部分  响应文件格式</w:t>
      </w:r>
    </w:p>
    <w:p>
      <w:pPr>
        <w:pStyle w:val="11"/>
        <w:adjustRightInd w:val="0"/>
        <w:snapToGrid w:val="0"/>
        <w:spacing w:line="440" w:lineRule="exact"/>
        <w:jc w:val="center"/>
        <w:rPr>
          <w:rFonts w:hint="eastAsia" w:ascii="仿宋" w:hAnsi="仿宋" w:eastAsia="仿宋" w:cs="仿宋"/>
          <w:b/>
          <w:color w:val="auto"/>
          <w:kern w:val="0"/>
          <w:sz w:val="28"/>
          <w:szCs w:val="28"/>
          <w:highlight w:val="none"/>
        </w:rPr>
      </w:pPr>
    </w:p>
    <w:p>
      <w:pPr>
        <w:spacing w:line="360" w:lineRule="auto"/>
        <w:ind w:left="-930" w:firstLine="48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一、供应商应提供有效的公司资质或厂家资质、业务代表授权书、质量保证承诺书等。</w:t>
      </w:r>
    </w:p>
    <w:p>
      <w:pPr>
        <w:spacing w:line="360" w:lineRule="auto"/>
        <w:ind w:left="-930" w:firstLine="480"/>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二、</w:t>
      </w:r>
      <w:r>
        <w:rPr>
          <w:rFonts w:hint="eastAsia" w:ascii="仿宋" w:hAnsi="仿宋" w:eastAsia="仿宋" w:cs="仿宋"/>
          <w:color w:val="auto"/>
          <w:sz w:val="24"/>
          <w:highlight w:val="none"/>
          <w:u w:val="single"/>
          <w:lang w:val="zh-CN"/>
        </w:rPr>
        <w:t>响应文件每页均应认真填写并加盖公章，包括附件，未盖章视为响应无效文件。所有页面必须清晰可分辨阅读，凡是有页面（含复印件）不清晰经专家讨论认为无法分辨的视为响应无效文件。</w:t>
      </w:r>
    </w:p>
    <w:p>
      <w:pPr>
        <w:spacing w:line="360" w:lineRule="auto"/>
        <w:ind w:left="-930" w:firstLine="480"/>
        <w:rPr>
          <w:rFonts w:hint="eastAsia" w:ascii="仿宋" w:hAnsi="仿宋" w:eastAsia="仿宋" w:cs="仿宋"/>
          <w:b/>
          <w:color w:val="auto"/>
          <w:sz w:val="24"/>
          <w:highlight w:val="none"/>
          <w:u w:val="singl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u w:val="single"/>
        </w:rPr>
        <w:t>响应供应商必须按照以下顺序进行响应书</w:t>
      </w:r>
      <w:r>
        <w:rPr>
          <w:rFonts w:hint="eastAsia" w:ascii="仿宋" w:hAnsi="仿宋" w:eastAsia="仿宋" w:cs="仿宋"/>
          <w:b/>
          <w:bCs/>
          <w:color w:val="auto"/>
          <w:sz w:val="24"/>
          <w:highlight w:val="none"/>
          <w:u w:val="single"/>
        </w:rPr>
        <w:t>编排装订（至少要简单装订成册，不得随意用回形针之类的别住）及盖章密封标记</w:t>
      </w:r>
      <w:r>
        <w:rPr>
          <w:rFonts w:hint="eastAsia" w:ascii="仿宋" w:hAnsi="仿宋" w:eastAsia="仿宋" w:cs="仿宋"/>
          <w:color w:val="auto"/>
          <w:sz w:val="24"/>
          <w:highlight w:val="none"/>
          <w:u w:val="single"/>
        </w:rPr>
        <w:t>，文件袋必须贴封条密封盖章，注明</w:t>
      </w:r>
      <w:r>
        <w:rPr>
          <w:rFonts w:hint="eastAsia" w:ascii="仿宋" w:hAnsi="仿宋" w:eastAsia="仿宋" w:cs="仿宋"/>
          <w:color w:val="auto"/>
          <w:sz w:val="24"/>
          <w:highlight w:val="none"/>
          <w:u w:val="single"/>
          <w:lang w:val="en-US" w:eastAsia="zh-CN"/>
        </w:rPr>
        <w:t>项目名称</w:t>
      </w:r>
      <w:r>
        <w:rPr>
          <w:rFonts w:hint="eastAsia" w:ascii="仿宋" w:hAnsi="仿宋" w:eastAsia="仿宋" w:cs="仿宋"/>
          <w:color w:val="auto"/>
          <w:sz w:val="24"/>
          <w:highlight w:val="none"/>
          <w:u w:val="single"/>
        </w:rPr>
        <w:t>，</w:t>
      </w:r>
      <w:r>
        <w:rPr>
          <w:rFonts w:hint="eastAsia" w:ascii="仿宋" w:hAnsi="仿宋" w:eastAsia="仿宋" w:cs="仿宋"/>
          <w:b/>
          <w:color w:val="auto"/>
          <w:sz w:val="24"/>
          <w:highlight w:val="none"/>
          <w:u w:val="single"/>
        </w:rPr>
        <w:t>一式</w:t>
      </w:r>
      <w:r>
        <w:rPr>
          <w:rFonts w:hint="eastAsia" w:ascii="仿宋" w:hAnsi="仿宋" w:eastAsia="仿宋" w:cs="仿宋"/>
          <w:b/>
          <w:color w:val="auto"/>
          <w:sz w:val="24"/>
          <w:highlight w:val="none"/>
          <w:u w:val="single"/>
          <w:lang w:eastAsia="zh-CN"/>
        </w:rPr>
        <w:t>两</w:t>
      </w:r>
      <w:r>
        <w:rPr>
          <w:rFonts w:hint="eastAsia" w:ascii="仿宋" w:hAnsi="仿宋" w:eastAsia="仿宋" w:cs="仿宋"/>
          <w:b/>
          <w:color w:val="auto"/>
          <w:sz w:val="24"/>
          <w:highlight w:val="none"/>
          <w:u w:val="single"/>
        </w:rPr>
        <w:t>份。</w:t>
      </w:r>
    </w:p>
    <w:p>
      <w:pPr>
        <w:spacing w:line="360" w:lineRule="auto"/>
        <w:ind w:left="-930" w:firstLine="4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四、响应文件散乱未装订者不予评审，按响应无效处理；响应供应商因响应文件未装订而造成评审中资料遗失影响评审结果的，后果自负。</w:t>
      </w: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ascii="仿宋" w:hAnsi="仿宋" w:eastAsia="仿宋" w:cs="仿宋"/>
          <w:b/>
          <w:bCs/>
          <w:color w:val="auto"/>
          <w:sz w:val="24"/>
          <w:highlight w:val="none"/>
          <w:u w:val="single"/>
        </w:rPr>
      </w:pPr>
    </w:p>
    <w:p>
      <w:pPr>
        <w:spacing w:line="360" w:lineRule="auto"/>
        <w:ind w:left="-930" w:firstLine="480"/>
        <w:rPr>
          <w:rFonts w:hint="eastAsia" w:ascii="仿宋" w:hAnsi="仿宋" w:eastAsia="仿宋" w:cs="仿宋"/>
          <w:b/>
          <w:bCs/>
          <w:color w:val="auto"/>
          <w:sz w:val="24"/>
          <w:highlight w:val="none"/>
          <w:u w:val="single"/>
        </w:rPr>
      </w:pPr>
      <w:r>
        <w:rPr>
          <w:rFonts w:hint="eastAsia" w:ascii="仿宋" w:hAnsi="仿宋" w:eastAsia="仿宋" w:cs="仿宋"/>
          <w:b/>
          <w:bCs/>
          <w:color w:val="auto"/>
          <w:sz w:val="24"/>
          <w:highlight w:val="none"/>
          <w:u w:val="single"/>
        </w:rPr>
        <w:t>响应文件格式如下：</w:t>
      </w:r>
    </w:p>
    <w:p>
      <w:pPr>
        <w:pStyle w:val="11"/>
        <w:adjustRightInd w:val="0"/>
        <w:snapToGrid w:val="0"/>
        <w:spacing w:line="360" w:lineRule="auto"/>
        <w:jc w:val="center"/>
        <w:rPr>
          <w:rFonts w:hint="eastAsia" w:ascii="仿宋" w:hAnsi="仿宋" w:eastAsia="仿宋" w:cs="仿宋"/>
          <w:b/>
          <w:color w:val="auto"/>
          <w:kern w:val="0"/>
          <w:sz w:val="72"/>
          <w:szCs w:val="72"/>
          <w:highlight w:val="none"/>
        </w:rPr>
      </w:pPr>
    </w:p>
    <w:p>
      <w:pPr>
        <w:pStyle w:val="11"/>
        <w:adjustRightInd w:val="0"/>
        <w:snapToGrid w:val="0"/>
        <w:spacing w:line="360" w:lineRule="auto"/>
        <w:rPr>
          <w:rFonts w:hint="eastAsia" w:ascii="仿宋" w:hAnsi="仿宋" w:eastAsia="仿宋" w:cs="仿宋"/>
          <w:b/>
          <w:color w:val="auto"/>
          <w:kern w:val="0"/>
          <w:sz w:val="72"/>
          <w:szCs w:val="72"/>
          <w:highlight w:val="none"/>
        </w:rPr>
      </w:pPr>
      <w:r>
        <w:rPr>
          <w:rFonts w:hint="eastAsia" w:ascii="仿宋" w:hAnsi="仿宋" w:eastAsia="仿宋" w:cs="仿宋"/>
          <w:b/>
          <w:color w:val="auto"/>
          <w:kern w:val="0"/>
          <w:sz w:val="72"/>
          <w:szCs w:val="72"/>
          <w:highlight w:val="none"/>
        </w:rPr>
        <w:br w:type="page"/>
      </w:r>
    </w:p>
    <w:p>
      <w:pPr>
        <w:pStyle w:val="11"/>
        <w:adjustRightInd w:val="0"/>
        <w:snapToGrid w:val="0"/>
        <w:spacing w:line="360" w:lineRule="auto"/>
        <w:jc w:val="center"/>
        <w:rPr>
          <w:rFonts w:hint="eastAsia" w:ascii="仿宋" w:hAnsi="仿宋" w:eastAsia="仿宋" w:cs="仿宋"/>
          <w:b/>
          <w:color w:val="auto"/>
          <w:kern w:val="0"/>
          <w:sz w:val="84"/>
          <w:szCs w:val="84"/>
          <w:highlight w:val="none"/>
        </w:rPr>
      </w:pPr>
      <w:r>
        <w:rPr>
          <w:rFonts w:hint="eastAsia" w:ascii="仿宋" w:hAnsi="仿宋" w:eastAsia="仿宋" w:cs="仿宋"/>
          <w:b/>
          <w:color w:val="auto"/>
          <w:kern w:val="0"/>
          <w:sz w:val="72"/>
          <w:szCs w:val="72"/>
          <w:highlight w:val="none"/>
        </w:rPr>
        <w:t>响 应 文 件</w:t>
      </w:r>
    </w:p>
    <w:p>
      <w:pPr>
        <w:pStyle w:val="11"/>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（正本/副本）</w:t>
      </w:r>
    </w:p>
    <w:p>
      <w:pPr>
        <w:pStyle w:val="11"/>
        <w:adjustRightInd w:val="0"/>
        <w:snapToGrid w:val="0"/>
        <w:spacing w:line="360" w:lineRule="auto"/>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eastAsia="zh-CN"/>
        </w:rPr>
        <w:t>惠州市第一妇幼保健院</w:t>
      </w:r>
      <w:r>
        <w:rPr>
          <w:rFonts w:hint="eastAsia" w:ascii="仿宋" w:hAnsi="仿宋" w:eastAsia="仿宋" w:cs="仿宋"/>
          <w:b/>
          <w:color w:val="auto"/>
          <w:sz w:val="28"/>
          <w:szCs w:val="28"/>
          <w:highlight w:val="none"/>
        </w:rPr>
        <w:t>院内比选）</w:t>
      </w:r>
    </w:p>
    <w:p>
      <w:pPr>
        <w:pStyle w:val="11"/>
        <w:spacing w:line="360" w:lineRule="auto"/>
        <w:rPr>
          <w:rFonts w:hint="eastAsia" w:ascii="仿宋" w:hAnsi="仿宋" w:eastAsia="仿宋" w:cs="仿宋"/>
          <w:b/>
          <w:color w:val="auto"/>
          <w:sz w:val="28"/>
          <w:szCs w:val="28"/>
          <w:highlight w:val="none"/>
        </w:rPr>
      </w:pPr>
    </w:p>
    <w:p>
      <w:pPr>
        <w:pStyle w:val="11"/>
        <w:spacing w:line="360" w:lineRule="auto"/>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 xml:space="preserve">    项目编号：</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w:t>
      </w:r>
    </w:p>
    <w:p>
      <w:pPr>
        <w:pStyle w:val="11"/>
        <w:adjustRightInd w:val="0"/>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    项目名称： </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lang w:eastAsia="zh-CN"/>
        </w:rPr>
      </w:pPr>
      <w:r>
        <w:rPr>
          <w:rFonts w:hint="eastAsia" w:ascii="仿宋" w:hAnsi="仿宋" w:eastAsia="仿宋" w:cs="仿宋"/>
          <w:b/>
          <w:color w:val="auto"/>
          <w:kern w:val="0"/>
          <w:sz w:val="24"/>
          <w:szCs w:val="24"/>
          <w:highlight w:val="none"/>
        </w:rPr>
        <w:t xml:space="preserve">响应供应商：                              </w:t>
      </w:r>
      <w:r>
        <w:rPr>
          <w:rFonts w:hint="eastAsia" w:ascii="仿宋" w:hAnsi="仿宋" w:eastAsia="仿宋" w:cs="仿宋"/>
          <w:b/>
          <w:color w:val="auto"/>
          <w:kern w:val="0"/>
          <w:sz w:val="24"/>
          <w:szCs w:val="24"/>
          <w:highlight w:val="none"/>
          <w:lang w:eastAsia="zh-CN"/>
        </w:rPr>
        <w:t>盖章</w:t>
      </w:r>
    </w:p>
    <w:p>
      <w:pPr>
        <w:pStyle w:val="11"/>
        <w:adjustRightInd w:val="0"/>
        <w:snapToGrid w:val="0"/>
        <w:spacing w:line="440" w:lineRule="exact"/>
        <w:rPr>
          <w:rFonts w:hint="eastAsia" w:ascii="仿宋" w:hAnsi="仿宋" w:eastAsia="仿宋" w:cs="仿宋"/>
          <w:b/>
          <w:color w:val="auto"/>
          <w:kern w:val="0"/>
          <w:sz w:val="24"/>
          <w:szCs w:val="24"/>
          <w:highlight w:val="none"/>
        </w:rPr>
      </w:pPr>
    </w:p>
    <w:p>
      <w:pPr>
        <w:pStyle w:val="11"/>
        <w:adjustRightInd w:val="0"/>
        <w:snapToGrid w:val="0"/>
        <w:spacing w:line="440" w:lineRule="exact"/>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日      期：</w:t>
      </w:r>
    </w:p>
    <w:p>
      <w:pPr>
        <w:pStyle w:val="11"/>
        <w:adjustRightInd w:val="0"/>
        <w:snapToGrid w:val="0"/>
        <w:spacing w:line="440" w:lineRule="exact"/>
        <w:rPr>
          <w:rFonts w:hint="eastAsia"/>
          <w:color w:val="auto"/>
          <w:highlight w:val="none"/>
        </w:rPr>
      </w:pPr>
      <w:r>
        <w:rPr>
          <w:color w:val="auto"/>
          <w:highlight w:val="none"/>
        </w:rPr>
        <w:br w:type="page"/>
      </w:r>
      <w:r>
        <w:rPr>
          <w:rFonts w:hint="eastAsia" w:ascii="仿宋" w:hAnsi="仿宋" w:eastAsia="仿宋" w:cs="仿宋"/>
          <w:b/>
          <w:bCs/>
          <w:color w:val="auto"/>
          <w:sz w:val="28"/>
          <w:highlight w:val="none"/>
        </w:rPr>
        <w:t>1 资格性/符合性自查表</w:t>
      </w:r>
    </w:p>
    <w:tbl>
      <w:tblPr>
        <w:tblStyle w:val="16"/>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0"/>
        <w:gridCol w:w="4185"/>
        <w:gridCol w:w="1850"/>
        <w:gridCol w:w="1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gridSpan w:val="2"/>
            <w:noWrap w:val="0"/>
            <w:vAlign w:val="top"/>
          </w:tcPr>
          <w:p>
            <w:pPr>
              <w:jc w:val="center"/>
              <w:rPr>
                <w:rFonts w:hint="eastAsia"/>
                <w:color w:val="auto"/>
                <w:highlight w:val="none"/>
              </w:rPr>
            </w:pPr>
            <w:r>
              <w:rPr>
                <w:rFonts w:hint="eastAsia" w:ascii="仿宋" w:hAnsi="仿宋" w:eastAsia="仿宋" w:cs="仿宋"/>
                <w:b/>
                <w:bCs/>
                <w:color w:val="auto"/>
                <w:szCs w:val="21"/>
                <w:highlight w:val="none"/>
              </w:rPr>
              <w:t>评审内容</w:t>
            </w:r>
          </w:p>
        </w:tc>
        <w:tc>
          <w:tcPr>
            <w:tcW w:w="4185"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采购文件要求</w:t>
            </w:r>
          </w:p>
        </w:tc>
        <w:tc>
          <w:tcPr>
            <w:tcW w:w="1850"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自查结论</w:t>
            </w:r>
          </w:p>
        </w:tc>
        <w:tc>
          <w:tcPr>
            <w:tcW w:w="1204" w:type="dxa"/>
            <w:noWrap w:val="0"/>
            <w:vAlign w:val="center"/>
          </w:tcPr>
          <w:p>
            <w:pPr>
              <w:ind w:left="-171"/>
              <w:jc w:val="center"/>
              <w:rPr>
                <w:rFonts w:hint="eastAsia"/>
                <w:color w:val="auto"/>
                <w:highlight w:val="none"/>
              </w:rPr>
            </w:pPr>
            <w:r>
              <w:rPr>
                <w:rFonts w:hint="eastAsia" w:ascii="仿宋" w:hAnsi="仿宋" w:eastAsia="仿宋" w:cs="仿宋"/>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846" w:type="dxa"/>
            <w:vMerge w:val="restart"/>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rPr>
              <w:t>资格性审查</w:t>
            </w:r>
          </w:p>
        </w:tc>
        <w:tc>
          <w:tcPr>
            <w:tcW w:w="1130"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rPr>
              <w:t>具有独立承担民事责任能力</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在中华人民共和国境内注册的具有独立承担民事责任能力的法人或其他组织（提供营业执照等证明文件）；</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具有良好的商业信誉和健全的财务会计制度</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供应商必须具有良好的商业信誉和健全的财务会计制度。可提供：①</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年至今任意一年经审计的审计报告复印件（包含审计报告中所涉及的财务报表和报表附注）；或②</w:t>
            </w:r>
            <w:r>
              <w:rPr>
                <w:rFonts w:hint="eastAsia" w:ascii="仿宋" w:hAnsi="仿宋" w:eastAsia="仿宋" w:cs="仿宋"/>
                <w:color w:val="auto"/>
                <w:highlight w:val="none"/>
                <w:lang w:eastAsia="zh-CN"/>
              </w:rPr>
              <w:t>2022</w:t>
            </w:r>
            <w:r>
              <w:rPr>
                <w:rFonts w:hint="eastAsia" w:ascii="仿宋" w:hAnsi="仿宋" w:eastAsia="仿宋" w:cs="仿宋"/>
                <w:color w:val="auto"/>
                <w:highlight w:val="none"/>
              </w:rPr>
              <w:t>年度至今任意一年</w:t>
            </w:r>
            <w:r>
              <w:rPr>
                <w:rFonts w:hint="eastAsia" w:ascii="仿宋" w:hAnsi="仿宋" w:eastAsia="仿宋" w:cs="仿宋"/>
                <w:color w:val="auto"/>
                <w:highlight w:val="none"/>
                <w:lang w:eastAsia="zh-CN"/>
              </w:rPr>
              <w:t>响应供应商</w:t>
            </w:r>
            <w:r>
              <w:rPr>
                <w:rFonts w:hint="eastAsia" w:ascii="仿宋" w:hAnsi="仿宋" w:eastAsia="仿宋" w:cs="仿宋"/>
                <w:color w:val="auto"/>
                <w:highlight w:val="none"/>
              </w:rPr>
              <w:t>内部的财务报表复印件（新成立公司提供成立至今的月或季度财务报表复印件）；或③截至</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文件递交截止日</w:t>
            </w:r>
            <w:r>
              <w:rPr>
                <w:rFonts w:hint="eastAsia" w:ascii="仿宋" w:hAnsi="仿宋" w:eastAsia="仿宋" w:cs="仿宋"/>
                <w:color w:val="auto"/>
                <w:highlight w:val="none"/>
                <w:lang w:eastAsia="zh-CN"/>
              </w:rPr>
              <w:t>12个月内银行</w:t>
            </w:r>
            <w:r>
              <w:rPr>
                <w:rFonts w:hint="eastAsia" w:ascii="仿宋" w:hAnsi="仿宋" w:eastAsia="仿宋" w:cs="仿宋"/>
                <w:color w:val="auto"/>
                <w:highlight w:val="none"/>
              </w:rPr>
              <w:t>出具的资信证明（复印件）</w:t>
            </w:r>
            <w:r>
              <w:rPr>
                <w:rFonts w:hint="eastAsia" w:ascii="仿宋" w:hAnsi="仿宋" w:eastAsia="仿宋" w:cs="仿宋"/>
                <w:color w:val="auto"/>
                <w:highlight w:val="none"/>
                <w:lang w:eastAsia="zh-CN"/>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3.有</w:t>
            </w:r>
            <w:r>
              <w:rPr>
                <w:rFonts w:hint="eastAsia" w:ascii="仿宋" w:hAnsi="仿宋" w:eastAsia="仿宋" w:cs="仿宋"/>
                <w:color w:val="auto"/>
                <w:highlight w:val="none"/>
              </w:rPr>
              <w:t>依法缴纳税收</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比选截止时间近12个月内任意一个月的依法缴纳税收证明材料（如依法免税，则须提供相应文件证明其依法免税）；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4.有</w:t>
            </w:r>
            <w:r>
              <w:rPr>
                <w:rFonts w:hint="eastAsia" w:ascii="仿宋" w:hAnsi="仿宋" w:eastAsia="仿宋" w:cs="仿宋"/>
                <w:color w:val="auto"/>
                <w:highlight w:val="none"/>
              </w:rPr>
              <w:t>依法缴纳社会保险凭据</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highlight w:val="none"/>
              </w:rPr>
              <w:t>比选截止时间近12个月内任意一个月的依法缴纳社会保险凭据（如依法不需要缴纳社保，则须提供相应文件证明其依法不需要缴纳）</w:t>
            </w:r>
            <w:r>
              <w:rPr>
                <w:rFonts w:hint="eastAsia" w:ascii="仿宋" w:hAnsi="仿宋" w:eastAsia="仿宋" w:cs="仿宋"/>
                <w:color w:val="auto"/>
                <w:szCs w:val="21"/>
                <w:highlight w:val="none"/>
              </w:rPr>
              <w:t>或书面声明</w:t>
            </w:r>
            <w:r>
              <w:rPr>
                <w:rFonts w:hint="eastAsia" w:ascii="仿宋" w:hAnsi="仿宋" w:eastAsia="仿宋" w:cs="仿宋"/>
                <w:color w:val="auto"/>
                <w:highlight w:val="none"/>
              </w:rPr>
              <w:t>；</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履行合同所必需的设备和专业技术能力</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履行合同所必需的设备和专业技术能力的证明材料或书面声明；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没有重大违法记录</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参加政府采购活动前3年内在经营活动中没有重大违法记录的书面声明。</w:t>
            </w:r>
          </w:p>
        </w:tc>
        <w:tc>
          <w:tcPr>
            <w:tcW w:w="1850" w:type="dxa"/>
            <w:noWrap w:val="0"/>
            <w:vAlign w:val="center"/>
          </w:tcPr>
          <w:p>
            <w:pPr>
              <w:ind w:left="-171" w:lef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7.信用记录</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8.控股关系</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单位负责人为同一人或者存在直接控股、管理关系的不同供应商，不得参加同一包号</w:t>
            </w:r>
            <w:r>
              <w:rPr>
                <w:rFonts w:hint="eastAsia" w:ascii="仿宋" w:hAnsi="仿宋" w:eastAsia="仿宋" w:cs="仿宋"/>
                <w:color w:val="auto"/>
                <w:szCs w:val="21"/>
                <w:highlight w:val="none"/>
                <w:lang w:val="en-US" w:eastAsia="zh-CN"/>
              </w:rPr>
              <w:t>比选</w:t>
            </w:r>
            <w:r>
              <w:rPr>
                <w:rFonts w:hint="eastAsia" w:ascii="仿宋" w:hAnsi="仿宋" w:eastAsia="仿宋" w:cs="仿宋"/>
                <w:color w:val="auto"/>
                <w:szCs w:val="21"/>
                <w:highlight w:val="none"/>
                <w:lang w:val="zh-CN"/>
              </w:rPr>
              <w:t>或者未划分包号的同一采购项目。（供应商出具声明函）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9.不得参加本项目情况</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zh-CN"/>
              </w:rPr>
              <w:t>为本采购项目提供整体设计、规范编制或者项目管理、监理、检测等服务的供应商，不得再参加本采购项目的采购活动。（供应商出具声明函）</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10.联合体</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本项目不接受联合体参加比选，不允许响应供应商对各比选项目进行分包或转包</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供应商出具声明函</w:t>
            </w:r>
            <w:r>
              <w:rPr>
                <w:rFonts w:hint="eastAsia" w:ascii="仿宋" w:hAnsi="仿宋" w:eastAsia="仿宋" w:cs="仿宋"/>
                <w:color w:val="auto"/>
                <w:szCs w:val="21"/>
                <w:highlight w:val="none"/>
                <w:lang w:eastAsia="zh-CN"/>
              </w:rPr>
              <w:t>）。</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11.落实政府采购政策需满足的资格要求</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本项目是专门面向中小企业采购的项目。（提供《中小企业声明函》</w:t>
            </w:r>
            <w:r>
              <w:rPr>
                <w:rFonts w:hint="eastAsia" w:ascii="仿宋" w:hAnsi="仿宋" w:eastAsia="仿宋" w:cs="仿宋"/>
                <w:color w:val="auto"/>
                <w:szCs w:val="21"/>
                <w:highlight w:val="none"/>
                <w:lang w:eastAsia="zh-CN"/>
              </w:rPr>
              <w:t>，具体格式文件见比价文件P45中小企业声明函（工程、服务）</w:t>
            </w:r>
            <w:r>
              <w:rPr>
                <w:rFonts w:hint="eastAsia" w:ascii="仿宋" w:hAnsi="仿宋" w:eastAsia="仿宋" w:cs="仿宋"/>
                <w:color w:val="auto"/>
                <w:szCs w:val="21"/>
                <w:highlight w:val="none"/>
                <w:lang w:val="hr-HR" w:eastAsia="zh-CN"/>
              </w:rPr>
              <w:t>，未按要求提供声明函的将导致响应无效</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。本项目中小企业划分标准所属行业为</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软件和信息技术服务业</w:t>
            </w:r>
            <w:r>
              <w:rPr>
                <w:rFonts w:hint="eastAsia" w:ascii="仿宋" w:hAnsi="仿宋" w:eastAsia="仿宋" w:cs="仿宋"/>
                <w:color w:val="auto"/>
                <w:szCs w:val="21"/>
                <w:highlight w:val="none"/>
                <w:lang w:eastAsia="zh-CN"/>
              </w:rPr>
              <w:t>。</w:t>
            </w:r>
          </w:p>
        </w:tc>
        <w:tc>
          <w:tcPr>
            <w:tcW w:w="1850" w:type="dxa"/>
            <w:noWrap w:val="0"/>
            <w:vAlign w:val="center"/>
          </w:tcPr>
          <w:p>
            <w:pPr>
              <w:ind w:left="-171" w:leftChars="0"/>
              <w:jc w:val="center"/>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noWrap w:val="0"/>
            <w:vAlign w:val="center"/>
          </w:tcPr>
          <w:p>
            <w:pPr>
              <w:jc w:val="center"/>
              <w:rPr>
                <w:rFonts w:hint="eastAsia"/>
                <w:color w:val="auto"/>
                <w:highlight w:val="none"/>
              </w:rPr>
            </w:pPr>
          </w:p>
        </w:tc>
        <w:tc>
          <w:tcPr>
            <w:tcW w:w="1130"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12.报名</w:t>
            </w:r>
          </w:p>
        </w:tc>
        <w:tc>
          <w:tcPr>
            <w:tcW w:w="4185" w:type="dxa"/>
            <w:noWrap w:val="0"/>
            <w:vAlign w:val="center"/>
          </w:tcPr>
          <w:p>
            <w:pPr>
              <w:spacing w:line="380" w:lineRule="exact"/>
              <w:ind w:left="40" w:leftChars="19"/>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已在医院办公室报名。</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46" w:type="dxa"/>
            <w:vMerge w:val="restart"/>
            <w:noWrap w:val="0"/>
            <w:vAlign w:val="center"/>
          </w:tcPr>
          <w:p>
            <w:pPr>
              <w:spacing w:line="380" w:lineRule="exact"/>
              <w:ind w:left="40" w:leftChars="19"/>
              <w:jc w:val="center"/>
              <w:rPr>
                <w:rFonts w:hint="eastAsia"/>
                <w:color w:val="auto"/>
                <w:highlight w:val="none"/>
              </w:rPr>
            </w:pPr>
            <w:r>
              <w:rPr>
                <w:rFonts w:hint="eastAsia" w:ascii="仿宋" w:hAnsi="仿宋" w:eastAsia="仿宋" w:cs="仿宋"/>
                <w:color w:val="auto"/>
                <w:szCs w:val="21"/>
                <w:highlight w:val="none"/>
              </w:rPr>
              <w:t>符合性审查</w:t>
            </w:r>
          </w:p>
        </w:tc>
        <w:tc>
          <w:tcPr>
            <w:tcW w:w="1130"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文件签署</w:t>
            </w:r>
          </w:p>
        </w:tc>
        <w:tc>
          <w:tcPr>
            <w:tcW w:w="4185" w:type="dxa"/>
            <w:noWrap w:val="0"/>
            <w:vAlign w:val="center"/>
          </w:tcPr>
          <w:p>
            <w:pPr>
              <w:tabs>
                <w:tab w:val="left" w:pos="2880"/>
              </w:tabs>
              <w:spacing w:line="38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按照比选文件规定要求签署、盖章且响应文件有法定代表人签字或盖个人名章（或签字人有法定代表人有效授权书）的。</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ind w:left="40" w:leftChars="19"/>
              <w:jc w:val="center"/>
              <w:rPr>
                <w:rFonts w:hint="eastAsia"/>
                <w:color w:val="auto"/>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响应有效期</w:t>
            </w:r>
          </w:p>
        </w:tc>
        <w:tc>
          <w:tcPr>
            <w:tcW w:w="4185" w:type="dxa"/>
            <w:noWrap w:val="0"/>
            <w:vAlign w:val="center"/>
          </w:tcPr>
          <w:p>
            <w:pPr>
              <w:tabs>
                <w:tab w:val="left" w:pos="2880"/>
              </w:tabs>
              <w:spacing w:line="380" w:lineRule="exact"/>
              <w:jc w:val="left"/>
              <w:rPr>
                <w:rFonts w:hint="eastAsia"/>
                <w:color w:val="auto"/>
                <w:highlight w:val="none"/>
              </w:rPr>
            </w:pPr>
            <w:r>
              <w:rPr>
                <w:rFonts w:hint="eastAsia" w:ascii="仿宋" w:hAnsi="仿宋" w:eastAsia="仿宋" w:cs="仿宋"/>
                <w:color w:val="auto"/>
                <w:szCs w:val="21"/>
                <w:highlight w:val="none"/>
                <w:lang w:eastAsia="zh-CN"/>
              </w:rPr>
              <w:t>响应函已提交并符合比选文件要求的，且响应有效期不少于比选文件中载明的响应有效期限；</w:t>
            </w:r>
          </w:p>
        </w:tc>
        <w:tc>
          <w:tcPr>
            <w:tcW w:w="1850" w:type="dxa"/>
            <w:noWrap w:val="0"/>
            <w:vAlign w:val="center"/>
          </w:tcPr>
          <w:p>
            <w:pPr>
              <w:ind w:left="-171"/>
              <w:jc w:val="center"/>
              <w:rPr>
                <w:rFonts w:hint="eastAsia"/>
                <w:color w:val="auto"/>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pageBreakBefore w:val="0"/>
              <w:widowControl w:val="0"/>
              <w:kinsoku/>
              <w:wordWrap/>
              <w:overflowPunct/>
              <w:topLinePunct w:val="0"/>
              <w:autoSpaceDE/>
              <w:autoSpaceDN/>
              <w:bidi w:val="0"/>
              <w:adjustRightInd/>
              <w:snapToGrid/>
              <w:jc w:val="both"/>
              <w:textAlignment w:val="auto"/>
              <w:rPr>
                <w:rFonts w:hint="eastAsia"/>
                <w:color w:val="auto"/>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商务要求评审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实质性（“★”项）商务条款是否全部完全响应；</w:t>
            </w:r>
          </w:p>
        </w:tc>
        <w:tc>
          <w:tcPr>
            <w:tcW w:w="1850"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4.</w:t>
            </w:r>
            <w:r>
              <w:rPr>
                <w:rFonts w:hint="eastAsia" w:ascii="仿宋" w:hAnsi="仿宋" w:eastAsia="仿宋" w:cs="仿宋"/>
                <w:color w:val="auto"/>
                <w:szCs w:val="21"/>
                <w:highlight w:val="none"/>
                <w:lang w:eastAsia="zh-CN"/>
              </w:rPr>
              <w:t>技术</w:t>
            </w:r>
            <w:r>
              <w:rPr>
                <w:rFonts w:hint="eastAsia" w:ascii="仿宋" w:hAnsi="仿宋" w:eastAsia="仿宋" w:cs="仿宋"/>
                <w:color w:val="auto"/>
                <w:szCs w:val="21"/>
                <w:highlight w:val="none"/>
              </w:rPr>
              <w:t>要求评审</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实质性（“★”项）技术要求条款是否全部完全响应；</w:t>
            </w:r>
          </w:p>
        </w:tc>
        <w:tc>
          <w:tcPr>
            <w:tcW w:w="1850"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报价合理性</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报价方案是唯一确定、报价合理。</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eastAsia="zh-CN"/>
              </w:rPr>
              <w:t>如有分项报价要求，各分项报价不得高于各分项最高预算单价，合计总报价是固定唯一价且无超出采购预算或最高限价；</w:t>
            </w:r>
          </w:p>
        </w:tc>
        <w:tc>
          <w:tcPr>
            <w:tcW w:w="1850"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□通过  </w:t>
            </w:r>
            <w:r>
              <w:rPr>
                <w:rFonts w:hint="eastAsia" w:ascii="仿宋" w:hAnsi="仿宋" w:eastAsia="仿宋" w:cs="仿宋"/>
                <w:color w:val="auto"/>
                <w:szCs w:val="21"/>
                <w:highlight w:val="none"/>
              </w:rPr>
              <w:sym w:font="Wingdings 2" w:char="00A3"/>
            </w:r>
            <w:r>
              <w:rPr>
                <w:rFonts w:hint="eastAsia" w:ascii="仿宋" w:hAnsi="仿宋" w:eastAsia="仿宋" w:cs="仿宋"/>
                <w:color w:val="auto"/>
                <w:szCs w:val="21"/>
                <w:highlight w:val="none"/>
              </w:rPr>
              <w:t>不通过</w:t>
            </w:r>
          </w:p>
        </w:tc>
        <w:tc>
          <w:tcPr>
            <w:tcW w:w="1204" w:type="dxa"/>
            <w:noWrap w:val="0"/>
            <w:vAlign w:val="center"/>
          </w:tcPr>
          <w:p>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6" w:type="dxa"/>
            <w:vMerge w:val="continue"/>
            <w:noWrap w:val="0"/>
            <w:vAlign w:val="top"/>
          </w:tcPr>
          <w:p>
            <w:pPr>
              <w:rPr>
                <w:rFonts w:hint="eastAsia"/>
                <w:color w:val="auto"/>
                <w:highlight w:val="none"/>
              </w:rPr>
            </w:pPr>
          </w:p>
        </w:tc>
        <w:tc>
          <w:tcPr>
            <w:tcW w:w="1130" w:type="dxa"/>
            <w:noWrap w:val="0"/>
            <w:vAlign w:val="center"/>
          </w:tcPr>
          <w:p>
            <w:pPr>
              <w:keepNext w:val="0"/>
              <w:keepLines w:val="0"/>
              <w:suppressLineNumbers w:val="0"/>
              <w:spacing w:before="0" w:beforeAutospacing="0" w:after="0" w:afterAutospacing="0"/>
              <w:ind w:left="40" w:leftChars="19" w:right="0" w:rightChars="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lang w:eastAsia="zh-CN"/>
              </w:rPr>
              <w:t>其他</w:t>
            </w:r>
          </w:p>
        </w:tc>
        <w:tc>
          <w:tcPr>
            <w:tcW w:w="4185" w:type="dxa"/>
            <w:noWrap w:val="0"/>
            <w:vAlign w:val="center"/>
          </w:tcPr>
          <w:p>
            <w:pPr>
              <w:keepNext w:val="0"/>
              <w:keepLines w:val="0"/>
              <w:suppressLineNumbers w:val="0"/>
              <w:tabs>
                <w:tab w:val="left" w:pos="2880"/>
              </w:tabs>
              <w:spacing w:before="0" w:beforeAutospacing="0" w:after="0" w:afterAutospacing="0" w:line="380" w:lineRule="exact"/>
              <w:ind w:left="0" w:leftChars="0" w:right="0" w:rightChars="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按有关法律、法规、规章和比选文件中规定的其他无效响应情形。</w:t>
            </w:r>
          </w:p>
        </w:tc>
        <w:tc>
          <w:tcPr>
            <w:tcW w:w="1850" w:type="dxa"/>
            <w:noWrap w:val="0"/>
            <w:vAlign w:val="center"/>
          </w:tcPr>
          <w:p>
            <w:pPr>
              <w:keepNext w:val="0"/>
              <w:keepLines w:val="0"/>
              <w:suppressLineNumbers w:val="0"/>
              <w:spacing w:before="0" w:beforeAutospacing="0" w:after="0" w:afterAutospacing="0"/>
              <w:ind w:left="-171" w:leftChars="0" w:right="0" w:rightChars="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□通过  □不通过</w:t>
            </w:r>
          </w:p>
        </w:tc>
        <w:tc>
          <w:tcPr>
            <w:tcW w:w="1204" w:type="dxa"/>
            <w:noWrap w:val="0"/>
            <w:vAlign w:val="center"/>
          </w:tcPr>
          <w:p>
            <w:pPr>
              <w:keepNext w:val="0"/>
              <w:keepLines w:val="0"/>
              <w:suppressLineNumbers w:val="0"/>
              <w:spacing w:before="0" w:beforeAutospacing="0" w:after="0" w:afterAutospacing="0"/>
              <w:ind w:left="0" w:leftChars="0" w:right="0" w:rightChars="0"/>
              <w:jc w:val="right"/>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见响应文件第（）页</w:t>
            </w:r>
          </w:p>
        </w:tc>
      </w:tr>
    </w:tbl>
    <w:p>
      <w:pPr>
        <w:rPr>
          <w:rFonts w:hint="eastAsia"/>
          <w:color w:val="auto"/>
          <w:highlight w:val="none"/>
        </w:rPr>
      </w:pPr>
    </w:p>
    <w:p>
      <w:pPr>
        <w:pStyle w:val="8"/>
        <w:spacing w:line="360" w:lineRule="exact"/>
        <w:ind w:firstLine="56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注：以上材料将作为响应供应商</w:t>
      </w:r>
      <w:r>
        <w:rPr>
          <w:rFonts w:hint="eastAsia" w:ascii="仿宋" w:hAnsi="仿宋" w:eastAsia="仿宋" w:cs="仿宋"/>
          <w:color w:val="auto"/>
          <w:sz w:val="24"/>
          <w:szCs w:val="24"/>
          <w:highlight w:val="none"/>
          <w:lang w:val="en-US" w:eastAsia="zh-CN"/>
        </w:rPr>
        <w:t>资格性和符合性</w:t>
      </w:r>
      <w:r>
        <w:rPr>
          <w:rFonts w:hint="eastAsia" w:ascii="仿宋" w:hAnsi="仿宋" w:eastAsia="仿宋" w:cs="仿宋"/>
          <w:color w:val="auto"/>
          <w:sz w:val="24"/>
          <w:szCs w:val="24"/>
          <w:highlight w:val="none"/>
        </w:rPr>
        <w:t>审核的重要内容之一，响应供应商必须严格按照其内容及要求在响应文件中对应序列如实提供，对缺漏和不符合项将会直接导致响应无效！在对应的□打“√”，并标注页码。</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11"/>
        <w:adjustRightInd w:val="0"/>
        <w:snapToGrid w:val="0"/>
        <w:spacing w:line="440" w:lineRule="exact"/>
        <w:rPr>
          <w:rFonts w:hint="eastAsia" w:ascii="仿宋" w:hAnsi="仿宋" w:eastAsia="仿宋" w:cs="仿宋"/>
          <w:b/>
          <w:bCs/>
          <w:color w:val="auto"/>
          <w:sz w:val="28"/>
          <w:highlight w:val="none"/>
        </w:rPr>
      </w:pPr>
      <w:r>
        <w:rPr>
          <w:rFonts w:ascii="仿宋" w:hAnsi="仿宋" w:eastAsia="仿宋" w:cs="仿宋"/>
          <w:b/>
          <w:bCs/>
          <w:color w:val="auto"/>
          <w:sz w:val="28"/>
          <w:highlight w:val="none"/>
        </w:rPr>
        <w:br w:type="page"/>
      </w:r>
      <w:r>
        <w:rPr>
          <w:rFonts w:hint="eastAsia" w:ascii="仿宋" w:hAnsi="仿宋" w:eastAsia="仿宋" w:cs="仿宋"/>
          <w:b/>
          <w:bCs/>
          <w:color w:val="auto"/>
          <w:sz w:val="28"/>
          <w:highlight w:val="none"/>
        </w:rPr>
        <w:t>2 评审项目响应资料表</w:t>
      </w:r>
    </w:p>
    <w:tbl>
      <w:tblPr>
        <w:tblStyle w:val="16"/>
        <w:tblW w:w="81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5254"/>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94" w:type="dxa"/>
            <w:noWrap w:val="0"/>
            <w:vAlign w:val="center"/>
          </w:tcPr>
          <w:p>
            <w:pPr>
              <w:pStyle w:val="22"/>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评审分项</w:t>
            </w:r>
          </w:p>
          <w:p>
            <w:pPr>
              <w:pStyle w:val="22"/>
              <w:adjustRightInd/>
              <w:jc w:val="center"/>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（评分标准）</w:t>
            </w:r>
          </w:p>
        </w:tc>
        <w:tc>
          <w:tcPr>
            <w:tcW w:w="5254" w:type="dxa"/>
            <w:noWrap w:val="0"/>
            <w:vAlign w:val="center"/>
          </w:tcPr>
          <w:p>
            <w:pPr>
              <w:pStyle w:val="22"/>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评审内容</w:t>
            </w:r>
          </w:p>
        </w:tc>
        <w:tc>
          <w:tcPr>
            <w:tcW w:w="1535" w:type="dxa"/>
            <w:noWrap w:val="0"/>
            <w:vAlign w:val="center"/>
          </w:tcPr>
          <w:p>
            <w:pPr>
              <w:pStyle w:val="22"/>
              <w:adjustRightInd/>
              <w:rPr>
                <w:rFonts w:hint="eastAsia" w:ascii="仿宋" w:hAnsi="仿宋" w:eastAsia="仿宋" w:cs="仿宋"/>
                <w:b/>
                <w:bCs/>
                <w:color w:val="auto"/>
                <w:kern w:val="2"/>
                <w:sz w:val="21"/>
                <w:szCs w:val="21"/>
                <w:highlight w:val="none"/>
              </w:rPr>
            </w:pPr>
            <w:r>
              <w:rPr>
                <w:rFonts w:hint="eastAsia" w:ascii="仿宋" w:hAnsi="仿宋" w:eastAsia="仿宋" w:cs="仿宋"/>
                <w:b/>
                <w:bCs/>
                <w:color w:val="auto"/>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kern w:val="0"/>
                <w:sz w:val="24"/>
                <w:szCs w:val="24"/>
                <w:highlight w:val="none"/>
                <w:lang w:val="en-US" w:eastAsia="zh-CN"/>
              </w:rPr>
              <w:t>中</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号条款</w:t>
            </w:r>
            <w:r>
              <w:rPr>
                <w:rFonts w:hint="eastAsia" w:ascii="仿宋" w:hAnsi="仿宋" w:eastAsia="仿宋" w:cs="仿宋"/>
                <w:color w:val="auto"/>
                <w:kern w:val="0"/>
                <w:sz w:val="24"/>
                <w:szCs w:val="24"/>
                <w:highlight w:val="none"/>
              </w:rPr>
              <w:t>的响应程度</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根据各响应供应商所提供的服务是否满足</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rPr>
              <w:t>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有一项▲号条款负偏离，得</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 xml:space="preserve">分； </w:t>
            </w:r>
          </w:p>
          <w:p>
            <w:pPr>
              <w:widowControl/>
              <w:jc w:val="left"/>
              <w:rPr>
                <w:rFonts w:hint="eastAsia"/>
                <w:color w:val="auto"/>
                <w:highlight w:val="none"/>
              </w:rPr>
            </w:pPr>
            <w:r>
              <w:rPr>
                <w:rFonts w:hint="eastAsia" w:ascii="仿宋" w:hAnsi="仿宋" w:eastAsia="仿宋" w:cs="仿宋"/>
                <w:color w:val="auto"/>
                <w:sz w:val="24"/>
                <w:szCs w:val="24"/>
                <w:highlight w:val="none"/>
              </w:rPr>
              <w:t>有</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项▲号条款负偏离，得</w:t>
            </w:r>
            <w:r>
              <w:rPr>
                <w:rFonts w:hint="eastAsia" w:ascii="仿宋" w:hAnsi="仿宋" w:eastAsia="仿宋" w:cs="仿宋"/>
                <w:color w:val="auto"/>
                <w:sz w:val="24"/>
                <w:szCs w:val="24"/>
                <w:highlight w:val="none"/>
                <w:lang w:val="en-US" w:eastAsia="zh-CN"/>
              </w:rPr>
              <w:t>14</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以此类推，当▲号条款负偏离达到</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项（含）以上时，视为严重偏离此评分项不得分。</w:t>
            </w:r>
          </w:p>
          <w:p>
            <w:pPr>
              <w:widowControl/>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rPr>
              <w:t>注：①技术条款中要求提供证明资料的，则响应文件中应提供对应条款的证明资料，未提供不得分；②未要求提供证明资料的以响应供应商填写的技术/服务要求响应表为准。</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394" w:type="dxa"/>
            <w:noWrap w:val="0"/>
            <w:vAlign w:val="center"/>
          </w:tcPr>
          <w:p>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对</w:t>
            </w:r>
            <w:r>
              <w:rPr>
                <w:rFonts w:hint="eastAsia" w:ascii="仿宋" w:hAnsi="仿宋" w:eastAsia="仿宋" w:cs="仿宋"/>
                <w:b w:val="0"/>
                <w:bCs w:val="0"/>
                <w:color w:val="auto"/>
                <w:sz w:val="24"/>
                <w:highlight w:val="none"/>
                <w:lang w:val="en-US" w:eastAsia="zh-CN"/>
              </w:rPr>
              <w:t>服务要求</w:t>
            </w:r>
            <w:r>
              <w:rPr>
                <w:rFonts w:hint="eastAsia" w:ascii="仿宋" w:hAnsi="仿宋" w:eastAsia="仿宋" w:cs="仿宋"/>
                <w:color w:val="auto"/>
                <w:sz w:val="24"/>
                <w:szCs w:val="24"/>
                <w:highlight w:val="none"/>
                <w:lang w:val="en-US" w:eastAsia="zh-CN"/>
              </w:rPr>
              <w:t>中不带</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号条款</w:t>
            </w:r>
            <w:r>
              <w:rPr>
                <w:rFonts w:hint="eastAsia" w:ascii="仿宋" w:hAnsi="仿宋" w:eastAsia="仿宋" w:cs="仿宋"/>
                <w:color w:val="auto"/>
                <w:sz w:val="24"/>
                <w:szCs w:val="24"/>
                <w:highlight w:val="none"/>
              </w:rPr>
              <w:t>的响应程度</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根据各响应供应商所提供的服务是否满足项目要求响应程度进行评分：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满足所有</w:t>
            </w:r>
            <w:r>
              <w:rPr>
                <w:rFonts w:hint="eastAsia" w:ascii="仿宋" w:hAnsi="仿宋" w:eastAsia="仿宋" w:cs="仿宋"/>
                <w:color w:val="auto"/>
                <w:sz w:val="24"/>
                <w:szCs w:val="24"/>
                <w:highlight w:val="none"/>
              </w:rPr>
              <w:t>不带▲号</w:t>
            </w:r>
            <w:r>
              <w:rPr>
                <w:rFonts w:hint="eastAsia" w:ascii="仿宋" w:hAnsi="仿宋" w:eastAsia="仿宋" w:cs="仿宋"/>
                <w:color w:val="auto"/>
                <w:sz w:val="24"/>
                <w:szCs w:val="24"/>
                <w:highlight w:val="none"/>
                <w:lang w:val="en-US" w:eastAsia="zh-CN"/>
              </w:rPr>
              <w:t>条款</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有一项不带▲号条款负偏离，得</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有二项不带▲号条款负偏离，得</w:t>
            </w: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有三项不带▲号条款负偏离，得</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以此类推，当不带▲号条款负偏离达到</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项（含）以上时，视为严重偏离此评分项不得分。</w:t>
            </w:r>
          </w:p>
          <w:p>
            <w:pPr>
              <w:pStyle w:val="10"/>
              <w:ind w:left="0" w:leftChars="0"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eastAsia="zh-CN"/>
              </w:rPr>
              <w:t>注：比选文件未要求提供证明材料的技术参数，以响应文件格式技术和服务要求响应表为准。</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94" w:type="dxa"/>
            <w:noWrap w:val="0"/>
            <w:vAlign w:val="center"/>
          </w:tcPr>
          <w:p>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项目实施方案</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提供的项目实施方案（包括对项目需求的理解、项目实施部署与计划）进行评审：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1.方案内容完整、详细、表述清晰、科学合理、切实可行，对项目理解全面、准确、深入，完全符合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需求的，得</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2.方案内容比较完整、详细、表述比较清晰、合理、可行，较符合</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需求的，得</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3.方案内容基本完整，基本满足采购需求，方案一般的，得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4"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同类业绩</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根据供应商</w:t>
            </w:r>
            <w:r>
              <w:rPr>
                <w:rFonts w:hint="eastAsia" w:ascii="仿宋" w:hAnsi="仿宋" w:eastAsia="仿宋" w:cs="仿宋"/>
                <w:color w:val="auto"/>
                <w:sz w:val="24"/>
                <w:szCs w:val="24"/>
                <w:highlight w:val="none"/>
                <w:lang w:eastAsia="zh-CN"/>
              </w:rPr>
              <w:t>提供的</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年1月1日至今的同类项目业绩情况进行评分，每提供一个业绩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分，本项最高得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分。 </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注：</w:t>
            </w:r>
            <w:r>
              <w:rPr>
                <w:rFonts w:hint="eastAsia" w:ascii="仿宋" w:hAnsi="仿宋" w:eastAsia="仿宋" w:cs="仿宋"/>
                <w:color w:val="auto"/>
                <w:sz w:val="24"/>
                <w:szCs w:val="24"/>
                <w:highlight w:val="none"/>
              </w:rPr>
              <w:t>同类业绩证明文件是中标/成交通知书或合同关键页的复印件或扫描件（合同关键页是指包括：①能显示</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相关信息；②签订合同双方的单位名称、合同项目名称；③签订合同双方的签章、盖章及签订日期），无提供不得分。</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trike w:val="0"/>
                <w:dstrike w:val="0"/>
                <w:color w:val="auto"/>
                <w:sz w:val="24"/>
                <w:szCs w:val="24"/>
                <w:highlight w:val="none"/>
                <w:lang w:val="en-US" w:eastAsia="zh-CN"/>
              </w:rPr>
              <w:t>履约评价</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根据</w:t>
            </w:r>
            <w:r>
              <w:rPr>
                <w:rFonts w:hint="eastAsia" w:ascii="仿宋" w:hAnsi="仿宋" w:eastAsia="仿宋" w:cs="仿宋"/>
                <w:color w:val="auto"/>
                <w:sz w:val="24"/>
                <w:szCs w:val="24"/>
                <w:highlight w:val="none"/>
              </w:rPr>
              <w:t>供应商提供自2022年1月1日</w:t>
            </w:r>
            <w:r>
              <w:rPr>
                <w:rFonts w:hint="eastAsia" w:ascii="仿宋" w:hAnsi="仿宋" w:eastAsia="仿宋" w:cs="仿宋"/>
                <w:color w:val="auto"/>
                <w:sz w:val="24"/>
                <w:szCs w:val="24"/>
                <w:highlight w:val="none"/>
                <w:lang w:eastAsia="zh-CN"/>
              </w:rPr>
              <w:t>至今关于</w:t>
            </w:r>
            <w:r>
              <w:rPr>
                <w:rFonts w:hint="eastAsia" w:ascii="仿宋" w:hAnsi="仿宋" w:eastAsia="仿宋" w:cs="仿宋"/>
                <w:color w:val="auto"/>
                <w:sz w:val="24"/>
                <w:szCs w:val="24"/>
                <w:highlight w:val="none"/>
              </w:rPr>
              <w:t>多媒体导引系统或候诊排队叫号系统的同类业绩履约评价</w:t>
            </w:r>
            <w:r>
              <w:rPr>
                <w:rFonts w:hint="eastAsia" w:ascii="仿宋" w:hAnsi="仿宋" w:eastAsia="仿宋" w:cs="仿宋"/>
                <w:color w:val="auto"/>
                <w:sz w:val="24"/>
                <w:szCs w:val="24"/>
                <w:highlight w:val="none"/>
                <w:lang w:eastAsia="zh-CN"/>
              </w:rPr>
              <w:t>或验收报告进行评审</w:t>
            </w:r>
            <w:r>
              <w:rPr>
                <w:rFonts w:hint="eastAsia" w:ascii="仿宋" w:hAnsi="仿宋" w:eastAsia="仿宋" w:cs="仿宋"/>
                <w:color w:val="auto"/>
                <w:sz w:val="24"/>
                <w:szCs w:val="24"/>
                <w:highlight w:val="none"/>
              </w:rPr>
              <w:t>，每</w:t>
            </w:r>
            <w:r>
              <w:rPr>
                <w:rFonts w:hint="eastAsia" w:ascii="仿宋" w:hAnsi="仿宋" w:eastAsia="仿宋" w:cs="仿宋"/>
                <w:color w:val="auto"/>
                <w:sz w:val="24"/>
                <w:szCs w:val="24"/>
                <w:highlight w:val="none"/>
                <w:lang w:eastAsia="zh-CN"/>
              </w:rPr>
              <w:t>提供</w:t>
            </w:r>
            <w:r>
              <w:rPr>
                <w:rFonts w:hint="eastAsia" w:ascii="仿宋" w:hAnsi="仿宋" w:eastAsia="仿宋" w:cs="仿宋"/>
                <w:color w:val="auto"/>
                <w:sz w:val="24"/>
                <w:szCs w:val="24"/>
                <w:highlight w:val="none"/>
                <w:lang w:val="en-US" w:eastAsia="zh-CN"/>
              </w:rPr>
              <w:t>1份，</w:t>
            </w:r>
            <w:r>
              <w:rPr>
                <w:rFonts w:hint="eastAsia" w:ascii="仿宋" w:hAnsi="仿宋" w:eastAsia="仿宋" w:cs="仿宋"/>
                <w:color w:val="auto"/>
                <w:sz w:val="24"/>
                <w:szCs w:val="24"/>
                <w:highlight w:val="none"/>
              </w:rPr>
              <w:t>得1分</w:t>
            </w:r>
            <w:r>
              <w:rPr>
                <w:rFonts w:hint="eastAsia" w:ascii="仿宋" w:hAnsi="仿宋" w:eastAsia="仿宋" w:cs="仿宋"/>
                <w:color w:val="auto"/>
                <w:sz w:val="24"/>
                <w:szCs w:val="24"/>
                <w:highlight w:val="none"/>
                <w:lang w:eastAsia="zh-CN"/>
              </w:rPr>
              <w:t>，本项</w:t>
            </w:r>
            <w:r>
              <w:rPr>
                <w:rFonts w:hint="eastAsia" w:ascii="仿宋" w:hAnsi="仿宋" w:eastAsia="仿宋" w:cs="仿宋"/>
                <w:color w:val="auto"/>
                <w:sz w:val="24"/>
                <w:szCs w:val="24"/>
                <w:highlight w:val="none"/>
              </w:rPr>
              <w:t xml:space="preserve">最高得5分。 </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1.提供</w:t>
            </w:r>
            <w:r>
              <w:rPr>
                <w:rFonts w:hint="eastAsia" w:ascii="仿宋" w:hAnsi="仿宋" w:eastAsia="仿宋" w:cs="仿宋"/>
                <w:color w:val="auto"/>
                <w:sz w:val="24"/>
                <w:szCs w:val="24"/>
                <w:highlight w:val="none"/>
                <w:lang w:eastAsia="zh-CN"/>
              </w:rPr>
              <w:t>被服务单位的总体履约评价证明文件，</w:t>
            </w:r>
            <w:r>
              <w:rPr>
                <w:rFonts w:hint="eastAsia" w:ascii="仿宋" w:hAnsi="仿宋" w:eastAsia="仿宋" w:cs="仿宋"/>
                <w:color w:val="auto"/>
                <w:sz w:val="24"/>
                <w:szCs w:val="24"/>
                <w:highlight w:val="none"/>
                <w:lang w:val="en-US" w:eastAsia="zh-CN"/>
              </w:rPr>
              <w:t>评价材料应达到90分（或以上）或带有“满意”或“好评”或“优秀”等相关正面评价字眼，</w:t>
            </w:r>
            <w:r>
              <w:rPr>
                <w:rFonts w:hint="eastAsia" w:ascii="仿宋" w:hAnsi="仿宋" w:eastAsia="仿宋" w:cs="仿宋"/>
                <w:color w:val="auto"/>
                <w:sz w:val="24"/>
                <w:szCs w:val="24"/>
                <w:highlight w:val="none"/>
                <w:lang w:eastAsia="zh-CN"/>
              </w:rPr>
              <w:t>并加盖被服务单位公章；验收报告复印件需验收双方签字。</w:t>
            </w:r>
          </w:p>
          <w:p>
            <w:pPr>
              <w:widowControl/>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.按项目计分，同一个项目的履约评价或验收报告不重复计分。</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（以上内容需提供清晰的复印件并加盖供应商公章，无提供不得分。）</w:t>
            </w:r>
          </w:p>
        </w:tc>
        <w:tc>
          <w:tcPr>
            <w:tcW w:w="1535" w:type="dxa"/>
            <w:noWrap w:val="0"/>
            <w:vAlign w:val="center"/>
          </w:tcPr>
          <w:p>
            <w:pPr>
              <w:widowControl/>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培训方案</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根据各</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提供的培训方案（包括培训目标、培训计划、培训内容等）进行评审。</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1.方案内容完整、详细、表述清晰、科学合理、切实可行，优于或满足采购需求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2.方案内容基本满足采购</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3.仅提供方案但无法满足采购需求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widowControl/>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售后服务方案</w:t>
            </w:r>
          </w:p>
        </w:tc>
        <w:tc>
          <w:tcPr>
            <w:tcW w:w="5254" w:type="dxa"/>
            <w:noWrap w:val="0"/>
            <w:vAlign w:val="center"/>
          </w:tcPr>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提供的售后服务方案进行评审，内容包括售后服务承诺及保障措施：</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1.售后服务方案详细、针对性强、合理性高的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2.售后服务方案较详细，针对性较强、合理性较高的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3.售后服务方案详细程度一般，针对性、合理性一般的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分；</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4.未提供方案不得分。</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94" w:type="dxa"/>
            <w:noWrap w:val="0"/>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p>
        </w:tc>
        <w:tc>
          <w:tcPr>
            <w:tcW w:w="5254" w:type="dxa"/>
            <w:noWrap w:val="0"/>
            <w:vAlign w:val="top"/>
          </w:tcPr>
          <w:p>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报价得分＝（</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报价）×价格分值</w:t>
            </w:r>
          </w:p>
          <w:p>
            <w:pPr>
              <w:widowControl/>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rPr>
              <w:t>【注：满足</w:t>
            </w:r>
            <w:r>
              <w:rPr>
                <w:rFonts w:hint="eastAsia" w:ascii="仿宋" w:hAnsi="仿宋" w:eastAsia="仿宋" w:cs="仿宋"/>
                <w:color w:val="auto"/>
                <w:kern w:val="0"/>
                <w:sz w:val="24"/>
                <w:szCs w:val="24"/>
                <w:highlight w:val="none"/>
                <w:lang w:eastAsia="zh-CN"/>
              </w:rPr>
              <w:t>比选</w:t>
            </w:r>
            <w:r>
              <w:rPr>
                <w:rFonts w:hint="eastAsia" w:ascii="仿宋" w:hAnsi="仿宋" w:eastAsia="仿宋" w:cs="仿宋"/>
                <w:color w:val="auto"/>
                <w:kern w:val="0"/>
                <w:sz w:val="24"/>
                <w:szCs w:val="24"/>
                <w:highlight w:val="none"/>
              </w:rPr>
              <w:t>文件要求且</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价格最低的</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报价为</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最低报价不是</w:t>
            </w:r>
            <w:r>
              <w:rPr>
                <w:rFonts w:hint="eastAsia" w:ascii="仿宋" w:hAnsi="仿宋" w:eastAsia="仿宋" w:cs="仿宋"/>
                <w:color w:val="auto"/>
                <w:kern w:val="0"/>
                <w:sz w:val="24"/>
                <w:szCs w:val="24"/>
                <w:highlight w:val="none"/>
                <w:lang w:eastAsia="zh-CN"/>
              </w:rPr>
              <w:t>成交</w:t>
            </w:r>
            <w:r>
              <w:rPr>
                <w:rFonts w:hint="eastAsia" w:ascii="仿宋" w:hAnsi="仿宋" w:eastAsia="仿宋" w:cs="仿宋"/>
                <w:color w:val="auto"/>
                <w:kern w:val="0"/>
                <w:sz w:val="24"/>
                <w:szCs w:val="24"/>
                <w:highlight w:val="none"/>
              </w:rPr>
              <w:t>的唯一依据。因落实政府采购政策进行价格调整的，以调整后的价格计算</w:t>
            </w:r>
            <w:r>
              <w:rPr>
                <w:rFonts w:hint="eastAsia" w:ascii="仿宋" w:hAnsi="仿宋" w:eastAsia="仿宋" w:cs="仿宋"/>
                <w:color w:val="auto"/>
                <w:kern w:val="0"/>
                <w:sz w:val="24"/>
                <w:szCs w:val="24"/>
                <w:highlight w:val="none"/>
                <w:lang w:eastAsia="zh-CN"/>
              </w:rPr>
              <w:t>评审</w:t>
            </w:r>
            <w:r>
              <w:rPr>
                <w:rFonts w:hint="eastAsia" w:ascii="仿宋" w:hAnsi="仿宋" w:eastAsia="仿宋" w:cs="仿宋"/>
                <w:color w:val="auto"/>
                <w:kern w:val="0"/>
                <w:sz w:val="24"/>
                <w:szCs w:val="24"/>
                <w:highlight w:val="none"/>
              </w:rPr>
              <w:t>基准价和</w:t>
            </w:r>
            <w:r>
              <w:rPr>
                <w:rFonts w:hint="eastAsia" w:ascii="仿宋" w:hAnsi="仿宋" w:eastAsia="仿宋" w:cs="仿宋"/>
                <w:color w:val="auto"/>
                <w:kern w:val="0"/>
                <w:sz w:val="24"/>
                <w:szCs w:val="24"/>
                <w:highlight w:val="none"/>
                <w:lang w:eastAsia="zh-CN"/>
              </w:rPr>
              <w:t>响应</w:t>
            </w:r>
            <w:r>
              <w:rPr>
                <w:rFonts w:hint="eastAsia" w:ascii="仿宋" w:hAnsi="仿宋" w:eastAsia="仿宋" w:cs="仿宋"/>
                <w:color w:val="auto"/>
                <w:kern w:val="0"/>
                <w:sz w:val="24"/>
                <w:szCs w:val="24"/>
                <w:highlight w:val="none"/>
              </w:rPr>
              <w:t>报价。</w:t>
            </w:r>
          </w:p>
        </w:tc>
        <w:tc>
          <w:tcPr>
            <w:tcW w:w="1535" w:type="dxa"/>
            <w:noWrap w:val="0"/>
            <w:vAlign w:val="center"/>
          </w:tcPr>
          <w:p>
            <w:pPr>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见响应文件第（      ）页</w:t>
            </w:r>
          </w:p>
        </w:tc>
      </w:tr>
    </w:tbl>
    <w:p>
      <w:pPr>
        <w:adjustRightInd w:val="0"/>
        <w:snapToGrid w:val="0"/>
        <w:spacing w:line="300" w:lineRule="auto"/>
        <w:rPr>
          <w:rFonts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响应供应商名称（盖章）：</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8"/>
          <w:highlight w:val="none"/>
        </w:rPr>
        <w:t>3 资格性文件</w:t>
      </w:r>
    </w:p>
    <w:p>
      <w:pPr>
        <w:pStyle w:val="4"/>
        <w:spacing w:before="0" w:after="0"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响应函</w:t>
      </w:r>
    </w:p>
    <w:p>
      <w:pPr>
        <w:adjustRightInd w:val="0"/>
        <w:snapToGrid w:val="0"/>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rPr>
        <w:t>：</w:t>
      </w:r>
    </w:p>
    <w:p>
      <w:pPr>
        <w:autoSpaceDE w:val="0"/>
        <w:autoSpaceDN w:val="0"/>
        <w:spacing w:line="38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依据贵方</w:t>
      </w: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single"/>
          <w:lang w:val="zh-CN"/>
        </w:rPr>
        <w:t xml:space="preserve"> </w:t>
      </w:r>
      <w:r>
        <w:rPr>
          <w:rFonts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zh-CN"/>
        </w:rPr>
        <w:t>项目（</w:t>
      </w:r>
      <w:r>
        <w:rPr>
          <w:rFonts w:hint="eastAsia" w:ascii="仿宋" w:hAnsi="仿宋" w:eastAsia="仿宋" w:cs="仿宋"/>
          <w:color w:val="auto"/>
          <w:sz w:val="24"/>
          <w:highlight w:val="none"/>
          <w:u w:val="single"/>
        </w:rPr>
        <w:t>项目编号：</w:t>
      </w:r>
      <w:r>
        <w:rPr>
          <w:rFonts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）的</w:t>
      </w:r>
      <w:r>
        <w:rPr>
          <w:rFonts w:hint="eastAsia" w:ascii="仿宋" w:hAnsi="仿宋" w:eastAsia="仿宋" w:cs="仿宋"/>
          <w:color w:val="auto"/>
          <w:kern w:val="0"/>
          <w:sz w:val="24"/>
          <w:highlight w:val="none"/>
        </w:rPr>
        <w:t>响应邀请，我方代表</w:t>
      </w:r>
      <w:r>
        <w:rPr>
          <w:rFonts w:hint="eastAsia" w:ascii="仿宋" w:hAnsi="仿宋" w:eastAsia="仿宋" w:cs="仿宋"/>
          <w:color w:val="auto"/>
          <w:sz w:val="24"/>
          <w:highlight w:val="none"/>
          <w:u w:val="single"/>
        </w:rPr>
        <w:t>（姓名、职务）</w:t>
      </w:r>
      <w:r>
        <w:rPr>
          <w:rFonts w:hint="eastAsia" w:ascii="仿宋" w:hAnsi="仿宋" w:eastAsia="仿宋" w:cs="仿宋"/>
          <w:color w:val="auto"/>
          <w:kern w:val="0"/>
          <w:sz w:val="24"/>
          <w:highlight w:val="none"/>
        </w:rPr>
        <w:t>经正式授权并代表</w:t>
      </w:r>
      <w:r>
        <w:rPr>
          <w:rFonts w:hint="eastAsia" w:ascii="仿宋" w:hAnsi="仿宋" w:eastAsia="仿宋" w:cs="仿宋"/>
          <w:color w:val="auto"/>
          <w:sz w:val="24"/>
          <w:highlight w:val="none"/>
          <w:u w:val="single"/>
        </w:rPr>
        <w:t>（响应供应商名称、地址）</w:t>
      </w:r>
      <w:r>
        <w:rPr>
          <w:rFonts w:hint="eastAsia" w:ascii="仿宋" w:hAnsi="仿宋" w:eastAsia="仿宋" w:cs="仿宋"/>
          <w:color w:val="auto"/>
          <w:kern w:val="0"/>
          <w:sz w:val="24"/>
          <w:highlight w:val="none"/>
        </w:rPr>
        <w:t>提交下述文件一式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 </w:t>
      </w:r>
      <w:r>
        <w:rPr>
          <w:rFonts w:hint="eastAsia" w:ascii="仿宋" w:hAnsi="仿宋" w:eastAsia="仿宋" w:cs="仿宋"/>
          <w:color w:val="auto"/>
          <w:sz w:val="24"/>
          <w:highlight w:val="none"/>
        </w:rPr>
        <w:t>自查表</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 </w:t>
      </w:r>
      <w:r>
        <w:rPr>
          <w:rFonts w:hint="eastAsia" w:ascii="仿宋" w:hAnsi="仿宋" w:eastAsia="仿宋" w:cs="仿宋"/>
          <w:color w:val="auto"/>
          <w:sz w:val="24"/>
          <w:highlight w:val="none"/>
        </w:rPr>
        <w:t>资格性文件</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 </w:t>
      </w:r>
      <w:r>
        <w:rPr>
          <w:rFonts w:hint="eastAsia" w:ascii="仿宋" w:hAnsi="仿宋" w:eastAsia="仿宋" w:cs="仿宋"/>
          <w:color w:val="auto"/>
          <w:sz w:val="24"/>
          <w:highlight w:val="none"/>
        </w:rPr>
        <w:t>商务部分</w:t>
      </w:r>
      <w:r>
        <w:rPr>
          <w:rFonts w:hint="eastAsia" w:ascii="仿宋" w:hAnsi="仿宋" w:eastAsia="仿宋" w:cs="仿宋"/>
          <w:color w:val="auto"/>
          <w:kern w:val="0"/>
          <w:sz w:val="24"/>
          <w:highlight w:val="none"/>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 xml:space="preserve">4. </w:t>
      </w:r>
      <w:r>
        <w:rPr>
          <w:rFonts w:hint="eastAsia" w:ascii="仿宋" w:hAnsi="仿宋" w:eastAsia="仿宋" w:cs="仿宋"/>
          <w:color w:val="auto"/>
          <w:kern w:val="0"/>
          <w:sz w:val="24"/>
          <w:highlight w:val="none"/>
          <w:lang w:eastAsia="zh-CN"/>
        </w:rPr>
        <w:t>技术</w:t>
      </w:r>
      <w:r>
        <w:rPr>
          <w:rFonts w:hint="eastAsia" w:ascii="仿宋" w:hAnsi="仿宋" w:eastAsia="仿宋" w:cs="仿宋"/>
          <w:color w:val="auto"/>
          <w:kern w:val="0"/>
          <w:sz w:val="24"/>
          <w:highlight w:val="none"/>
        </w:rPr>
        <w:t>部分</w:t>
      </w:r>
      <w:r>
        <w:rPr>
          <w:rFonts w:hint="eastAsia" w:ascii="仿宋" w:hAnsi="仿宋" w:eastAsia="仿宋" w:cs="仿宋"/>
          <w:color w:val="auto"/>
          <w:kern w:val="0"/>
          <w:sz w:val="24"/>
          <w:highlight w:val="none"/>
          <w:lang w:eastAsia="zh-CN"/>
        </w:rPr>
        <w:t>；</w:t>
      </w:r>
    </w:p>
    <w:p>
      <w:pPr>
        <w:autoSpaceDE w:val="0"/>
        <w:autoSpaceDN w:val="0"/>
        <w:adjustRightInd w:val="0"/>
        <w:spacing w:line="380" w:lineRule="exact"/>
        <w:ind w:right="246"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5. 价格部分</w:t>
      </w:r>
      <w:r>
        <w:rPr>
          <w:rFonts w:hint="eastAsia" w:ascii="仿宋" w:hAnsi="仿宋" w:eastAsia="仿宋" w:cs="仿宋"/>
          <w:color w:val="auto"/>
          <w:sz w:val="24"/>
          <w:highlight w:val="none"/>
        </w:rPr>
        <w:t>。</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在此，我方声明如下：</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1.同意并接受比选文件的各项要求，遵守比选文件中的各项规定，按比选文件的要求提供报价。</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2.响应有效期为递交响应文件之日起</w:t>
      </w:r>
      <w:r>
        <w:rPr>
          <w:rFonts w:hint="eastAsia" w:ascii="仿宋" w:hAnsi="仿宋" w:eastAsia="仿宋" w:cs="仿宋"/>
          <w:color w:val="auto"/>
          <w:sz w:val="24"/>
          <w:highlight w:val="none"/>
          <w:u w:val="single"/>
        </w:rPr>
        <w:t>90天</w:t>
      </w:r>
      <w:r>
        <w:rPr>
          <w:rFonts w:hint="eastAsia" w:ascii="仿宋" w:hAnsi="仿宋" w:eastAsia="仿宋" w:cs="仿宋"/>
          <w:color w:val="auto"/>
          <w:sz w:val="24"/>
          <w:highlight w:val="none"/>
        </w:rPr>
        <w:t>，成交人响应/比选有效期延至合同验收之日。</w:t>
      </w:r>
    </w:p>
    <w:p>
      <w:pPr>
        <w:spacing w:line="380" w:lineRule="exact"/>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b/>
          <w:bCs/>
          <w:color w:val="auto"/>
          <w:sz w:val="24"/>
          <w:highlight w:val="none"/>
        </w:rPr>
        <w:t>我方已经详细地阅读了全部比选文件及其附件，包括澄清及参考文件</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如果有的话</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。我方已完全清晰理解比选文件的所有要求，不存在任何含糊不清和误解之处，同意放弃对这些文件所提出的异议和质疑的权利。</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4.我方已毫无保留地向贵方提供一切所需的证明材料。</w:t>
      </w:r>
    </w:p>
    <w:p>
      <w:pPr>
        <w:spacing w:line="3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5.我方承诺在本次响应/响应文件中提供的一切文件，无论是原件还是复印件均为真实和准确的，绝无任何虚假、伪造和夸大</w:t>
      </w:r>
      <w:r>
        <w:rPr>
          <w:rFonts w:hint="eastAsia" w:ascii="仿宋" w:hAnsi="仿宋" w:eastAsia="仿宋" w:cs="仿宋"/>
          <w:color w:val="auto"/>
          <w:sz w:val="24"/>
          <w:highlight w:val="none"/>
          <w:lang w:eastAsia="zh-CN"/>
        </w:rPr>
        <w:t>的成分</w:t>
      </w:r>
      <w:r>
        <w:rPr>
          <w:rFonts w:hint="eastAsia" w:ascii="仿宋" w:hAnsi="仿宋" w:eastAsia="仿宋" w:cs="仿宋"/>
          <w:color w:val="auto"/>
          <w:sz w:val="24"/>
          <w:highlight w:val="none"/>
        </w:rPr>
        <w:t>，否则，愿承担相应的后果和法律责任。</w:t>
      </w:r>
    </w:p>
    <w:p>
      <w:pPr>
        <w:spacing w:line="3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6.我方完全服从贵院采购流程与规定并尊重</w:t>
      </w:r>
      <w:r>
        <w:rPr>
          <w:rFonts w:hint="eastAsia" w:ascii="仿宋" w:hAnsi="仿宋" w:eastAsia="仿宋" w:cs="仿宋"/>
          <w:color w:val="auto"/>
          <w:sz w:val="24"/>
          <w:highlight w:val="none"/>
          <w:lang w:eastAsia="zh-CN"/>
        </w:rPr>
        <w:t>评审小组</w:t>
      </w:r>
      <w:r>
        <w:rPr>
          <w:rFonts w:hint="eastAsia" w:ascii="仿宋" w:hAnsi="仿宋" w:eastAsia="仿宋" w:cs="仿宋"/>
          <w:color w:val="auto"/>
          <w:sz w:val="24"/>
          <w:highlight w:val="none"/>
        </w:rPr>
        <w:t>所作的评定结果，同时清楚理解到报价最低并非意味着必定获得成交资格。</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 xml:space="preserve">                           </w:t>
      </w:r>
    </w:p>
    <w:p>
      <w:pPr>
        <w:tabs>
          <w:tab w:val="left" w:pos="5250"/>
        </w:tabs>
        <w:autoSpaceDE w:val="0"/>
        <w:autoSpaceDN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账号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8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传真：</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33"/>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r>
        <w:rPr>
          <w:rFonts w:hint="eastAsia" w:ascii="仿宋" w:hAnsi="仿宋" w:eastAsia="仿宋" w:cs="仿宋"/>
          <w:color w:val="auto"/>
          <w:kern w:val="0"/>
          <w:sz w:val="24"/>
          <w:highlight w:val="none"/>
          <w:u w:val="single"/>
        </w:rPr>
        <w:t xml:space="preserve">                                </w:t>
      </w:r>
    </w:p>
    <w:p>
      <w:pPr>
        <w:autoSpaceDE w:val="0"/>
        <w:autoSpaceDN w:val="0"/>
        <w:adjustRightInd w:val="0"/>
        <w:spacing w:line="380" w:lineRule="exact"/>
        <w:ind w:right="24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电子邮件：</w:t>
      </w:r>
      <w:r>
        <w:rPr>
          <w:rFonts w:hint="eastAsia" w:ascii="仿宋" w:hAnsi="仿宋" w:eastAsia="仿宋" w:cs="仿宋"/>
          <w:color w:val="auto"/>
          <w:kern w:val="0"/>
          <w:sz w:val="24"/>
          <w:highlight w:val="none"/>
          <w:u w:val="single"/>
        </w:rPr>
        <w:t xml:space="preserve">                           </w:t>
      </w:r>
    </w:p>
    <w:p>
      <w:pPr>
        <w:pStyle w:val="9"/>
        <w:rPr>
          <w:rFonts w:hint="eastAsia"/>
          <w:color w:val="auto"/>
          <w:highlight w:val="none"/>
        </w:rPr>
      </w:pPr>
    </w:p>
    <w:p>
      <w:pPr>
        <w:adjustRightInd w:val="0"/>
        <w:snapToGrid w:val="0"/>
        <w:spacing w:line="380" w:lineRule="exact"/>
        <w:rPr>
          <w:rFonts w:hint="eastAsia" w:ascii="仿宋" w:hAnsi="仿宋" w:eastAsia="仿宋" w:cs="仿宋"/>
          <w:color w:val="auto"/>
          <w:sz w:val="30"/>
          <w:szCs w:val="30"/>
          <w:highlight w:val="none"/>
        </w:rPr>
      </w:pPr>
      <w:r>
        <w:rPr>
          <w:rFonts w:hint="eastAsia" w:ascii="仿宋" w:hAnsi="仿宋" w:eastAsia="仿宋" w:cs="仿宋"/>
          <w:color w:val="auto"/>
          <w:sz w:val="24"/>
          <w:highlight w:val="none"/>
          <w:u w:val="single"/>
        </w:rPr>
        <w:br w:type="page"/>
      </w:r>
    </w:p>
    <w:p>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3.2法定代表人/负责人资格证明书及授权委托书</w:t>
      </w:r>
    </w:p>
    <w:p>
      <w:pPr>
        <w:spacing w:line="48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（1）法定代表人/负责人资格证明书</w:t>
      </w:r>
    </w:p>
    <w:p>
      <w:pPr>
        <w:pStyle w:val="23"/>
        <w:ind w:firstLine="480"/>
        <w:rPr>
          <w:rFonts w:ascii="仿宋" w:hAnsi="仿宋" w:eastAsia="仿宋" w:cs="仿宋"/>
          <w:color w:val="auto"/>
          <w:sz w:val="24"/>
          <w:szCs w:val="24"/>
          <w:highlight w:val="none"/>
        </w:rPr>
      </w:pPr>
      <w:r>
        <w:rPr>
          <w:rFonts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可使用下述格式，也可使用广东省工商行政管理局统一印制的法定代表人证明书格式）</w:t>
      </w:r>
    </w:p>
    <w:p>
      <w:pPr>
        <w:pStyle w:val="23"/>
        <w:jc w:val="center"/>
        <w:outlineLvl w:val="3"/>
        <w:rPr>
          <w:rFonts w:ascii="仿宋" w:hAnsi="仿宋" w:eastAsia="仿宋" w:cs="仿宋"/>
          <w:color w:val="auto"/>
          <w:sz w:val="24"/>
          <w:szCs w:val="24"/>
          <w:highlight w:val="none"/>
        </w:rPr>
      </w:pPr>
      <w:r>
        <w:rPr>
          <w:rFonts w:ascii="仿宋" w:hAnsi="仿宋" w:eastAsia="仿宋" w:cs="仿宋"/>
          <w:b/>
          <w:color w:val="auto"/>
          <w:sz w:val="24"/>
          <w:szCs w:val="24"/>
          <w:highlight w:val="none"/>
        </w:rPr>
        <w:t>法定代表人证明书</w:t>
      </w:r>
    </w:p>
    <w:p>
      <w:pPr>
        <w:pStyle w:val="23"/>
        <w:rPr>
          <w:rFonts w:ascii="仿宋" w:hAnsi="仿宋" w:eastAsia="仿宋" w:cs="仿宋"/>
          <w:color w:val="auto"/>
          <w:sz w:val="24"/>
          <w:szCs w:val="24"/>
          <w:highlight w:val="none"/>
        </w:rPr>
      </w:pP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现任我单位</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职务，为法定代表人，特此证明。</w:t>
      </w:r>
    </w:p>
    <w:p>
      <w:pPr>
        <w:pStyle w:val="23"/>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有效期限：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3"/>
        <w:ind w:firstLine="240" w:firstLineChars="100"/>
        <w:rPr>
          <w:rFonts w:hint="default" w:ascii="仿宋" w:hAnsi="仿宋" w:eastAsia="仿宋" w:cs="仿宋"/>
          <w:color w:val="auto"/>
          <w:sz w:val="24"/>
          <w:szCs w:val="24"/>
          <w:highlight w:val="none"/>
          <w:lang w:val="en-US" w:eastAsia="zh-CN"/>
        </w:rPr>
      </w:pPr>
      <w:r>
        <w:rPr>
          <w:rFonts w:ascii="仿宋" w:hAnsi="仿宋" w:eastAsia="仿宋" w:cs="仿宋"/>
          <w:color w:val="auto"/>
          <w:sz w:val="24"/>
          <w:szCs w:val="24"/>
          <w:highlight w:val="none"/>
        </w:rPr>
        <w:t>附：代表人性别：</w:t>
      </w:r>
      <w:r>
        <w:rPr>
          <w:rFonts w:hint="eastAsia" w:ascii="仿宋" w:hAnsi="仿宋" w:eastAsia="仿宋" w:cs="仿宋"/>
          <w:color w:val="auto"/>
          <w:sz w:val="24"/>
          <w:highlight w:val="none"/>
          <w:u w:val="single"/>
        </w:rPr>
        <w:t xml:space="preserve">        </w:t>
      </w:r>
      <w:r>
        <w:rPr>
          <w:rFonts w:ascii="仿宋" w:hAnsi="仿宋" w:eastAsia="仿宋" w:cs="仿宋"/>
          <w:color w:val="auto"/>
          <w:sz w:val="24"/>
          <w:szCs w:val="24"/>
          <w:highlight w:val="none"/>
        </w:rPr>
        <w:t>年龄：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身份证号码：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23"/>
        <w:ind w:firstLine="240" w:firstLineChars="100"/>
        <w:rPr>
          <w:rFonts w:ascii="仿宋" w:hAnsi="仿宋" w:eastAsia="仿宋" w:cs="仿宋"/>
          <w:color w:val="auto"/>
          <w:sz w:val="24"/>
          <w:szCs w:val="24"/>
          <w:highlight w:val="none"/>
        </w:rPr>
      </w:pPr>
      <w:r>
        <w:rPr>
          <w:rFonts w:ascii="仿宋" w:hAnsi="仿宋" w:eastAsia="仿宋" w:cs="仿宋"/>
          <w:color w:val="auto"/>
          <w:sz w:val="24"/>
          <w:szCs w:val="24"/>
          <w:highlight w:val="none"/>
        </w:rPr>
        <w:t>注册号码：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ascii="仿宋" w:hAnsi="仿宋" w:eastAsia="仿宋" w:cs="仿宋"/>
          <w:color w:val="auto"/>
          <w:sz w:val="24"/>
          <w:szCs w:val="24"/>
          <w:highlight w:val="none"/>
        </w:rPr>
        <w:t>企业类型：</w:t>
      </w:r>
    </w:p>
    <w:p>
      <w:pPr>
        <w:pStyle w:val="23"/>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经营</w:t>
      </w:r>
      <w:r>
        <w:rPr>
          <w:rFonts w:ascii="仿宋" w:hAnsi="仿宋" w:eastAsia="仿宋" w:cs="仿宋"/>
          <w:color w:val="auto"/>
          <w:sz w:val="24"/>
          <w:szCs w:val="24"/>
          <w:highlight w:val="none"/>
        </w:rPr>
        <w:t>范围：</w:t>
      </w:r>
      <w:r>
        <w:rPr>
          <w:rFonts w:hint="eastAsia" w:ascii="仿宋" w:hAnsi="仿宋" w:eastAsia="仿宋" w:cs="仿宋"/>
          <w:color w:val="auto"/>
          <w:sz w:val="24"/>
          <w:highlight w:val="none"/>
          <w:u w:val="single"/>
        </w:rPr>
        <w:t xml:space="preserve">                </w:t>
      </w:r>
    </w:p>
    <w:p>
      <w:pPr>
        <w:pStyle w:val="23"/>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响应供应商</w:t>
      </w:r>
      <w:r>
        <w:rPr>
          <w:rFonts w:ascii="仿宋" w:hAnsi="仿宋" w:eastAsia="仿宋" w:cs="仿宋"/>
          <w:color w:val="auto"/>
          <w:sz w:val="24"/>
          <w:szCs w:val="24"/>
          <w:highlight w:val="none"/>
        </w:rPr>
        <w:t>名称（盖章）：</w:t>
      </w:r>
      <w:r>
        <w:rPr>
          <w:rFonts w:hint="eastAsia" w:ascii="仿宋" w:hAnsi="仿宋" w:eastAsia="仿宋" w:cs="仿宋"/>
          <w:color w:val="auto"/>
          <w:sz w:val="24"/>
          <w:highlight w:val="none"/>
          <w:u w:val="singl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地址：</w:t>
      </w:r>
      <w:r>
        <w:rPr>
          <w:rFonts w:hint="eastAsia" w:ascii="仿宋" w:hAnsi="仿宋" w:eastAsia="仿宋" w:cs="仿宋"/>
          <w:color w:val="auto"/>
          <w:sz w:val="24"/>
          <w:highlight w:val="none"/>
          <w:u w:val="singl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响应供应商法定代表人</w:t>
      </w:r>
      <w:r>
        <w:rPr>
          <w:rFonts w:ascii="仿宋" w:hAnsi="仿宋" w:eastAsia="仿宋" w:cs="仿宋"/>
          <w:color w:val="auto"/>
          <w:sz w:val="24"/>
          <w:szCs w:val="24"/>
          <w:highlight w:val="none"/>
        </w:rPr>
        <w:t>（签字或盖章）：</w:t>
      </w:r>
      <w:r>
        <w:rPr>
          <w:rFonts w:hint="eastAsia" w:ascii="仿宋" w:hAnsi="仿宋" w:eastAsia="仿宋" w:cs="仿宋"/>
          <w:color w:val="auto"/>
          <w:sz w:val="24"/>
          <w:highlight w:val="none"/>
          <w:u w:val="single"/>
        </w:rPr>
        <w:t xml:space="preserve">                </w:t>
      </w:r>
    </w:p>
    <w:p>
      <w:pPr>
        <w:pStyle w:val="23"/>
        <w:rPr>
          <w:rFonts w:ascii="仿宋" w:hAnsi="仿宋" w:eastAsia="仿宋" w:cs="仿宋"/>
          <w:color w:val="auto"/>
          <w:sz w:val="24"/>
          <w:szCs w:val="24"/>
          <w:highlight w:val="none"/>
          <w:u w:val="singl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职务：</w:t>
      </w:r>
      <w:r>
        <w:rPr>
          <w:rFonts w:hint="eastAsia" w:ascii="仿宋" w:hAnsi="仿宋" w:eastAsia="仿宋" w:cs="仿宋"/>
          <w:color w:val="auto"/>
          <w:sz w:val="24"/>
          <w:highlight w:val="none"/>
          <w:u w:val="single"/>
        </w:rPr>
        <w:t xml:space="preserve">                        </w:t>
      </w:r>
    </w:p>
    <w:p>
      <w:pPr>
        <w:pStyle w:val="23"/>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ascii="仿宋" w:hAnsi="仿宋" w:eastAsia="仿宋" w:cs="仿宋"/>
          <w:color w:val="auto"/>
          <w:sz w:val="24"/>
          <w:szCs w:val="24"/>
          <w:highlight w:val="none"/>
        </w:rPr>
        <w:t>日期： 年 月 日</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 xml:space="preserve"> </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rPr>
        <w:t>为避免响应无效，请供应商务必提供本附件</w:t>
      </w:r>
      <w:r>
        <w:rPr>
          <w:rFonts w:hint="eastAsia" w:ascii="仿宋" w:hAnsi="仿宋" w:eastAsia="仿宋" w:cs="仿宋"/>
          <w:b/>
          <w:color w:val="auto"/>
          <w:sz w:val="28"/>
          <w:szCs w:val="28"/>
          <w:highlight w:val="none"/>
          <w:lang w:eastAsia="zh-CN"/>
        </w:rPr>
        <w:t>）</w:t>
      </w: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mc:AlternateContent>
          <mc:Choice Requires="wps">
            <w:drawing>
              <wp:anchor distT="0" distB="0" distL="114300" distR="114300" simplePos="0" relativeHeight="251685888" behindDoc="0" locked="0" layoutInCell="1" allowOverlap="1">
                <wp:simplePos x="0" y="0"/>
                <wp:positionH relativeFrom="column">
                  <wp:posOffset>2922905</wp:posOffset>
                </wp:positionH>
                <wp:positionV relativeFrom="paragraph">
                  <wp:posOffset>5715</wp:posOffset>
                </wp:positionV>
                <wp:extent cx="2333625" cy="1584325"/>
                <wp:effectExtent l="4445" t="4445" r="8890" b="11430"/>
                <wp:wrapNone/>
                <wp:docPr id="4" name="流程图: 可选过程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30.15pt;margin-top:0.45pt;height:124.75pt;width:183.75pt;z-index:251685888;mso-width-relative:page;mso-height-relative:page;" fillcolor="#FFFFFF" filled="t" stroked="t" coordsize="21600,21600" o:gfxdata="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VPlDdcAAAAIAQAADwAAAAAAAAAB&#10;ACAAAAAiAAAAZHJzL2Rvd25yZXYueG1sUEsBAhQAFAAAAAgAh07iQIj7VQ0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hint="eastAsia" w:ascii="仿宋" w:hAnsi="仿宋" w:eastAsia="仿宋" w:cs="仿宋"/>
          <w:b/>
          <w:color w:val="auto"/>
          <w:sz w:val="28"/>
          <w:szCs w:val="28"/>
          <w:highlight w:val="none"/>
        </w:rPr>
        <mc:AlternateContent>
          <mc:Choice Requires="wps">
            <w:drawing>
              <wp:anchor distT="0" distB="0" distL="114300" distR="114300" simplePos="0" relativeHeight="251683840" behindDoc="0" locked="0" layoutInCell="1" allowOverlap="1">
                <wp:simplePos x="0" y="0"/>
                <wp:positionH relativeFrom="column">
                  <wp:posOffset>182880</wp:posOffset>
                </wp:positionH>
                <wp:positionV relativeFrom="paragraph">
                  <wp:posOffset>43815</wp:posOffset>
                </wp:positionV>
                <wp:extent cx="2333625" cy="1584325"/>
                <wp:effectExtent l="4445" t="4445" r="8890" b="11430"/>
                <wp:wrapNone/>
                <wp:docPr id="5" name="流程图: 可选过程 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4.4pt;margin-top:3.45pt;height:124.75pt;width:183.75pt;z-index:251683840;mso-width-relative:page;mso-height-relative:page;" fillcolor="#FFFFFF" filled="t" stroked="t" coordsize="21600,21600" o:gfxdata="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S+wB1gAAAAgBAAAPAAAAAAAAAAEA&#10;IAAAACIAAABkcnMvZG93bnJldi54bWxQSwECFAAUAAAACACHTuJAteALPRECAAAQBAAADgAAAAAA&#10;AAABACAAAAAlAQAAZHJzL2Uyb0RvYy54bWxQSwUGAAAAAAYABgBZAQAAqA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p>
    <w:p>
      <w:pPr>
        <w:spacing w:line="48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（2）法定代表人/负责人授权委托书</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（对于银行、保险、电信、邮政、铁路等行业以及获得总公司</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授权的分公司，可以提供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分支机构负责人授权书）</w:t>
      </w:r>
    </w:p>
    <w:p>
      <w:pPr>
        <w:jc w:val="center"/>
        <w:rPr>
          <w:rFonts w:hint="eastAsia" w:ascii="仿宋" w:hAnsi="仿宋" w:eastAsia="仿宋" w:cs="仿宋"/>
          <w:b/>
          <w:color w:val="auto"/>
          <w:sz w:val="24"/>
          <w:highlight w:val="none"/>
        </w:rPr>
      </w:pPr>
    </w:p>
    <w:p>
      <w:pPr>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法定代表人授权书</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惠州市第一妇幼保健院</w:t>
      </w: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本授权书声明：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是注册于</w:t>
      </w:r>
      <w:r>
        <w:rPr>
          <w:rFonts w:hint="eastAsia" w:ascii="仿宋" w:hAnsi="仿宋" w:eastAsia="仿宋" w:cs="仿宋"/>
          <w:color w:val="auto"/>
          <w:sz w:val="24"/>
          <w:highlight w:val="none"/>
          <w:u w:val="single"/>
        </w:rPr>
        <w:t>（国家或地区）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eastAsia="zh-CN"/>
        </w:rPr>
        <w:t>响应供应商</w:t>
      </w:r>
      <w:r>
        <w:rPr>
          <w:rFonts w:hint="eastAsia" w:ascii="仿宋" w:hAnsi="仿宋" w:eastAsia="仿宋" w:cs="仿宋"/>
          <w:color w:val="auto"/>
          <w:sz w:val="24"/>
          <w:highlight w:val="none"/>
          <w:u w:val="single"/>
        </w:rPr>
        <w:t>名称）</w:t>
      </w:r>
      <w:r>
        <w:rPr>
          <w:rFonts w:hint="eastAsia" w:ascii="仿宋" w:hAnsi="仿宋" w:eastAsia="仿宋" w:cs="仿宋"/>
          <w:color w:val="auto"/>
          <w:sz w:val="24"/>
          <w:highlight w:val="none"/>
        </w:rPr>
        <w:t>的法定代表人，现任</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职务，有效证件号码：</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。现授权</w:t>
      </w:r>
      <w:r>
        <w:rPr>
          <w:rFonts w:hint="eastAsia" w:ascii="仿宋" w:hAnsi="仿宋" w:eastAsia="仿宋" w:cs="仿宋"/>
          <w:color w:val="auto"/>
          <w:sz w:val="24"/>
          <w:highlight w:val="none"/>
          <w:u w:val="single"/>
        </w:rPr>
        <w:t>（姓名、职务）</w:t>
      </w:r>
      <w:r>
        <w:rPr>
          <w:rFonts w:hint="eastAsia" w:ascii="仿宋" w:hAnsi="仿宋" w:eastAsia="仿宋" w:cs="仿宋"/>
          <w:color w:val="auto"/>
          <w:sz w:val="24"/>
          <w:highlight w:val="none"/>
        </w:rPr>
        <w:t>作为我公司的全权代理人，就“</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”项目采购[采购项目编号为</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和合同执行，以我方的名义处理一切与之有关的事宜。</w:t>
      </w:r>
    </w:p>
    <w:p>
      <w:pPr>
        <w:ind w:firstLine="480"/>
        <w:rPr>
          <w:rFonts w:hint="eastAsia" w:ascii="仿宋" w:hAnsi="仿宋" w:eastAsia="仿宋" w:cs="仿宋"/>
          <w:color w:val="auto"/>
          <w:sz w:val="24"/>
          <w:highlight w:val="none"/>
        </w:rPr>
      </w:pPr>
    </w:p>
    <w:p>
      <w:pPr>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日签字生效，特此声明。</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rPr>
        <w:t xml:space="preserve"> 地址：</w:t>
      </w:r>
      <w:r>
        <w:rPr>
          <w:rFonts w:hint="eastAsia" w:ascii="仿宋" w:hAnsi="仿宋" w:eastAsia="仿宋" w:cs="仿宋"/>
          <w:color w:val="auto"/>
          <w:sz w:val="24"/>
          <w:highlight w:val="none"/>
          <w:u w:val="single"/>
          <w:lang w:val="en-US" w:eastAsia="zh-CN"/>
        </w:rPr>
        <w:t xml:space="preserve">               </w:t>
      </w:r>
    </w:p>
    <w:p>
      <w:pPr>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响应供应商法定代表人</w:t>
      </w:r>
      <w:r>
        <w:rPr>
          <w:rFonts w:hint="eastAsia" w:ascii="仿宋" w:hAnsi="仿宋" w:eastAsia="仿宋" w:cs="仿宋"/>
          <w:color w:val="auto"/>
          <w:sz w:val="24"/>
          <w:highlight w:val="none"/>
        </w:rPr>
        <w:t>（签字或盖章）：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法定代表人授权代表（签字或盖章）：</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职务：</w:t>
      </w:r>
      <w:r>
        <w:rPr>
          <w:rFonts w:hint="eastAsia" w:ascii="仿宋" w:hAnsi="仿宋" w:eastAsia="仿宋" w:cs="仿宋"/>
          <w:color w:val="auto"/>
          <w:sz w:val="24"/>
          <w:highlight w:val="none"/>
          <w:u w:val="single"/>
          <w:lang w:val="en-US" w:eastAsia="zh-CN"/>
        </w:rPr>
        <w:t xml:space="preserve">               </w:t>
      </w:r>
    </w:p>
    <w:p>
      <w:pPr>
        <w:rPr>
          <w:rFonts w:hint="eastAsia" w:ascii="仿宋" w:hAnsi="仿宋" w:eastAsia="仿宋" w:cs="仿宋"/>
          <w:color w:val="auto"/>
          <w:sz w:val="24"/>
          <w:highlight w:val="none"/>
        </w:rPr>
      </w:pPr>
      <w:bookmarkStart w:id="1" w:name="_GoBack"/>
      <w:bookmarkEnd w:id="1"/>
      <w:r>
        <w:rPr>
          <w:rFonts w:hint="eastAsia" w:ascii="仿宋" w:hAnsi="仿宋" w:eastAsia="仿宋" w:cs="仿宋"/>
          <w:color w:val="auto"/>
          <w:sz w:val="24"/>
          <w:highlight w:val="none"/>
        </w:rPr>
        <w:t>日期： 年 月 日</w:t>
      </w:r>
    </w:p>
    <w:p>
      <w:pPr>
        <w:ind w:firstLine="480"/>
        <w:rPr>
          <w:color w:val="auto"/>
          <w:highlight w:val="none"/>
        </w:rPr>
      </w:pPr>
    </w:p>
    <w:p>
      <w:pPr>
        <w:pStyle w:val="2"/>
        <w:rPr>
          <w:color w:val="auto"/>
          <w:highlight w:val="none"/>
        </w:rPr>
      </w:pPr>
    </w:p>
    <w:p>
      <w:pPr>
        <w:spacing w:line="360" w:lineRule="auto"/>
        <w:ind w:firstLine="42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84864" behindDoc="0" locked="0" layoutInCell="1" allowOverlap="1">
                <wp:simplePos x="0" y="0"/>
                <wp:positionH relativeFrom="column">
                  <wp:posOffset>-9525</wp:posOffset>
                </wp:positionH>
                <wp:positionV relativeFrom="paragraph">
                  <wp:posOffset>84455</wp:posOffset>
                </wp:positionV>
                <wp:extent cx="2333625" cy="1584325"/>
                <wp:effectExtent l="4445" t="4445" r="8890" b="11430"/>
                <wp:wrapNone/>
                <wp:docPr id="3" name="流程图: 可选过程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wps:txbx>
                      <wps:bodyPr upright="1"/>
                    </wps:wsp>
                  </a:graphicData>
                </a:graphic>
              </wp:anchor>
            </w:drawing>
          </mc:Choice>
          <mc:Fallback>
            <w:pict>
              <v:shape id="_x0000_s1026" o:spid="_x0000_s1026" o:spt="176" type="#_x0000_t176" style="position:absolute;left:0pt;margin-left:-0.75pt;margin-top:6.65pt;height:124.75pt;width:183.75pt;z-index:251684864;mso-width-relative:page;mso-height-relative:page;" fillcolor="#FFFFFF" filled="t" stroked="t" coordsize="21600,21600" o:gfxdata="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l/zInXAAAACQEAAA8AAAAAAAAA&#10;AQAgAAAAIgAAAGRycy9kb3ducmV2LnhtbFBLAQIUABQAAAAIAIdO4kA7us+cEgIAABAEAAAOAAAA&#10;AAAAAAEAIAAAACYBAABkcnMvZTJvRG9jLnhtbFBLBQYAAAAABgAGAFkBAACq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代理人身份证复印件正面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87936" behindDoc="0" locked="0" layoutInCell="1" allowOverlap="1">
                <wp:simplePos x="0" y="0"/>
                <wp:positionH relativeFrom="column">
                  <wp:posOffset>2889885</wp:posOffset>
                </wp:positionH>
                <wp:positionV relativeFrom="paragraph">
                  <wp:posOffset>62230</wp:posOffset>
                </wp:positionV>
                <wp:extent cx="2333625" cy="1584325"/>
                <wp:effectExtent l="4445" t="4445" r="8890" b="11430"/>
                <wp:wrapNone/>
                <wp:docPr id="1" name="流程图: 可选过程 1"/>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wps:txbx>
                      <wps:bodyPr upright="1"/>
                    </wps:wsp>
                  </a:graphicData>
                </a:graphic>
              </wp:anchor>
            </w:drawing>
          </mc:Choice>
          <mc:Fallback>
            <w:pict>
              <v:shape id="_x0000_s1026" o:spid="_x0000_s1026" o:spt="176" type="#_x0000_t176" style="position:absolute;left:0pt;margin-left:227.55pt;margin-top:4.9pt;height:124.75pt;width:183.75pt;z-index:251687936;mso-width-relative:page;mso-height-relative:page;" fillcolor="#FFFFFF" filled="t" stroked="t" coordsize="21600,21600" o:gfxdata="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b59pdcAAAAJAQAADwAAAAAAAAAB&#10;ACAAAAAiAAAAZHJzL2Rvd25yZXYueG1sUEsBAhQAFAAAAAgAh07iQEGMc/wRAgAAEAQAAA4AAAAA&#10;AAAAAQAgAAAAJgEAAGRycy9lMm9Eb2MueG1sUEsFBgAAAAAGAAYAWQEAAKk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代理人身份证复印件反面</w:t>
                      </w:r>
                    </w:p>
                  </w:txbxContent>
                </v:textbox>
              </v:shape>
            </w:pict>
          </mc:Fallback>
        </mc:AlternateContent>
      </w:r>
      <w:r>
        <w:rPr>
          <w:rFonts w:hint="eastAsia" w:ascii="仿宋" w:hAnsi="仿宋" w:eastAsia="仿宋" w:cs="仿宋"/>
          <w:color w:val="auto"/>
          <w:sz w:val="28"/>
          <w:szCs w:val="28"/>
          <w:highlight w:val="none"/>
          <w:u w:val="single"/>
        </w:rPr>
        <mc:AlternateContent>
          <mc:Choice Requires="wps">
            <w:drawing>
              <wp:anchor distT="0" distB="0" distL="114300" distR="114300" simplePos="0" relativeHeight="251686912" behindDoc="0" locked="0" layoutInCell="1" allowOverlap="1">
                <wp:simplePos x="0" y="0"/>
                <wp:positionH relativeFrom="column">
                  <wp:posOffset>1030605</wp:posOffset>
                </wp:positionH>
                <wp:positionV relativeFrom="paragraph">
                  <wp:posOffset>7917180</wp:posOffset>
                </wp:positionV>
                <wp:extent cx="233362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wps:txbx>
                      <wps:bodyPr upright="1"/>
                    </wps:wsp>
                  </a:graphicData>
                </a:graphic>
              </wp:anchor>
            </w:drawing>
          </mc:Choice>
          <mc:Fallback>
            <w:pict>
              <v:shape id="_x0000_s1026" o:spid="_x0000_s1026" o:spt="176" type="#_x0000_t176" style="position:absolute;left:0pt;margin-left:81.15pt;margin-top:623.4pt;height:124.75pt;width:183.75pt;z-index:251686912;mso-width-relative:page;mso-height-relative:page;" fillcolor="#FFFFFF" filled="t" stroked="t" coordsize="21600,21600" o:gfxdata="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XDLHtkAAAANAQAADwAAAAAA&#10;AAABACAAAAAiAAAAZHJzL2Rvd25yZXYueG1sUEsBAhQAFAAAAAgAh07iQAahkawSAgAAEAQAAA4A&#10;AAAAAAAAAQAgAAAAKAEAAGRycy9lMm9Eb2MueG1sUEsFBgAAAAAGAAYAWQEAAKw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p>
    <w:p>
      <w:pPr>
        <w:spacing w:line="30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pPr>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3.</w:t>
      </w:r>
      <w:r>
        <w:rPr>
          <w:rFonts w:hint="eastAsia" w:ascii="仿宋" w:hAnsi="仿宋" w:eastAsia="仿宋" w:cs="仿宋"/>
          <w:b/>
          <w:color w:val="auto"/>
          <w:sz w:val="24"/>
          <w:highlight w:val="none"/>
        </w:rPr>
        <w:t>3关于资格的声明函</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lang w:eastAsia="zh-CN"/>
        </w:rPr>
        <w:t>惠州市第一妇幼保健院</w:t>
      </w:r>
      <w:r>
        <w:rPr>
          <w:rFonts w:hint="eastAsia" w:ascii="仿宋" w:hAnsi="仿宋" w:eastAsia="仿宋" w:cs="仿宋"/>
          <w:color w:val="auto"/>
          <w:sz w:val="24"/>
          <w:highlight w:val="none"/>
          <w:u w:val="single"/>
        </w:rPr>
        <w:t>：</w:t>
      </w:r>
    </w:p>
    <w:p>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关于贵方采购项目名称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响应邀请，本签字人愿意参加响应，提供比选文件中规定的货物、服务及工程，并证明提交的下列文件和说明是准确的和真实的。</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1.具备《</w:t>
      </w:r>
      <w:r>
        <w:rPr>
          <w:rFonts w:hint="eastAsia" w:ascii="仿宋" w:hAnsi="仿宋" w:eastAsia="仿宋" w:cs="仿宋"/>
          <w:color w:val="auto"/>
          <w:sz w:val="24"/>
          <w:highlight w:val="none"/>
          <w:lang w:eastAsia="zh-CN"/>
        </w:rPr>
        <w:t>中华人民共和国政府采购法</w:t>
      </w:r>
      <w:r>
        <w:rPr>
          <w:rFonts w:hint="eastAsia" w:ascii="仿宋" w:hAnsi="仿宋" w:eastAsia="仿宋" w:cs="仿宋"/>
          <w:color w:val="auto"/>
          <w:sz w:val="24"/>
          <w:highlight w:val="none"/>
        </w:rPr>
        <w:t>》第二十二条规定的条件</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且提供以下证明文件：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（1）在中华人民共和国境内注册的具有独立承担民事责任能力的法人或其他组织（提供营业执照等证明文件）；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（2）供应商必须具有良好的商业信誉和健全的财务会计制度。可提供：①</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年至今任意一年经审计的审计报告复印件（包含审计报告中所涉及的财务报表和报表附注）；或②</w:t>
      </w:r>
      <w:r>
        <w:rPr>
          <w:rFonts w:hint="eastAsia" w:ascii="仿宋" w:hAnsi="仿宋" w:eastAsia="仿宋" w:cs="仿宋"/>
          <w:color w:val="auto"/>
          <w:sz w:val="24"/>
          <w:highlight w:val="none"/>
          <w:lang w:eastAsia="zh-CN"/>
        </w:rPr>
        <w:t>2022</w:t>
      </w:r>
      <w:r>
        <w:rPr>
          <w:rFonts w:hint="eastAsia" w:ascii="仿宋" w:hAnsi="仿宋" w:eastAsia="仿宋" w:cs="仿宋"/>
          <w:color w:val="auto"/>
          <w:sz w:val="24"/>
          <w:highlight w:val="none"/>
        </w:rPr>
        <w:t>年度至今任意一年</w:t>
      </w:r>
      <w:r>
        <w:rPr>
          <w:rFonts w:hint="eastAsia" w:ascii="仿宋" w:hAnsi="仿宋" w:eastAsia="仿宋" w:cs="仿宋"/>
          <w:color w:val="auto"/>
          <w:kern w:val="0"/>
          <w:sz w:val="24"/>
          <w:szCs w:val="24"/>
          <w:highlight w:val="none"/>
          <w:lang w:eastAsia="zh-CN"/>
        </w:rPr>
        <w:t>响应供应商</w:t>
      </w:r>
      <w:r>
        <w:rPr>
          <w:rFonts w:hint="eastAsia" w:ascii="仿宋" w:hAnsi="仿宋" w:eastAsia="仿宋" w:cs="仿宋"/>
          <w:color w:val="auto"/>
          <w:sz w:val="24"/>
          <w:highlight w:val="none"/>
        </w:rPr>
        <w:t>内部的财务报表复印件（新成立公司提供成立至今的月或季度财务报表复印件）；或③截至</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文件递交截止日</w:t>
      </w:r>
      <w:r>
        <w:rPr>
          <w:rFonts w:hint="eastAsia" w:ascii="仿宋" w:hAnsi="仿宋" w:eastAsia="仿宋" w:cs="仿宋"/>
          <w:color w:val="auto"/>
          <w:sz w:val="24"/>
          <w:highlight w:val="none"/>
          <w:lang w:eastAsia="zh-CN"/>
        </w:rPr>
        <w:t>12个月内银行</w:t>
      </w:r>
      <w:r>
        <w:rPr>
          <w:rFonts w:hint="eastAsia" w:ascii="仿宋" w:hAnsi="仿宋" w:eastAsia="仿宋" w:cs="仿宋"/>
          <w:color w:val="auto"/>
          <w:sz w:val="24"/>
          <w:highlight w:val="none"/>
        </w:rPr>
        <w:t>出具的资信证明（复印件）；</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（3）比选截止时间前一年内任意一个月的依法缴纳税收证明材料（如依法免税，则须提供相应文件证明其依法免税）；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（4）比选截止时间前一年内任意一个月的依法缴纳社会保险凭据（如依法不需要缴纳社保，则须提供相应文件证明其依法不需要缴纳）或书面声明；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（5）履行合同所必需的设备和专业技术能力的证明材料或书面声明；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（6）参加政府采购活动前3年内在经营活动中没有重大违法记录的书面声明。</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供应商没有被列入失信被执行人、重大税收违法案件当事人名单、政府采购严重违法失信行为记录名单及其他不符合规定条件的供应商。[根据信用中国网站（www.creditchina.gov.cn）、中国政府采购网（www.ccgp.gov.cn）主体信用记录信息进行查询]。</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3.单位负责人为同一人或者存在直接控股、管理关系的不同供应商，不得参加同一包号比选或者未划分包号的同一采购项目。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eastAsia="zh-CN"/>
        </w:rPr>
        <w:t>为本采购项目提供整体设计、规范编制或者项目管理、监理、检测等服务的供应商，不得再参加本采购项目的采购活动。（</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5.本项目不接受联合体参加比选，不允许响应供应商对各比选项目进行分包或转包</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供应商出具声明函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6.本项目是专门面向中小企业采购的项目。（提供《中小企业声明函》，具体格式文件见比价文件</w:t>
      </w:r>
      <w:r>
        <w:rPr>
          <w:rFonts w:hint="eastAsia" w:ascii="仿宋" w:hAnsi="仿宋" w:eastAsia="仿宋" w:cs="仿宋"/>
          <w:color w:val="auto"/>
          <w:sz w:val="24"/>
          <w:highlight w:val="yellow"/>
          <w:lang w:val="en-US" w:eastAsia="zh-CN"/>
        </w:rPr>
        <w:t>P51中</w:t>
      </w:r>
      <w:r>
        <w:rPr>
          <w:rFonts w:hint="eastAsia" w:ascii="仿宋" w:hAnsi="仿宋" w:eastAsia="仿宋" w:cs="仿宋"/>
          <w:color w:val="auto"/>
          <w:sz w:val="24"/>
          <w:highlight w:val="none"/>
          <w:lang w:val="en-US" w:eastAsia="zh-CN"/>
        </w:rPr>
        <w:t>小企业声明函（工程、服务）</w:t>
      </w:r>
      <w:r>
        <w:rPr>
          <w:rFonts w:hint="eastAsia" w:ascii="仿宋" w:hAnsi="仿宋" w:eastAsia="仿宋" w:cs="仿宋"/>
          <w:color w:val="auto"/>
          <w:sz w:val="24"/>
          <w:highlight w:val="none"/>
          <w:lang w:val="hr-HR" w:eastAsia="zh-CN"/>
        </w:rPr>
        <w:t>，未按要求提供声明函的将导致响应无效</w:t>
      </w:r>
      <w:r>
        <w:rPr>
          <w:rFonts w:hint="eastAsia" w:ascii="仿宋" w:hAnsi="仿宋" w:eastAsia="仿宋" w:cs="仿宋"/>
          <w:color w:val="auto"/>
          <w:sz w:val="24"/>
          <w:highlight w:val="none"/>
          <w:lang w:val="en-US" w:eastAsia="zh-CN"/>
        </w:rPr>
        <w:t>）。本项目中小企业划分标准所属行业为：软件和信息技术服务业。</w:t>
      </w:r>
    </w:p>
    <w:p>
      <w:pPr>
        <w:spacing w:line="48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7.已在医院办公室报名。</w:t>
      </w:r>
    </w:p>
    <w:p>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（相关资质及证明文件附后）</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pStyle w:val="2"/>
        <w:rPr>
          <w:rFonts w:hint="eastAsia"/>
          <w:color w:val="auto"/>
          <w:sz w:val="24"/>
          <w:szCs w:val="24"/>
          <w:highlight w:val="none"/>
        </w:rPr>
      </w:pPr>
      <w:r>
        <w:rPr>
          <w:color w:val="auto"/>
          <w:sz w:val="24"/>
          <w:highlight w:val="none"/>
        </w:rPr>
        <w:br w:type="page"/>
      </w:r>
      <w:r>
        <w:rPr>
          <w:rFonts w:hint="eastAsia" w:ascii="仿宋" w:hAnsi="仿宋" w:eastAsia="仿宋" w:cs="仿宋"/>
          <w:color w:val="auto"/>
          <w:highlight w:val="none"/>
        </w:rPr>
        <w:t>4 商务部分</w:t>
      </w:r>
    </w:p>
    <w:p>
      <w:pPr>
        <w:tabs>
          <w:tab w:val="left" w:pos="540"/>
        </w:tabs>
        <w:spacing w:line="400" w:lineRule="exact"/>
        <w:rPr>
          <w:rFonts w:hint="eastAsia" w:ascii="仿宋" w:hAnsi="仿宋" w:eastAsia="仿宋" w:cs="仿宋"/>
          <w:b/>
          <w:color w:val="auto"/>
          <w:sz w:val="24"/>
          <w:highlight w:val="none"/>
          <w:lang w:val="en-GB"/>
        </w:rPr>
      </w:pPr>
      <w:r>
        <w:rPr>
          <w:rFonts w:hint="eastAsia" w:ascii="仿宋" w:hAnsi="仿宋" w:eastAsia="仿宋" w:cs="仿宋"/>
          <w:b/>
          <w:color w:val="auto"/>
          <w:sz w:val="24"/>
          <w:highlight w:val="none"/>
        </w:rPr>
        <w:t>4.1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lang w:val="en-GB"/>
        </w:rPr>
        <w:t>其它</w:t>
      </w:r>
      <w:r>
        <w:rPr>
          <w:rFonts w:hint="eastAsia" w:ascii="仿宋" w:hAnsi="仿宋" w:eastAsia="仿宋" w:cs="仿宋"/>
          <w:b/>
          <w:color w:val="auto"/>
          <w:sz w:val="24"/>
          <w:highlight w:val="none"/>
          <w:lang w:val="en-GB" w:eastAsia="zh-CN"/>
        </w:rPr>
        <w:t>必须</w:t>
      </w:r>
      <w:r>
        <w:rPr>
          <w:rFonts w:hint="eastAsia" w:ascii="仿宋" w:hAnsi="仿宋" w:eastAsia="仿宋" w:cs="仿宋"/>
          <w:b/>
          <w:color w:val="auto"/>
          <w:sz w:val="24"/>
          <w:highlight w:val="none"/>
          <w:lang w:val="en-GB"/>
        </w:rPr>
        <w:t>重要事项说明及承诺(单页)</w:t>
      </w:r>
    </w:p>
    <w:p>
      <w:pPr>
        <w:tabs>
          <w:tab w:val="left" w:pos="540"/>
        </w:tabs>
        <w:spacing w:line="400" w:lineRule="exac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4"/>
          <w:highlight w:val="none"/>
          <w:lang w:val="en-US" w:eastAsia="zh-CN"/>
        </w:rPr>
        <w:t>4.1.1</w:t>
      </w:r>
      <w:r>
        <w:rPr>
          <w:rFonts w:hint="eastAsia" w:ascii="仿宋" w:hAnsi="仿宋" w:eastAsia="仿宋" w:cs="仿宋"/>
          <w:b w:val="0"/>
          <w:bCs/>
          <w:color w:val="auto"/>
          <w:sz w:val="24"/>
          <w:highlight w:val="none"/>
          <w:lang w:val="en-GB"/>
        </w:rPr>
        <w:t>近三年经营活动中无重大违法违规声明函</w:t>
      </w:r>
    </w:p>
    <w:p>
      <w:pPr>
        <w:adjustRightInd w:val="0"/>
        <w:snapToGrid w:val="0"/>
        <w:spacing w:line="400" w:lineRule="exact"/>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参加本项目前三年内，在经营活动中没有违法记录承诺函。</w:t>
      </w:r>
    </w:p>
    <w:p>
      <w:pPr>
        <w:adjustRightInd w:val="0"/>
        <w:snapToGrid w:val="0"/>
        <w:spacing w:line="4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近三年经营活动中无重大违法违规声明函</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本人以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响应供应商名称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法定代表人的资格，郑重声明：</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我公司在参加本项目采购活动前三年，在经营活动中无重大违法、违规的不良记录。若在本次项目响应的全过程中，被查实我公司提供的资料及上述声明不属实，或提供的相关资料不属实或不满足资格审查要求，</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有权取消我公司的响应及成交资格，且我公司将无条件承担由此给本次比选带来的一切后果，包括经济损失。</w:t>
      </w:r>
    </w:p>
    <w:p>
      <w:pPr>
        <w:adjustRightInd w:val="0"/>
        <w:snapToGrid w:val="0"/>
        <w:spacing w:line="400" w:lineRule="exact"/>
        <w:ind w:firstLine="555"/>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pPr>
        <w:adjustRightInd w:val="0"/>
        <w:snapToGrid w:val="0"/>
        <w:spacing w:line="400" w:lineRule="exact"/>
        <w:ind w:firstLine="555"/>
        <w:rPr>
          <w:rFonts w:hint="eastAsia" w:ascii="仿宋" w:hAnsi="仿宋" w:eastAsia="仿宋" w:cs="仿宋"/>
          <w:color w:val="auto"/>
          <w:sz w:val="24"/>
          <w:highlight w:val="none"/>
        </w:rPr>
      </w:pP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ascii="仿宋" w:hAnsi="仿宋" w:eastAsia="仿宋" w:cs="仿宋"/>
          <w:color w:val="auto"/>
          <w:sz w:val="24"/>
          <w:highlight w:val="none"/>
        </w:rPr>
        <w:br w:type="page"/>
      </w:r>
      <w:r>
        <w:rPr>
          <w:rFonts w:hint="eastAsia" w:ascii="仿宋" w:hAnsi="仿宋" w:eastAsia="仿宋" w:cs="仿宋"/>
          <w:color w:val="auto"/>
          <w:sz w:val="24"/>
          <w:highlight w:val="none"/>
          <w:lang w:val="en-US" w:eastAsia="zh-CN"/>
        </w:rPr>
        <w:t>4.1.</w:t>
      </w:r>
      <w:r>
        <w:rPr>
          <w:rFonts w:hint="eastAsia" w:ascii="仿宋" w:hAnsi="仿宋" w:eastAsia="仿宋" w:cs="仿宋"/>
          <w:color w:val="auto"/>
          <w:sz w:val="24"/>
          <w:highlight w:val="none"/>
        </w:rPr>
        <w:t>2诚信响应承诺书。</w:t>
      </w:r>
    </w:p>
    <w:p>
      <w:pPr>
        <w:spacing w:line="400" w:lineRule="exact"/>
        <w:jc w:val="center"/>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诚信响应承诺书(单页)</w:t>
      </w:r>
    </w:p>
    <w:p>
      <w:pPr>
        <w:spacing w:line="400" w:lineRule="exact"/>
        <w:ind w:left="-540" w:leftChars="-257"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惠州市第一妇幼保健院</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本企业郑重承诺：</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一、遵守政府采购法律、法规和规章制度，维护医院采购市场秩序和公平竞争环境，不恶意竞价；</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二、依法诚信参与医院比选、响应采购活动，自觉维护采购人合法权益；</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三、严格保守医院比选采购活动中获取的国家秘密和商业秘密；</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四、依法履行采购合同和采购活动中的各项承诺，为采购人提供符合规定质量标准的货物、工程和服务，以及优良的售后服务；</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五、依法诚信进行质疑与投诉活动；</w:t>
      </w:r>
    </w:p>
    <w:p>
      <w:pPr>
        <w:spacing w:line="400" w:lineRule="exact"/>
        <w:ind w:left="-540" w:leftChars="-257"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六、主动接受医院比选采购监督管理部门的监督检查。</w:t>
      </w:r>
    </w:p>
    <w:p>
      <w:pPr>
        <w:spacing w:line="400" w:lineRule="exact"/>
        <w:ind w:firstLine="420" w:firstLineChars="175"/>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本公司若有违反本承诺内容的行为，愿意承担相应的后果和法律责任，包括愿意接受医院作出的处罚。 </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400" w:lineRule="exac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400" w:lineRule="exact"/>
        <w:rPr>
          <w:rFonts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4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备注：附上</w:t>
      </w:r>
      <w:r>
        <w:rPr>
          <w:rFonts w:hint="eastAsia" w:ascii="仿宋" w:hAnsi="仿宋" w:eastAsia="仿宋" w:cs="仿宋"/>
          <w:color w:val="auto"/>
          <w:sz w:val="24"/>
          <w:highlight w:val="none"/>
          <w:lang w:bidi="ar"/>
        </w:rPr>
        <w:t>国家企业信用信息公示系统/信用中国/中国政府采购网查询的征信情况。</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rPr>
          <w:rFonts w:hint="eastAsia" w:ascii="仿宋" w:hAnsi="仿宋" w:eastAsia="仿宋" w:cs="仿宋"/>
          <w:color w:val="auto"/>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w:t>
      </w:r>
      <w:r>
        <w:rPr>
          <w:rFonts w:hint="eastAsia" w:ascii="仿宋" w:hAnsi="仿宋" w:eastAsia="仿宋" w:cs="仿宋"/>
          <w:color w:val="auto"/>
          <w:sz w:val="24"/>
          <w:highlight w:val="none"/>
          <w:lang w:eastAsia="zh-CN"/>
        </w:rPr>
        <w:t>中小企业声明函</w:t>
      </w:r>
      <w:r>
        <w:rPr>
          <w:rFonts w:hint="eastAsia" w:ascii="仿宋" w:hAnsi="仿宋" w:eastAsia="仿宋" w:cs="仿宋"/>
          <w:color w:val="auto"/>
          <w:sz w:val="24"/>
          <w:highlight w:val="none"/>
        </w:rPr>
        <w:t>。</w:t>
      </w:r>
    </w:p>
    <w:p>
      <w:pPr>
        <w:numPr>
          <w:ilvl w:val="0"/>
          <w:numId w:val="0"/>
        </w:numPr>
        <w:rPr>
          <w:rFonts w:hint="eastAsia" w:ascii="仿宋" w:hAnsi="仿宋" w:eastAsia="仿宋" w:cs="仿宋"/>
          <w:color w:val="auto"/>
          <w:sz w:val="24"/>
          <w:highlight w:val="none"/>
        </w:rPr>
      </w:pPr>
    </w:p>
    <w:p>
      <w:pPr>
        <w:numPr>
          <w:ilvl w:val="0"/>
          <w:numId w:val="0"/>
        </w:numPr>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numPr>
          <w:ilvl w:val="0"/>
          <w:numId w:val="0"/>
        </w:numPr>
        <w:rPr>
          <w:rFonts w:hint="eastAsia"/>
          <w:color w:val="auto"/>
          <w:highlight w:val="none"/>
        </w:rPr>
      </w:pPr>
      <w:bookmarkStart w:id="0" w:name="OLE_LINK3"/>
      <w:r>
        <w:rPr>
          <w:rFonts w:hint="eastAsia" w:ascii="仿宋" w:hAnsi="仿宋" w:eastAsia="仿宋" w:cs="仿宋"/>
          <w:color w:val="auto"/>
          <w:sz w:val="24"/>
          <w:highlight w:val="none"/>
          <w:lang w:val="en-US" w:eastAsia="zh-CN"/>
        </w:rPr>
        <w:t>4.1.3.1</w:t>
      </w:r>
      <w:bookmarkEnd w:id="0"/>
      <w:r>
        <w:rPr>
          <w:rFonts w:hint="eastAsia" w:ascii="仿宋" w:hAnsi="仿宋" w:eastAsia="仿宋" w:cs="仿宋"/>
          <w:color w:val="auto"/>
          <w:sz w:val="24"/>
          <w:highlight w:val="none"/>
        </w:rPr>
        <w:t>中小企业声明函（所投产品制造商为中小企业时提交本函，所属行业应符合采购文件中明确的本项目所属行业）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highlight w:val="none"/>
        </w:rPr>
      </w:pPr>
      <w:r>
        <w:rPr>
          <w:rFonts w:hint="eastAsia" w:ascii="仿宋" w:hAnsi="仿宋" w:eastAsia="仿宋" w:cs="仿宋"/>
          <w:b/>
          <w:color w:val="auto"/>
          <w:sz w:val="30"/>
          <w:szCs w:val="30"/>
          <w:highlight w:val="none"/>
          <w:lang w:val="hr-HR"/>
        </w:rPr>
        <w:t>中小企业声明函（货物）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2.（标的名称），属于（采购文件中明确的所属行业）行业；制造商为（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应当对其出具的《中小企业声明函》真实性负责，</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出具的《中小企业声明函》内容不实的，属于提供虚假材料谋取</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。在实际操作中，</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希望获得中小企业扶持政策支持的，应从制造商处获得充分、准确的信息。对相关制造商信息了解不充分，或者不能确定相关信息真实、准确的，不建议出具《中小企业声明函》。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4.1.3.2</w:t>
      </w:r>
      <w:r>
        <w:rPr>
          <w:rFonts w:hint="eastAsia" w:ascii="仿宋" w:hAnsi="仿宋" w:eastAsia="仿宋" w:cs="仿宋"/>
          <w:color w:val="auto"/>
          <w:sz w:val="24"/>
          <w:highlight w:val="none"/>
        </w:rPr>
        <w:t>中小企业声明函（承建本项目工程为中小企业或者承接本项目服务为中小企业时提交本函，所属行业应符合采购文件中明确的本项目所属行业）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中小企业声明函（工程、服务）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2.（标的名称），属于（采购文件中明确的所属行业）行业；承建（承接）企业为（</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），从业人员__________________人，营业收入为__________________万元，资产总额为__________________万元1，属于（中型企业、小型企业、微型企业）；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响应供应商</w:t>
      </w:r>
      <w:r>
        <w:rPr>
          <w:rFonts w:hint="eastAsia" w:ascii="仿宋" w:hAnsi="仿宋" w:eastAsia="仿宋" w:cs="仿宋"/>
          <w:color w:val="auto"/>
          <w:sz w:val="24"/>
          <w:highlight w:val="none"/>
        </w:rPr>
        <w:t>应当自行核实是否属于小微企业，并认真填写声明函，若有虚假将追究其责任。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4.1.4</w:t>
      </w: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监狱企业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提供由监狱管理局、戒毒管理局（含新疆生产建设兵团）出具的属于监狱企业的证明文件。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（以下格式文件由供应商根据需要选用）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30"/>
          <w:szCs w:val="30"/>
          <w:highlight w:val="none"/>
          <w:lang w:val="hr-HR"/>
        </w:rPr>
      </w:pPr>
      <w:r>
        <w:rPr>
          <w:rFonts w:hint="eastAsia" w:ascii="仿宋" w:hAnsi="仿宋" w:eastAsia="仿宋" w:cs="仿宋"/>
          <w:b/>
          <w:color w:val="auto"/>
          <w:sz w:val="30"/>
          <w:szCs w:val="30"/>
          <w:highlight w:val="none"/>
          <w:lang w:val="hr-HR"/>
        </w:rPr>
        <w:t>残疾人福利性单位声明函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响应供应商名称</w:t>
      </w:r>
      <w:r>
        <w:rPr>
          <w:rFonts w:hint="eastAsia" w:ascii="仿宋" w:hAnsi="仿宋" w:eastAsia="仿宋" w:cs="仿宋"/>
          <w:color w:val="auto"/>
          <w:sz w:val="24"/>
          <w:highlight w:val="none"/>
        </w:rPr>
        <w:t>（盖章）：__________________</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注：本函未填写或未勾选视作未</w:t>
      </w:r>
      <w:r>
        <w:rPr>
          <w:rFonts w:hint="eastAsia" w:ascii="仿宋" w:hAnsi="仿宋" w:eastAsia="仿宋" w:cs="仿宋"/>
          <w:color w:val="auto"/>
          <w:sz w:val="24"/>
          <w:highlight w:val="none"/>
          <w:lang w:eastAsia="zh-CN"/>
        </w:rPr>
        <w:t>作</w:t>
      </w:r>
      <w:r>
        <w:rPr>
          <w:rFonts w:hint="eastAsia" w:ascii="仿宋" w:hAnsi="仿宋" w:eastAsia="仿宋" w:cs="仿宋"/>
          <w:color w:val="auto"/>
          <w:sz w:val="24"/>
          <w:highlight w:val="none"/>
        </w:rPr>
        <w:t>声明。</w:t>
      </w:r>
    </w:p>
    <w:p>
      <w:pPr>
        <w:rPr>
          <w:rFonts w:hint="default"/>
          <w:color w:val="auto"/>
          <w:highlight w:val="none"/>
          <w:lang w:val="en-US" w:eastAsia="zh-CN"/>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p>
    <w:p>
      <w:pPr>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rPr>
          <w:rFonts w:hint="eastAsia" w:ascii="仿宋" w:hAnsi="仿宋" w:eastAsia="仿宋" w:cs="仿宋"/>
          <w:color w:val="auto"/>
          <w:sz w:val="20"/>
          <w:szCs w:val="22"/>
          <w:highlight w:val="none"/>
        </w:rPr>
      </w:pPr>
      <w:r>
        <w:rPr>
          <w:rFonts w:hint="eastAsia" w:ascii="仿宋" w:hAnsi="仿宋" w:eastAsia="仿宋" w:cs="仿宋"/>
          <w:b/>
          <w:color w:val="auto"/>
          <w:sz w:val="24"/>
          <w:highlight w:val="none"/>
        </w:rPr>
        <w:t>4.2商务条款响应</w:t>
      </w:r>
    </w:p>
    <w:p>
      <w:pPr>
        <w:adjustRightInd w:val="0"/>
        <w:snapToGrid w:val="0"/>
        <w:spacing w:line="30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4.2.1 实质性响应商务条款</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077"/>
        <w:gridCol w:w="3651"/>
        <w:gridCol w:w="736"/>
        <w:gridCol w:w="1430"/>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520" w:type="dxa"/>
            <w:gridSpan w:val="6"/>
            <w:noWrap w:val="0"/>
            <w:vAlign w:val="center"/>
          </w:tcPr>
          <w:p>
            <w:pPr>
              <w:keepNext w:val="0"/>
              <w:keepLines w:val="0"/>
              <w:suppressLineNumbers w:val="0"/>
              <w:spacing w:before="0" w:beforeAutospacing="0" w:after="12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”项）商务条款响应表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9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77"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651"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要求</w:t>
            </w:r>
          </w:p>
        </w:tc>
        <w:tc>
          <w:tcPr>
            <w:tcW w:w="736"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14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偏离情况（正/负/无）</w:t>
            </w:r>
          </w:p>
        </w:tc>
        <w:tc>
          <w:tcPr>
            <w:tcW w:w="1030" w:type="dxa"/>
            <w:shd w:val="clear" w:color="auto" w:fill="F1F1F1"/>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077" w:type="dxa"/>
            <w:noWrap w:val="0"/>
            <w:vAlign w:val="center"/>
          </w:tcPr>
          <w:p>
            <w:pPr>
              <w:keepNext w:val="0"/>
              <w:keepLines w:val="0"/>
              <w:suppressLineNumbers w:val="0"/>
              <w:spacing w:before="0" w:beforeAutospacing="0" w:after="0" w:afterAutospacing="0" w:line="380" w:lineRule="exact"/>
              <w:ind w:left="0" w:right="0"/>
              <w:jc w:val="center"/>
              <w:rPr>
                <w:rFonts w:hint="eastAsia" w:ascii="仿宋" w:hAnsi="仿宋" w:eastAsia="仿宋" w:cs="仿宋"/>
                <w:color w:val="auto"/>
                <w:sz w:val="21"/>
                <w:szCs w:val="21"/>
                <w:highlight w:val="none"/>
                <w:lang w:val="en-US" w:eastAsia="zh-CN"/>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lang w:val="en-US" w:eastAsia="zh-CN"/>
              </w:rPr>
            </w:pPr>
          </w:p>
        </w:tc>
        <w:tc>
          <w:tcPr>
            <w:tcW w:w="736"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4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c>
          <w:tcPr>
            <w:tcW w:w="1030" w:type="dxa"/>
            <w:noWrap w:val="0"/>
            <w:vAlign w:val="center"/>
          </w:tcPr>
          <w:p>
            <w:pPr>
              <w:keepNext w:val="0"/>
              <w:keepLines w:val="0"/>
              <w:suppressLineNumbers w:val="0"/>
              <w:spacing w:before="0" w:beforeAutospacing="0" w:after="0" w:afterAutospacing="0" w:line="380" w:lineRule="exact"/>
              <w:ind w:left="40" w:leftChars="19" w:right="0"/>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rPr>
            </w:pPr>
          </w:p>
        </w:tc>
        <w:tc>
          <w:tcPr>
            <w:tcW w:w="3651" w:type="dxa"/>
            <w:noWrap w:val="0"/>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1"/>
                <w:szCs w:val="21"/>
                <w:highlight w:val="none"/>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596"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077"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3651" w:type="dxa"/>
            <w:noWrap w:val="0"/>
            <w:vAlign w:val="top"/>
          </w:tcPr>
          <w:p>
            <w:pPr>
              <w:keepNext w:val="0"/>
              <w:keepLines w:val="0"/>
              <w:suppressLineNumbers w:val="0"/>
              <w:spacing w:before="0" w:beforeAutospacing="0" w:after="0" w:afterAutospacing="0"/>
              <w:ind w:left="0" w:right="0"/>
              <w:jc w:val="center"/>
              <w:rPr>
                <w:rFonts w:hint="eastAsia" w:ascii="仿宋" w:hAnsi="仿宋" w:eastAsia="仿宋" w:cs="仿宋"/>
                <w:b/>
                <w:bCs/>
                <w:i w:val="0"/>
                <w:color w:val="auto"/>
                <w:kern w:val="0"/>
                <w:sz w:val="22"/>
                <w:szCs w:val="22"/>
                <w:highlight w:val="none"/>
                <w:u w:val="none"/>
                <w:lang w:val="en-US" w:eastAsia="zh-CN" w:bidi="ar"/>
              </w:rPr>
            </w:pPr>
          </w:p>
        </w:tc>
        <w:tc>
          <w:tcPr>
            <w:tcW w:w="736"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4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c>
          <w:tcPr>
            <w:tcW w:w="1030" w:type="dxa"/>
            <w:noWrap w:val="0"/>
            <w:vAlign w:val="top"/>
          </w:tcPr>
          <w:p>
            <w:pPr>
              <w:keepNext w:val="0"/>
              <w:keepLines w:val="0"/>
              <w:suppressLineNumbers w:val="0"/>
              <w:spacing w:before="0" w:beforeAutospacing="0" w:after="0" w:afterAutospacing="0"/>
              <w:ind w:left="0" w:right="0"/>
              <w:rPr>
                <w:rFonts w:hint="eastAsia" w:ascii="仿宋" w:hAnsi="仿宋" w:eastAsia="仿宋" w:cs="仿宋"/>
                <w:color w:val="auto"/>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val="en-GB"/>
        </w:rPr>
        <w:t>响应供应商</w:t>
      </w:r>
      <w:r>
        <w:rPr>
          <w:rFonts w:hint="eastAsia" w:ascii="仿宋" w:hAnsi="仿宋" w:eastAsia="仿宋" w:cs="仿宋"/>
          <w:color w:val="auto"/>
          <w:sz w:val="24"/>
          <w:highlight w:val="none"/>
        </w:rPr>
        <w:t>必须对上述一般上述实质性商务条款逐条响应，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标“</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rPr>
        <w:t>”项为不可负偏离（劣于），任何一项负偏离该响应无效。</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w:t>
      </w:r>
    </w:p>
    <w:p>
      <w:pPr>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2.本表内容不得擅自修改。</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响应供应商法定代表人（或法定代表人授权代表）签字：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szCs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4.2.2 一般</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DOCVARIABLE  商务条款响应表开始  \* MERGEFORMAT </w:instrTex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t>商务条款响应表</w:t>
      </w:r>
    </w:p>
    <w:tbl>
      <w:tblPr>
        <w:tblStyle w:val="16"/>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947"/>
        <w:gridCol w:w="1381"/>
        <w:gridCol w:w="1322"/>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shd w:val="clear" w:color="auto" w:fill="F3F3F3"/>
            <w:noWrap w:val="0"/>
            <w:vAlign w:val="center"/>
          </w:tcPr>
          <w:p>
            <w:pPr>
              <w:adjustRightInd w:val="0"/>
              <w:snapToGrid w:val="0"/>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947" w:type="dxa"/>
            <w:shd w:val="clear" w:color="auto" w:fill="F3F3F3"/>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一般商务条款要求</w:t>
            </w:r>
          </w:p>
        </w:tc>
        <w:tc>
          <w:tcPr>
            <w:tcW w:w="1381" w:type="dxa"/>
            <w:shd w:val="clear" w:color="auto" w:fill="F3F3F3"/>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是否响应</w:t>
            </w:r>
          </w:p>
        </w:tc>
        <w:tc>
          <w:tcPr>
            <w:tcW w:w="1322" w:type="dxa"/>
            <w:shd w:val="clear" w:color="auto" w:fill="F3F3F3"/>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偏离情况（正/负/无）</w:t>
            </w:r>
          </w:p>
        </w:tc>
        <w:tc>
          <w:tcPr>
            <w:tcW w:w="1391" w:type="dxa"/>
            <w:shd w:val="clear" w:color="auto" w:fill="F3F3F3"/>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17" w:type="dxa"/>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完全理解并接受合同条款要求</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完全理解并接受对合格响应供应商、合格的货物、工程和服务要求</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完全理解并接受对响应供应商的各项须知、规约要求和责任义务</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517" w:type="dxa"/>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响应有效期：响应有效期为自递交响应文件起至确定正式成交人止不少于90 天，成交单位有效期至项目验收之日</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7" w:type="dxa"/>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3947" w:type="dxa"/>
            <w:noWrap w:val="0"/>
            <w:vAlign w:val="center"/>
          </w:tcPr>
          <w:p>
            <w:pPr>
              <w:adjustRightInd w:val="0"/>
              <w:snapToGrid w:val="0"/>
              <w:spacing w:line="30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报价内容均涵盖报价要求之一切费用和伴随服务</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517" w:type="dxa"/>
            <w:noWrap w:val="0"/>
            <w:vAlign w:val="center"/>
          </w:tcPr>
          <w:p>
            <w:pPr>
              <w:adjustRightInd w:val="0"/>
              <w:snapToGrid w:val="0"/>
              <w:spacing w:line="30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lang w:val="en-GB"/>
              </w:rPr>
            </w:pPr>
            <w:r>
              <w:rPr>
                <w:rFonts w:hint="eastAsia" w:ascii="仿宋" w:hAnsi="仿宋" w:eastAsia="仿宋" w:cs="仿宋"/>
                <w:color w:val="auto"/>
                <w:sz w:val="21"/>
                <w:szCs w:val="21"/>
                <w:highlight w:val="none"/>
                <w:lang w:val="en-GB"/>
              </w:rPr>
              <w:t>同意接受合同范本所列述的各项条款</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17" w:type="dxa"/>
            <w:noWrap w:val="0"/>
            <w:vAlign w:val="center"/>
          </w:tcPr>
          <w:p>
            <w:pPr>
              <w:adjustRightInd w:val="0"/>
              <w:snapToGrid w:val="0"/>
              <w:spacing w:line="30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3947" w:type="dxa"/>
            <w:noWrap w:val="0"/>
            <w:vAlign w:val="center"/>
          </w:tcPr>
          <w:p>
            <w:pPr>
              <w:adjustRightInd w:val="0"/>
              <w:snapToGrid w:val="0"/>
              <w:spacing w:line="30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同意按本项目要求缴付相关款项</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adjustRightInd w:val="0"/>
              <w:snapToGrid w:val="0"/>
              <w:spacing w:line="30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GB"/>
              </w:rPr>
              <w:t>同意</w:t>
            </w:r>
            <w:r>
              <w:rPr>
                <w:rFonts w:hint="eastAsia" w:ascii="仿宋" w:hAnsi="仿宋" w:eastAsia="仿宋" w:cs="仿宋"/>
                <w:color w:val="auto"/>
                <w:sz w:val="21"/>
                <w:szCs w:val="21"/>
                <w:highlight w:val="none"/>
                <w:lang w:val="en-GB" w:eastAsia="zh-CN"/>
              </w:rPr>
              <w:t>采购人</w:t>
            </w:r>
            <w:r>
              <w:rPr>
                <w:rFonts w:hint="eastAsia" w:ascii="仿宋" w:hAnsi="仿宋" w:eastAsia="仿宋" w:cs="仿宋"/>
                <w:color w:val="auto"/>
                <w:sz w:val="21"/>
                <w:szCs w:val="21"/>
                <w:highlight w:val="none"/>
                <w:lang w:val="en-GB"/>
              </w:rPr>
              <w:t>以任何形式对我方响应文件内容的真实性和有效性进行审查、验证</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7" w:type="dxa"/>
            <w:noWrap w:val="0"/>
            <w:vAlign w:val="center"/>
          </w:tcPr>
          <w:p>
            <w:pPr>
              <w:adjustRightInd w:val="0"/>
              <w:snapToGrid w:val="0"/>
              <w:spacing w:line="30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3947" w:type="dxa"/>
            <w:noWrap w:val="0"/>
            <w:vAlign w:val="center"/>
          </w:tcPr>
          <w:p>
            <w:pPr>
              <w:adjustRightInd w:val="0"/>
              <w:snapToGrid w:val="0"/>
              <w:spacing w:line="300" w:lineRule="auto"/>
              <w:rPr>
                <w:rFonts w:hint="eastAsia" w:ascii="仿宋" w:hAnsi="仿宋" w:eastAsia="仿宋" w:cs="仿宋"/>
                <w:color w:val="auto"/>
                <w:sz w:val="21"/>
                <w:szCs w:val="21"/>
                <w:highlight w:val="none"/>
                <w:lang w:val="en-GB" w:eastAsia="zh-CN"/>
              </w:rPr>
            </w:pPr>
            <w:r>
              <w:rPr>
                <w:rFonts w:hint="eastAsia" w:ascii="仿宋" w:hAnsi="仿宋" w:eastAsia="仿宋" w:cs="仿宋"/>
                <w:color w:val="auto"/>
                <w:sz w:val="21"/>
                <w:szCs w:val="21"/>
                <w:highlight w:val="none"/>
                <w:lang w:val="en-US" w:eastAsia="zh-CN"/>
              </w:rPr>
              <w:t>满足对服务的各项要求</w:t>
            </w:r>
          </w:p>
        </w:tc>
        <w:tc>
          <w:tcPr>
            <w:tcW w:w="138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22"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7" w:type="dxa"/>
            <w:noWrap w:val="0"/>
            <w:vAlign w:val="center"/>
          </w:tcPr>
          <w:p>
            <w:pPr>
              <w:adjustRightInd w:val="0"/>
              <w:snapToGrid w:val="0"/>
              <w:spacing w:line="30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6650" w:type="dxa"/>
            <w:gridSpan w:val="3"/>
            <w:noWrap w:val="0"/>
            <w:vAlign w:val="center"/>
          </w:tcPr>
          <w:p>
            <w:pPr>
              <w:adjustRightInd w:val="0"/>
              <w:snapToGrid w:val="0"/>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其它商务条款偏离说明：</w:t>
            </w:r>
          </w:p>
        </w:tc>
        <w:tc>
          <w:tcPr>
            <w:tcW w:w="1391" w:type="dxa"/>
            <w:noWrap w:val="0"/>
            <w:vAlign w:val="center"/>
          </w:tcPr>
          <w:p>
            <w:pPr>
              <w:adjustRightInd w:val="0"/>
              <w:snapToGrid w:val="0"/>
              <w:spacing w:line="300" w:lineRule="auto"/>
              <w:rPr>
                <w:rFonts w:hint="eastAsia" w:ascii="仿宋" w:hAnsi="仿宋" w:eastAsia="仿宋" w:cs="仿宋"/>
                <w:color w:val="auto"/>
                <w:sz w:val="21"/>
                <w:szCs w:val="21"/>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注： 1.响应供应商</w:t>
      </w:r>
      <w:r>
        <w:rPr>
          <w:rFonts w:hint="eastAsia" w:ascii="仿宋" w:hAnsi="仿宋" w:eastAsia="仿宋" w:cs="仿宋"/>
          <w:color w:val="auto"/>
          <w:sz w:val="24"/>
          <w:highlight w:val="none"/>
        </w:rPr>
        <w:t>必须对上述一般商务条款逐条响应。</w:t>
      </w:r>
      <w:r>
        <w:rPr>
          <w:rFonts w:hint="eastAsia" w:ascii="仿宋" w:hAnsi="仿宋" w:eastAsia="仿宋" w:cs="仿宋"/>
          <w:b/>
          <w:bCs/>
          <w:color w:val="auto"/>
          <w:sz w:val="24"/>
          <w:highlight w:val="none"/>
        </w:rPr>
        <w:t>如有缺漏项视同不符合对应条款之要求。</w:t>
      </w:r>
      <w:r>
        <w:rPr>
          <w:rFonts w:hint="eastAsia" w:ascii="仿宋" w:hAnsi="仿宋" w:eastAsia="仿宋" w:cs="仿宋"/>
          <w:color w:val="auto"/>
          <w:sz w:val="24"/>
          <w:highlight w:val="none"/>
          <w:lang w:val="en-GB"/>
        </w:rPr>
        <w:t>请在“是否响应”填“是”或“否”（不得空白，空白视为“否”），并对照偏离情况请在“偏离说明”栏内扼要说明偏离情况，不响应视为负偏离。</w:t>
      </w: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lang w:val="en-GB"/>
        </w:rPr>
        <w:t xml:space="preserve"> 2.本表内容不得擅自修改。</w:t>
      </w:r>
    </w:p>
    <w:p>
      <w:pPr>
        <w:adjustRightInd w:val="0"/>
        <w:snapToGrid w:val="0"/>
        <w:spacing w:line="300" w:lineRule="auto"/>
        <w:rPr>
          <w:rFonts w:hint="eastAsia" w:ascii="仿宋" w:hAnsi="仿宋" w:eastAsia="仿宋" w:cs="仿宋"/>
          <w:color w:val="auto"/>
          <w:sz w:val="24"/>
          <w:highlight w:val="none"/>
          <w:lang w:val="en-GB"/>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响应供应商法定代表人（或法定代表人授权代表）签字：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r>
        <w:rPr>
          <w:rFonts w:hint="eastAsia" w:ascii="仿宋" w:hAnsi="仿宋" w:eastAsia="仿宋" w:cs="仿宋"/>
          <w:color w:val="auto"/>
          <w:sz w:val="24"/>
          <w:highlight w:val="none"/>
        </w:rPr>
        <w:br w:type="page"/>
      </w:r>
    </w:p>
    <w:p>
      <w:pPr>
        <w:tabs>
          <w:tab w:val="left" w:pos="540"/>
        </w:tabs>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所投项目业绩介绍（单页）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72"/>
        <w:gridCol w:w="2787"/>
        <w:gridCol w:w="1533"/>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2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872"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客户名称</w:t>
            </w:r>
          </w:p>
        </w:tc>
        <w:tc>
          <w:tcPr>
            <w:tcW w:w="2787"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项目名称及合同金额（万元）</w:t>
            </w:r>
          </w:p>
        </w:tc>
        <w:tc>
          <w:tcPr>
            <w:tcW w:w="1533" w:type="dxa"/>
            <w:shd w:val="clear" w:color="auto" w:fill="F3F3F3"/>
            <w:noWrap w:val="0"/>
            <w:vAlign w:val="center"/>
          </w:tcPr>
          <w:p>
            <w:pPr>
              <w:jc w:val="center"/>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lang w:eastAsia="zh-CN"/>
              </w:rPr>
              <w:t>签订合同时间</w:t>
            </w:r>
          </w:p>
        </w:tc>
        <w:tc>
          <w:tcPr>
            <w:tcW w:w="1518" w:type="dxa"/>
            <w:shd w:val="clear" w:color="auto" w:fill="F3F3F3"/>
            <w:noWrap w:val="0"/>
            <w:vAlign w:val="center"/>
          </w:tcPr>
          <w:p>
            <w:pPr>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pStyle w:val="24"/>
              <w:rPr>
                <w:rFonts w:hint="eastAsia" w:ascii="仿宋" w:hAnsi="仿宋" w:eastAsia="仿宋" w:cs="仿宋"/>
                <w:color w:val="auto"/>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27" w:type="dxa"/>
            <w:noWrap w:val="0"/>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872" w:type="dxa"/>
            <w:noWrap w:val="0"/>
            <w:vAlign w:val="center"/>
          </w:tcPr>
          <w:p>
            <w:pPr>
              <w:jc w:val="center"/>
              <w:rPr>
                <w:rFonts w:hint="eastAsia" w:ascii="仿宋" w:hAnsi="仿宋" w:eastAsia="仿宋" w:cs="仿宋"/>
                <w:color w:val="auto"/>
                <w:szCs w:val="21"/>
                <w:highlight w:val="none"/>
              </w:rPr>
            </w:pPr>
          </w:p>
        </w:tc>
        <w:tc>
          <w:tcPr>
            <w:tcW w:w="2787" w:type="dxa"/>
            <w:noWrap w:val="0"/>
            <w:vAlign w:val="center"/>
          </w:tcPr>
          <w:p>
            <w:pPr>
              <w:jc w:val="center"/>
              <w:rPr>
                <w:rFonts w:hint="eastAsia" w:ascii="仿宋" w:hAnsi="仿宋" w:eastAsia="仿宋" w:cs="仿宋"/>
                <w:color w:val="auto"/>
                <w:szCs w:val="21"/>
                <w:highlight w:val="none"/>
              </w:rPr>
            </w:pPr>
          </w:p>
        </w:tc>
        <w:tc>
          <w:tcPr>
            <w:tcW w:w="1533" w:type="dxa"/>
            <w:noWrap w:val="0"/>
            <w:vAlign w:val="center"/>
          </w:tcPr>
          <w:p>
            <w:pPr>
              <w:jc w:val="center"/>
              <w:rPr>
                <w:rFonts w:hint="eastAsia" w:ascii="仿宋" w:hAnsi="仿宋" w:eastAsia="仿宋" w:cs="仿宋"/>
                <w:color w:val="auto"/>
                <w:szCs w:val="21"/>
                <w:highlight w:val="none"/>
              </w:rPr>
            </w:pPr>
          </w:p>
        </w:tc>
        <w:tc>
          <w:tcPr>
            <w:tcW w:w="1518" w:type="dxa"/>
            <w:noWrap w:val="0"/>
            <w:vAlign w:val="center"/>
          </w:tcPr>
          <w:p>
            <w:pPr>
              <w:jc w:val="center"/>
              <w:rPr>
                <w:rFonts w:hint="eastAsia" w:ascii="仿宋" w:hAnsi="仿宋" w:eastAsia="仿宋" w:cs="仿宋"/>
                <w:color w:val="auto"/>
                <w:szCs w:val="21"/>
                <w:highlight w:val="none"/>
              </w:rPr>
            </w:pPr>
          </w:p>
        </w:tc>
      </w:tr>
    </w:tbl>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注：业绩是必须以响应供应商名义完成并已验收的项目。响应供应商必须提供合同复印件或成交通知书（请留意评审细则是否要求提供验收报告）。</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日</w:t>
      </w: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color w:val="auto"/>
          <w:highlight w:val="none"/>
        </w:rPr>
      </w:pPr>
    </w:p>
    <w:p>
      <w:pPr>
        <w:pStyle w:val="9"/>
        <w:rPr>
          <w:rFonts w:hint="eastAsia"/>
          <w:color w:val="auto"/>
          <w:highlight w:val="none"/>
        </w:rPr>
      </w:pPr>
    </w:p>
    <w:p>
      <w:pPr>
        <w:adjustRightInd w:val="0"/>
        <w:snapToGrid w:val="0"/>
        <w:spacing w:line="300" w:lineRule="auto"/>
        <w:rPr>
          <w:rFonts w:hint="eastAsia"/>
          <w:color w:val="auto"/>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eastAsia="zh-CN"/>
        </w:rPr>
        <w:t>技术</w:t>
      </w:r>
      <w:r>
        <w:rPr>
          <w:rFonts w:hint="eastAsia" w:ascii="仿宋" w:hAnsi="仿宋" w:eastAsia="仿宋" w:cs="仿宋"/>
          <w:color w:val="auto"/>
          <w:sz w:val="24"/>
          <w:highlight w:val="none"/>
        </w:rPr>
        <w:t>部分</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5.</w:t>
      </w:r>
      <w:r>
        <w:rPr>
          <w:rFonts w:ascii="仿宋" w:hAnsi="仿宋" w:eastAsia="仿宋" w:cs="仿宋"/>
          <w:b/>
          <w:color w:val="auto"/>
          <w:sz w:val="24"/>
          <w:highlight w:val="none"/>
        </w:rPr>
        <w:t>1</w:t>
      </w:r>
      <w:r>
        <w:rPr>
          <w:rFonts w:hint="eastAsia" w:ascii="仿宋" w:hAnsi="仿宋" w:eastAsia="仿宋" w:cs="仿宋"/>
          <w:b/>
          <w:color w:val="auto"/>
          <w:sz w:val="24"/>
          <w:highlight w:val="none"/>
        </w:rPr>
        <w:t xml:space="preserve"> </w:t>
      </w:r>
      <w:r>
        <w:rPr>
          <w:rFonts w:hint="eastAsia" w:ascii="仿宋" w:hAnsi="仿宋" w:eastAsia="仿宋" w:cs="仿宋"/>
          <w:b/>
          <w:color w:val="auto"/>
          <w:sz w:val="24"/>
          <w:highlight w:val="none"/>
          <w:lang w:eastAsia="zh-CN"/>
        </w:rPr>
        <w:t>技术</w:t>
      </w:r>
      <w:r>
        <w:rPr>
          <w:rFonts w:hint="eastAsia" w:ascii="仿宋" w:hAnsi="仿宋" w:eastAsia="仿宋" w:cs="仿宋"/>
          <w:b/>
          <w:color w:val="auto"/>
          <w:sz w:val="24"/>
          <w:highlight w:val="none"/>
          <w:lang w:val="en-US" w:eastAsia="zh-CN"/>
        </w:rPr>
        <w:t>/服务</w:t>
      </w:r>
      <w:r>
        <w:rPr>
          <w:rFonts w:hint="eastAsia" w:ascii="仿宋" w:hAnsi="仿宋" w:eastAsia="仿宋" w:cs="仿宋"/>
          <w:b/>
          <w:color w:val="auto"/>
          <w:sz w:val="24"/>
          <w:highlight w:val="none"/>
        </w:rPr>
        <w:t>要求响应表（单页填写）</w:t>
      </w:r>
    </w:p>
    <w:p>
      <w:pPr>
        <w:pStyle w:val="11"/>
        <w:adjustRightInd w:val="0"/>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实质性服务要求（“★”项）条款响应表</w:t>
      </w:r>
    </w:p>
    <w:tbl>
      <w:tblPr>
        <w:tblStyle w:val="16"/>
        <w:tblW w:w="9180"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722"/>
        <w:gridCol w:w="2416"/>
        <w:gridCol w:w="1701"/>
        <w:gridCol w:w="871"/>
        <w:gridCol w:w="912"/>
        <w:gridCol w:w="775"/>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180" w:type="dxa"/>
            <w:gridSpan w:val="8"/>
            <w:noWrap w:val="0"/>
            <w:vAlign w:val="top"/>
          </w:tcPr>
          <w:p>
            <w:pPr>
              <w:ind w:firstLine="3120" w:firstLineChars="1300"/>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实质性服务要求（“★”项）条款响应表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64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序号</w:t>
            </w:r>
          </w:p>
        </w:tc>
        <w:tc>
          <w:tcPr>
            <w:tcW w:w="72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名称</w:t>
            </w:r>
          </w:p>
        </w:tc>
        <w:tc>
          <w:tcPr>
            <w:tcW w:w="2416"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70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响应服务参数</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（填写响应的具体参数）</w:t>
            </w:r>
          </w:p>
        </w:tc>
        <w:tc>
          <w:tcPr>
            <w:tcW w:w="87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是否响应</w:t>
            </w:r>
          </w:p>
        </w:tc>
        <w:tc>
          <w:tcPr>
            <w:tcW w:w="912"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偏离情况</w:t>
            </w:r>
          </w:p>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（正/负/无）</w:t>
            </w:r>
          </w:p>
        </w:tc>
        <w:tc>
          <w:tcPr>
            <w:tcW w:w="775"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偏离说明</w:t>
            </w:r>
          </w:p>
        </w:tc>
        <w:tc>
          <w:tcPr>
            <w:tcW w:w="1141" w:type="dxa"/>
            <w:shd w:val="clear" w:color="auto" w:fill="F1F1F1"/>
            <w:noWrap w:val="0"/>
            <w:vAlign w:val="center"/>
          </w:tcPr>
          <w:p>
            <w:pPr>
              <w:spacing w:line="380" w:lineRule="exact"/>
              <w:ind w:left="40" w:leftChars="19"/>
              <w:jc w:val="left"/>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注明对应证明材料条款所在位置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lang w:val="en-US" w:eastAsia="zh-CN"/>
              </w:rPr>
              <w:t>1</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642" w:type="dxa"/>
            <w:noWrap w:val="0"/>
            <w:vAlign w:val="center"/>
          </w:tcPr>
          <w:p>
            <w:pPr>
              <w:spacing w:line="380" w:lineRule="exact"/>
              <w:ind w:left="40" w:leftChars="19"/>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722" w:type="dxa"/>
            <w:noWrap w:val="0"/>
            <w:vAlign w:val="center"/>
          </w:tcPr>
          <w:p>
            <w:pPr>
              <w:spacing w:line="380" w:lineRule="exact"/>
              <w:ind w:left="40" w:leftChars="19"/>
              <w:jc w:val="left"/>
              <w:rPr>
                <w:rFonts w:hint="eastAsia" w:ascii="仿宋" w:hAnsi="仿宋" w:eastAsia="仿宋" w:cs="仿宋"/>
                <w:color w:val="auto"/>
                <w:szCs w:val="21"/>
                <w:highlight w:val="none"/>
                <w:lang w:val="zh-CN" w:eastAsia="zh-CN"/>
              </w:rPr>
            </w:pPr>
          </w:p>
        </w:tc>
        <w:tc>
          <w:tcPr>
            <w:tcW w:w="2416" w:type="dxa"/>
            <w:noWrap w:val="0"/>
            <w:vAlign w:val="center"/>
          </w:tcPr>
          <w:p>
            <w:pPr>
              <w:numPr>
                <w:ilvl w:val="0"/>
                <w:numId w:val="0"/>
              </w:numPr>
              <w:adjustRightInd/>
              <w:snapToGrid/>
              <w:spacing w:line="380" w:lineRule="exact"/>
              <w:ind w:left="40" w:leftChars="19"/>
              <w:jc w:val="left"/>
              <w:rPr>
                <w:rFonts w:hint="eastAsia" w:ascii="仿宋" w:hAnsi="仿宋" w:eastAsia="仿宋" w:cs="仿宋"/>
                <w:color w:val="auto"/>
                <w:sz w:val="21"/>
                <w:szCs w:val="21"/>
                <w:highlight w:val="none"/>
                <w:lang w:val="zh-CN" w:eastAsia="zh-CN"/>
              </w:rPr>
            </w:pPr>
          </w:p>
        </w:tc>
        <w:tc>
          <w:tcPr>
            <w:tcW w:w="170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87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912"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775"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c>
          <w:tcPr>
            <w:tcW w:w="1141" w:type="dxa"/>
            <w:noWrap w:val="0"/>
            <w:vAlign w:val="top"/>
          </w:tcPr>
          <w:p>
            <w:pPr>
              <w:spacing w:line="380" w:lineRule="exact"/>
              <w:ind w:left="40" w:leftChars="19"/>
              <w:jc w:val="left"/>
              <w:rPr>
                <w:rFonts w:hint="eastAsia" w:ascii="仿宋" w:hAnsi="仿宋" w:eastAsia="仿宋" w:cs="仿宋"/>
                <w:color w:val="auto"/>
                <w:szCs w:val="21"/>
                <w:highlight w:val="none"/>
                <w:lang w:val="zh-CN"/>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注：1.响应供应商必须对应比选文件中的服务要求的“★”项内容逐条响应。</w:t>
      </w:r>
      <w:r>
        <w:rPr>
          <w:rFonts w:hint="eastAsia" w:ascii="仿宋" w:hAnsi="仿宋" w:eastAsia="仿宋" w:cs="仿宋"/>
          <w:b/>
          <w:bCs/>
          <w:color w:val="auto"/>
          <w:sz w:val="24"/>
          <w:highlight w:val="none"/>
        </w:rPr>
        <w:t>如有缺漏，缺漏项视同不符合比选要求。</w:t>
      </w:r>
      <w:r>
        <w:rPr>
          <w:rFonts w:hint="eastAsia" w:ascii="仿宋" w:hAnsi="仿宋" w:eastAsia="仿宋" w:cs="仿宋"/>
          <w:color w:val="auto"/>
          <w:sz w:val="24"/>
          <w:highlight w:val="none"/>
        </w:rPr>
        <w:t>“★”项为不可负偏离（劣于）的重要项。</w:t>
      </w:r>
      <w:r>
        <w:rPr>
          <w:rFonts w:hint="eastAsia" w:ascii="仿宋" w:hAnsi="仿宋" w:eastAsia="仿宋" w:cs="仿宋"/>
          <w:color w:val="auto"/>
          <w:sz w:val="24"/>
          <w:highlight w:val="none"/>
          <w:lang w:val="en-GB"/>
        </w:rPr>
        <w:t>响应供应商请在“是否响应”栏内填“是”或“否”（不得空白，空白视为“否”；若比选文件中没有做出实质性要求，则填“无”），并对照偏离情况请在“偏离说明”栏内扼要说明偏离情况，不响应视为负偏离。比选技术参数/要求必须按照比选文件的，不得作任何更改。否则视为不符合响应要求。</w:t>
      </w:r>
    </w:p>
    <w:p>
      <w:pPr>
        <w:pStyle w:val="11"/>
        <w:adjustRightInd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2.响应供应商响应采购需求必须具体，明确。含糊不清、不确切或伪造、变造证明材料的，按照不完全响应或者不响应处理。</w:t>
      </w:r>
    </w:p>
    <w:p>
      <w:pPr>
        <w:pStyle w:val="11"/>
        <w:adjustRightInd w:val="0"/>
        <w:snapToGrid w:val="0"/>
        <w:spacing w:line="44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3.</w:t>
      </w:r>
      <w:r>
        <w:rPr>
          <w:rFonts w:hint="eastAsia" w:ascii="仿宋" w:hAnsi="仿宋" w:eastAsia="仿宋" w:cs="仿宋"/>
          <w:b/>
          <w:color w:val="auto"/>
          <w:sz w:val="24"/>
          <w:highlight w:val="none"/>
        </w:rPr>
        <w:t>如所响应参数与比选要求不一致的，响应供应商必须按所响应的参数进行响应参数填写（必须详细填写），不得随意复制比选文件服务要求粘贴。否则后果自负！</w:t>
      </w:r>
    </w:p>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pStyle w:val="11"/>
        <w:adjustRightInd w:val="0"/>
        <w:snapToGrid w:val="0"/>
        <w:spacing w:line="440" w:lineRule="exact"/>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pPr>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5.1.2非实质性技术/服务要求条款响应表</w:t>
      </w:r>
    </w:p>
    <w:tbl>
      <w:tblPr>
        <w:tblStyle w:val="16"/>
        <w:tblW w:w="9855"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25"/>
        <w:gridCol w:w="3060"/>
        <w:gridCol w:w="1620"/>
        <w:gridCol w:w="744"/>
        <w:gridCol w:w="826"/>
        <w:gridCol w:w="66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855" w:type="dxa"/>
            <w:gridSpan w:val="8"/>
            <w:noWrap w:val="0"/>
            <w:vAlign w:val="center"/>
          </w:tcPr>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一般服务要求条款</w:t>
            </w:r>
            <w:r>
              <w:rPr>
                <w:rFonts w:hint="eastAsia" w:ascii="仿宋" w:hAnsi="仿宋" w:eastAsia="仿宋" w:cs="宋体"/>
                <w:color w:val="auto"/>
                <w:kern w:val="0"/>
                <w:sz w:val="24"/>
                <w:highlight w:val="none"/>
              </w:rPr>
              <w:t>和</w:t>
            </w:r>
            <w:r>
              <w:rPr>
                <w:rFonts w:hint="eastAsia" w:ascii="仿宋" w:hAnsi="仿宋" w:eastAsia="仿宋" w:cs="仿宋"/>
                <w:color w:val="auto"/>
                <w:sz w:val="24"/>
                <w:highlight w:val="none"/>
              </w:rPr>
              <w:t>含</w:t>
            </w:r>
            <w:r>
              <w:rPr>
                <w:rFonts w:hint="eastAsia" w:ascii="仿宋" w:hAnsi="仿宋" w:eastAsia="仿宋" w:cs="宋体"/>
                <w:color w:val="auto"/>
                <w:kern w:val="0"/>
                <w:sz w:val="24"/>
                <w:highlight w:val="none"/>
              </w:rPr>
              <w:t>“▲”的</w:t>
            </w:r>
            <w:r>
              <w:rPr>
                <w:rFonts w:ascii="仿宋" w:hAnsi="仿宋" w:eastAsia="仿宋" w:cs="宋体"/>
                <w:color w:val="auto"/>
                <w:kern w:val="0"/>
                <w:sz w:val="24"/>
                <w:highlight w:val="none"/>
              </w:rPr>
              <w:t>主要</w:t>
            </w:r>
            <w:r>
              <w:rPr>
                <w:rFonts w:hint="eastAsia" w:ascii="仿宋" w:hAnsi="仿宋" w:eastAsia="仿宋" w:cs="宋体"/>
                <w:color w:val="auto"/>
                <w:kern w:val="0"/>
                <w:sz w:val="24"/>
                <w:highlight w:val="none"/>
              </w:rPr>
              <w:t>服务要求</w:t>
            </w:r>
            <w:r>
              <w:rPr>
                <w:rFonts w:hint="eastAsia" w:ascii="仿宋" w:hAnsi="仿宋" w:eastAsia="仿宋" w:cs="仿宋"/>
                <w:color w:val="auto"/>
                <w:sz w:val="24"/>
                <w:highlight w:val="none"/>
              </w:rPr>
              <w:t>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025"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w:t>
            </w:r>
          </w:p>
        </w:tc>
        <w:tc>
          <w:tcPr>
            <w:tcW w:w="30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zh-CN"/>
              </w:rPr>
              <w:t>技术</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lang w:val="zh-CN"/>
              </w:rPr>
              <w:t>服务参数要求</w:t>
            </w:r>
          </w:p>
        </w:tc>
        <w:tc>
          <w:tcPr>
            <w:tcW w:w="162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响应服务参数</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（填写响应的具体参数）</w:t>
            </w:r>
          </w:p>
        </w:tc>
        <w:tc>
          <w:tcPr>
            <w:tcW w:w="744"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是否响应</w:t>
            </w:r>
          </w:p>
        </w:tc>
        <w:tc>
          <w:tcPr>
            <w:tcW w:w="826"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偏离情况</w:t>
            </w:r>
          </w:p>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（正/负/无）</w:t>
            </w:r>
          </w:p>
        </w:tc>
        <w:tc>
          <w:tcPr>
            <w:tcW w:w="660" w:type="dxa"/>
            <w:shd w:val="clear" w:color="auto" w:fill="F1F1F1"/>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偏离说明</w:t>
            </w:r>
          </w:p>
        </w:tc>
        <w:tc>
          <w:tcPr>
            <w:tcW w:w="1350" w:type="dxa"/>
            <w:shd w:val="clear" w:color="auto" w:fill="F1F1F1"/>
            <w:noWrap w:val="0"/>
            <w:vAlign w:val="top"/>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需注明对应证明</w:t>
            </w:r>
            <w:r>
              <w:rPr>
                <w:rFonts w:ascii="仿宋" w:hAnsi="仿宋" w:eastAsia="仿宋" w:cs="仿宋"/>
                <w:color w:val="auto"/>
                <w:szCs w:val="21"/>
                <w:highlight w:val="none"/>
              </w:rPr>
              <w:t>材料</w:t>
            </w:r>
            <w:r>
              <w:rPr>
                <w:rFonts w:hint="eastAsia" w:ascii="仿宋" w:hAnsi="仿宋" w:eastAsia="仿宋" w:cs="仿宋"/>
                <w:color w:val="auto"/>
                <w:szCs w:val="21"/>
                <w:highlight w:val="none"/>
              </w:rPr>
              <w:t>条款所在位置，</w:t>
            </w:r>
            <w:r>
              <w:rPr>
                <w:rFonts w:ascii="仿宋" w:hAnsi="仿宋" w:eastAsia="仿宋" w:cs="仿宋"/>
                <w:color w:val="auto"/>
                <w:szCs w:val="21"/>
                <w:highlight w:val="none"/>
              </w:rPr>
              <w:t>尤其是</w:t>
            </w:r>
            <w:r>
              <w:rPr>
                <w:rFonts w:hint="eastAsia" w:ascii="仿宋" w:hAnsi="仿宋" w:eastAsia="仿宋" w:cs="仿宋"/>
                <w:color w:val="auto"/>
                <w:szCs w:val="21"/>
                <w:highlight w:val="none"/>
              </w:rPr>
              <w:t>含</w:t>
            </w:r>
            <w:r>
              <w:rPr>
                <w:rFonts w:hint="eastAsia" w:ascii="仿宋" w:hAnsi="仿宋" w:eastAsia="仿宋" w:cs="宋体"/>
                <w:color w:val="auto"/>
                <w:kern w:val="0"/>
                <w:szCs w:val="21"/>
                <w:highlight w:val="none"/>
              </w:rPr>
              <w:t>“▲”条款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9</w:t>
            </w:r>
          </w:p>
        </w:tc>
        <w:tc>
          <w:tcPr>
            <w:tcW w:w="1025"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3060" w:type="dxa"/>
            <w:noWrap w:val="0"/>
            <w:vAlign w:val="center"/>
          </w:tcPr>
          <w:p>
            <w:pPr>
              <w:spacing w:line="380" w:lineRule="exact"/>
              <w:ind w:left="40" w:leftChars="19"/>
              <w:jc w:val="left"/>
              <w:rPr>
                <w:rFonts w:hint="eastAsia" w:ascii="仿宋" w:hAnsi="仿宋" w:eastAsia="仿宋" w:cs="仿宋"/>
                <w:color w:val="auto"/>
                <w:szCs w:val="21"/>
                <w:highlight w:val="none"/>
                <w:lang w:val="en-US" w:eastAsia="zh-CN"/>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380" w:lineRule="exact"/>
              <w:ind w:left="40" w:leftChars="19"/>
              <w:jc w:val="lef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0" w:type="dxa"/>
            <w:noWrap w:val="0"/>
            <w:vAlign w:val="center"/>
          </w:tcPr>
          <w:p>
            <w:pPr>
              <w:spacing w:line="20" w:lineRule="atLeast"/>
              <w:jc w:val="center"/>
              <w:rPr>
                <w:rFonts w:hint="eastAsia" w:ascii="仿宋" w:hAnsi="仿宋" w:eastAsia="仿宋" w:cs="仿宋"/>
                <w:color w:val="auto"/>
                <w:szCs w:val="21"/>
                <w:highlight w:val="none"/>
                <w:lang w:val="en-US" w:eastAsia="zh-CN"/>
              </w:rPr>
            </w:pPr>
          </w:p>
        </w:tc>
        <w:tc>
          <w:tcPr>
            <w:tcW w:w="1025"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3060" w:type="dxa"/>
            <w:noWrap w:val="0"/>
            <w:vAlign w:val="center"/>
          </w:tcPr>
          <w:p>
            <w:pPr>
              <w:spacing w:line="20" w:lineRule="atLeast"/>
              <w:rPr>
                <w:rFonts w:hint="eastAsia" w:ascii="仿宋" w:hAnsi="仿宋" w:eastAsia="仿宋" w:cs="仿宋"/>
                <w:color w:val="auto"/>
                <w:kern w:val="2"/>
                <w:sz w:val="21"/>
                <w:szCs w:val="21"/>
                <w:highlight w:val="none"/>
                <w:lang w:val="en-US" w:eastAsia="zh-CN" w:bidi="ar-SA"/>
              </w:rPr>
            </w:pPr>
          </w:p>
        </w:tc>
        <w:tc>
          <w:tcPr>
            <w:tcW w:w="1620" w:type="dxa"/>
            <w:noWrap w:val="0"/>
            <w:vAlign w:val="top"/>
          </w:tcPr>
          <w:p>
            <w:pPr>
              <w:spacing w:line="20" w:lineRule="atLeast"/>
              <w:rPr>
                <w:rFonts w:hint="eastAsia" w:ascii="仿宋" w:hAnsi="仿宋" w:eastAsia="仿宋" w:cs="仿宋"/>
                <w:color w:val="auto"/>
                <w:sz w:val="24"/>
                <w:highlight w:val="none"/>
              </w:rPr>
            </w:pPr>
          </w:p>
        </w:tc>
        <w:tc>
          <w:tcPr>
            <w:tcW w:w="744" w:type="dxa"/>
            <w:noWrap w:val="0"/>
            <w:vAlign w:val="top"/>
          </w:tcPr>
          <w:p>
            <w:pPr>
              <w:spacing w:line="20" w:lineRule="atLeast"/>
              <w:rPr>
                <w:rFonts w:hint="eastAsia" w:ascii="仿宋" w:hAnsi="仿宋" w:eastAsia="仿宋" w:cs="仿宋"/>
                <w:color w:val="auto"/>
                <w:sz w:val="24"/>
                <w:highlight w:val="none"/>
              </w:rPr>
            </w:pPr>
          </w:p>
        </w:tc>
        <w:tc>
          <w:tcPr>
            <w:tcW w:w="826" w:type="dxa"/>
            <w:noWrap w:val="0"/>
            <w:vAlign w:val="top"/>
          </w:tcPr>
          <w:p>
            <w:pPr>
              <w:spacing w:line="20" w:lineRule="atLeast"/>
              <w:rPr>
                <w:rFonts w:hint="eastAsia" w:ascii="仿宋" w:hAnsi="仿宋" w:eastAsia="仿宋" w:cs="仿宋"/>
                <w:color w:val="auto"/>
                <w:sz w:val="24"/>
                <w:highlight w:val="none"/>
              </w:rPr>
            </w:pPr>
          </w:p>
        </w:tc>
        <w:tc>
          <w:tcPr>
            <w:tcW w:w="660" w:type="dxa"/>
            <w:noWrap w:val="0"/>
            <w:vAlign w:val="top"/>
          </w:tcPr>
          <w:p>
            <w:pPr>
              <w:spacing w:line="20" w:lineRule="atLeast"/>
              <w:rPr>
                <w:rFonts w:hint="eastAsia" w:ascii="仿宋" w:hAnsi="仿宋" w:eastAsia="仿宋" w:cs="仿宋"/>
                <w:color w:val="auto"/>
                <w:sz w:val="24"/>
                <w:highlight w:val="none"/>
              </w:rPr>
            </w:pPr>
          </w:p>
        </w:tc>
        <w:tc>
          <w:tcPr>
            <w:tcW w:w="1350" w:type="dxa"/>
            <w:noWrap w:val="0"/>
            <w:vAlign w:val="top"/>
          </w:tcPr>
          <w:p>
            <w:pPr>
              <w:spacing w:line="20" w:lineRule="atLeast"/>
              <w:rPr>
                <w:rFonts w:hint="eastAsia" w:ascii="仿宋" w:hAnsi="仿宋" w:eastAsia="仿宋" w:cs="仿宋"/>
                <w:color w:val="auto"/>
                <w:sz w:val="24"/>
                <w:highlight w:val="none"/>
              </w:rPr>
            </w:pPr>
          </w:p>
        </w:tc>
      </w:tr>
    </w:tbl>
    <w:p>
      <w:pPr>
        <w:adjustRightInd w:val="0"/>
        <w:snapToGrid w:val="0"/>
        <w:spacing w:line="300" w:lineRule="auto"/>
        <w:rPr>
          <w:rFonts w:hint="eastAsia" w:ascii="仿宋" w:hAnsi="仿宋" w:eastAsia="仿宋" w:cs="仿宋"/>
          <w:color w:val="auto"/>
          <w:sz w:val="24"/>
          <w:highlight w:val="none"/>
        </w:rPr>
      </w:pPr>
    </w:p>
    <w:p>
      <w:pPr>
        <w:adjustRightInd w:val="0"/>
        <w:snapToGrid w:val="0"/>
        <w:spacing w:line="300" w:lineRule="auto"/>
        <w:rPr>
          <w:rFonts w:hint="eastAsia" w:ascii="仿宋" w:hAnsi="仿宋" w:eastAsia="仿宋" w:cs="仿宋"/>
          <w:color w:val="auto"/>
          <w:sz w:val="24"/>
          <w:highlight w:val="none"/>
          <w:lang w:val="en-GB"/>
        </w:rPr>
      </w:pPr>
      <w:r>
        <w:rPr>
          <w:rFonts w:hint="eastAsia" w:ascii="仿宋" w:hAnsi="仿宋" w:eastAsia="仿宋" w:cs="仿宋"/>
          <w:color w:val="auto"/>
          <w:sz w:val="24"/>
          <w:highlight w:val="none"/>
        </w:rPr>
        <w:t>注：1.响应供应商必须对应比选文件中</w:t>
      </w:r>
      <w:r>
        <w:rPr>
          <w:rFonts w:ascii="仿宋" w:hAnsi="仿宋" w:eastAsia="仿宋" w:cs="仿宋"/>
          <w:color w:val="auto"/>
          <w:sz w:val="24"/>
          <w:highlight w:val="none"/>
        </w:rPr>
        <w:t>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服务要求</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的内容逐条响应。</w:t>
      </w:r>
      <w:r>
        <w:rPr>
          <w:rFonts w:hint="eastAsia" w:ascii="仿宋" w:hAnsi="仿宋" w:eastAsia="仿宋" w:cs="仿宋"/>
          <w:b/>
          <w:bCs/>
          <w:color w:val="auto"/>
          <w:sz w:val="24"/>
          <w:highlight w:val="none"/>
        </w:rPr>
        <w:t>如有缺漏项视同不符合对应服务要求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GB"/>
        </w:rPr>
        <w:t>响应供应商请在“是否响应”栏内填“是”或“否”（不得空白，空白视为“否”），并对照偏离情况请在“偏离说明”栏内扼要说明偏离情况，不响应视为负偏离。服务要求必须按照比选文件的，不得</w:t>
      </w:r>
      <w:r>
        <w:rPr>
          <w:rFonts w:hint="eastAsia" w:ascii="仿宋" w:hAnsi="仿宋" w:eastAsia="仿宋" w:cs="仿宋"/>
          <w:color w:val="auto"/>
          <w:sz w:val="24"/>
          <w:highlight w:val="none"/>
          <w:lang w:val="en-GB" w:eastAsia="zh-CN"/>
        </w:rPr>
        <w:t>做</w:t>
      </w:r>
      <w:r>
        <w:rPr>
          <w:rFonts w:hint="eastAsia" w:ascii="仿宋" w:hAnsi="仿宋" w:eastAsia="仿宋" w:cs="仿宋"/>
          <w:color w:val="auto"/>
          <w:sz w:val="24"/>
          <w:highlight w:val="none"/>
          <w:lang w:val="en-GB"/>
        </w:rPr>
        <w:t>任何更改。否则视为不符合响应要求。</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GB"/>
        </w:rPr>
        <w:t>2.</w:t>
      </w:r>
      <w:r>
        <w:rPr>
          <w:rFonts w:hint="eastAsia" w:ascii="仿宋" w:hAnsi="仿宋" w:eastAsia="仿宋" w:cs="仿宋"/>
          <w:color w:val="auto"/>
          <w:sz w:val="24"/>
          <w:highlight w:val="none"/>
        </w:rPr>
        <w:t>响应供应商响应采购需求应具体、明确，含糊不清、不确切或伪造、变造证明材料的，按照不完全响应或者完全不响应处理。</w:t>
      </w:r>
    </w:p>
    <w:p>
      <w:pPr>
        <w:adjustRightInd w:val="0"/>
        <w:snapToGrid w:val="0"/>
        <w:spacing w:line="300" w:lineRule="auto"/>
        <w:rPr>
          <w:rFonts w:ascii="仿宋" w:hAnsi="仿宋" w:eastAsia="仿宋" w:cs="仿宋"/>
          <w:b/>
          <w:color w:val="auto"/>
          <w:sz w:val="24"/>
          <w:highlight w:val="none"/>
        </w:rPr>
      </w:pPr>
    </w:p>
    <w:p>
      <w:pPr>
        <w:adjustRightInd w:val="0"/>
        <w:snapToGrid w:val="0"/>
        <w:spacing w:line="30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响应供应商法定代表人（或法定代表人授权代表）签字：</w:t>
      </w:r>
      <w:r>
        <w:rPr>
          <w:rFonts w:hint="eastAsia" w:ascii="仿宋" w:hAnsi="仿宋" w:eastAsia="仿宋" w:cs="仿宋"/>
          <w:color w:val="auto"/>
          <w:sz w:val="24"/>
          <w:highlight w:val="none"/>
          <w:u w:val="single"/>
        </w:rPr>
        <w:t xml:space="preserve">                   </w:t>
      </w:r>
    </w:p>
    <w:p>
      <w:pPr>
        <w:adjustRightInd w:val="0"/>
        <w:snapToGrid w:val="0"/>
        <w:spacing w:line="30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响应供应商名称</w:t>
      </w:r>
      <w:r>
        <w:rPr>
          <w:rFonts w:hint="eastAsia" w:ascii="仿宋" w:hAnsi="仿宋" w:eastAsia="仿宋" w:cs="仿宋"/>
          <w:color w:val="auto"/>
          <w:sz w:val="24"/>
          <w:highlight w:val="none"/>
          <w:lang w:eastAsia="zh-CN"/>
        </w:rPr>
        <w:t>（盖章）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日期：   年   月   日</w:t>
      </w:r>
    </w:p>
    <w:p>
      <w:pPr>
        <w:rPr>
          <w:rFonts w:hint="eastAsia" w:ascii="仿宋" w:hAnsi="仿宋" w:eastAsia="仿宋" w:cs="仿宋"/>
          <w:color w:val="auto"/>
          <w:sz w:val="24"/>
          <w:highlight w:val="none"/>
        </w:rPr>
      </w:pPr>
    </w:p>
    <w:p>
      <w:pPr>
        <w:pStyle w:val="9"/>
        <w:rPr>
          <w:rFonts w:hint="eastAsia" w:ascii="仿宋" w:hAnsi="仿宋" w:eastAsia="仿宋" w:cs="仿宋"/>
          <w:color w:val="auto"/>
          <w:sz w:val="24"/>
          <w:highlight w:val="none"/>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br w:type="page"/>
      </w: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6.价格部分</w:t>
      </w:r>
    </w:p>
    <w:p>
      <w:pPr>
        <w:numPr>
          <w:ilvl w:val="0"/>
          <w:numId w:val="0"/>
        </w:numPr>
        <w:rPr>
          <w:rFonts w:hint="eastAsia" w:ascii="仿宋" w:hAnsi="仿宋" w:eastAsia="仿宋" w:cs="仿宋"/>
          <w:b/>
          <w:bCs/>
          <w:color w:val="auto"/>
          <w:kern w:val="2"/>
          <w:sz w:val="28"/>
          <w:szCs w:val="28"/>
          <w:highlight w:val="none"/>
          <w:lang w:val="en-US" w:eastAsia="zh-CN" w:bidi="ar-SA"/>
        </w:rPr>
      </w:pPr>
    </w:p>
    <w:p>
      <w:pPr>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报价单</w:t>
      </w:r>
    </w:p>
    <w:p>
      <w:pPr>
        <w:jc w:val="center"/>
        <w:rPr>
          <w:rFonts w:hint="eastAsia" w:ascii="仿宋" w:hAnsi="仿宋" w:eastAsia="仿宋" w:cs="仿宋"/>
          <w:b/>
          <w:bCs/>
          <w:color w:val="auto"/>
          <w:sz w:val="32"/>
          <w:szCs w:val="32"/>
          <w:highlight w:val="none"/>
        </w:rPr>
      </w:pPr>
    </w:p>
    <w:tbl>
      <w:tblPr>
        <w:tblStyle w:val="1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采购项目名称</w:t>
            </w:r>
          </w:p>
        </w:tc>
        <w:tc>
          <w:tcPr>
            <w:tcW w:w="7632" w:type="dxa"/>
            <w:tcBorders>
              <w:bottom w:val="single" w:color="auto" w:sz="4" w:space="0"/>
            </w:tcBorders>
            <w:noWrap w:val="0"/>
            <w:vAlign w:val="center"/>
          </w:tcPr>
          <w:p>
            <w:pPr>
              <w:keepNext w:val="0"/>
              <w:keepLines w:val="0"/>
              <w:kinsoku/>
              <w:overflowPunct/>
              <w:topLinePunct w:val="0"/>
              <w:bidi w:val="0"/>
              <w:spacing w:line="312" w:lineRule="auto"/>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728" w:type="dxa"/>
            <w:noWrap w:val="0"/>
            <w:vAlign w:val="center"/>
          </w:tcPr>
          <w:p>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采购编号</w:t>
            </w:r>
          </w:p>
        </w:tc>
        <w:tc>
          <w:tcPr>
            <w:tcW w:w="7632" w:type="dxa"/>
            <w:noWrap w:val="0"/>
            <w:vAlign w:val="center"/>
          </w:tcPr>
          <w:p>
            <w:pPr>
              <w:pStyle w:val="25"/>
              <w:keepNext w:val="0"/>
              <w:keepLines w:val="0"/>
              <w:widowControl w:val="0"/>
              <w:pBdr>
                <w:bottom w:val="none" w:color="auto" w:sz="0" w:space="0"/>
                <w:right w:val="none" w:color="auto" w:sz="0" w:space="0"/>
              </w:pBdr>
              <w:kinsoku/>
              <w:overflowPunct/>
              <w:topLinePunct w:val="0"/>
              <w:bidi w:val="0"/>
              <w:spacing w:before="0" w:beforeAutospacing="0" w:after="0" w:afterAutospacing="0" w:line="312" w:lineRule="auto"/>
              <w:textAlignment w:val="auto"/>
              <w:rPr>
                <w:rFonts w:hint="eastAsia" w:ascii="仿宋" w:hAnsi="仿宋" w:eastAsia="仿宋" w:cs="仿宋"/>
                <w:bCs/>
                <w:color w:val="auto"/>
                <w:kern w:val="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728" w:type="dxa"/>
            <w:noWrap w:val="0"/>
            <w:vAlign w:val="center"/>
          </w:tcPr>
          <w:p>
            <w:pPr>
              <w:keepNext w:val="0"/>
              <w:keepLines w:val="0"/>
              <w:kinsoku/>
              <w:overflowPunct/>
              <w:topLinePunct w:val="0"/>
              <w:bidi w:val="0"/>
              <w:spacing w:line="312" w:lineRule="auto"/>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w:t>
            </w:r>
          </w:p>
        </w:tc>
        <w:tc>
          <w:tcPr>
            <w:tcW w:w="7632" w:type="dxa"/>
            <w:noWrap w:val="0"/>
            <w:vAlign w:val="center"/>
          </w:tcPr>
          <w:p>
            <w:pPr>
              <w:keepNext w:val="0"/>
              <w:keepLines w:val="0"/>
              <w:kinsoku/>
              <w:overflowPunct/>
              <w:topLinePunct w:val="0"/>
              <w:bidi w:val="0"/>
              <w:spacing w:line="312" w:lineRule="auto"/>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（大写）人民币</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元整（￥</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元）</w:t>
            </w:r>
          </w:p>
        </w:tc>
      </w:tr>
    </w:tbl>
    <w:p>
      <w:pPr>
        <w:pStyle w:val="9"/>
        <w:keepNext w:val="0"/>
        <w:keepLines w:val="0"/>
        <w:kinsoku/>
        <w:overflowPunct/>
        <w:topLinePunct w:val="0"/>
        <w:bidi w:val="0"/>
        <w:spacing w:line="312" w:lineRule="auto"/>
        <w:textAlignment w:val="auto"/>
        <w:rPr>
          <w:rFonts w:hint="eastAsia" w:ascii="仿宋" w:hAnsi="仿宋" w:eastAsia="仿宋" w:cs="仿宋"/>
          <w:color w:val="auto"/>
          <w:sz w:val="24"/>
          <w:szCs w:val="24"/>
          <w:highlight w:val="none"/>
        </w:rPr>
      </w:pP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须按要求完整填写所有信息，不得随意更改本表格式，否则作</w:t>
      </w:r>
      <w:r>
        <w:rPr>
          <w:rFonts w:hint="eastAsia" w:ascii="仿宋" w:hAnsi="仿宋" w:eastAsia="仿宋" w:cs="仿宋"/>
          <w:color w:val="auto"/>
          <w:sz w:val="24"/>
          <w:szCs w:val="24"/>
          <w:highlight w:val="none"/>
          <w:lang w:eastAsia="zh-CN"/>
        </w:rPr>
        <w:t>无效</w:t>
      </w:r>
      <w:r>
        <w:rPr>
          <w:rFonts w:hint="eastAsia" w:ascii="仿宋" w:hAnsi="仿宋" w:eastAsia="仿宋" w:cs="仿宋"/>
          <w:color w:val="auto"/>
          <w:sz w:val="24"/>
          <w:szCs w:val="24"/>
          <w:highlight w:val="none"/>
        </w:rPr>
        <w:t>处理。</w:t>
      </w: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报价保留两位小数。中文大写金额用汉字，如壹、贰、叁、肆、伍、陆、柒、捌、玖、拾、佰、仟、万、亿、元、角、分、零、整（正）等。小写：1234567.89元，大写：壹佰贰拾叁万肆仟伍佰陆拾柒元捌角玖分。</w:t>
      </w: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3.此表是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文件的必要文件，是</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文件的组成部分。</w:t>
      </w: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4.除</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文件另有规定外，</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文件内不得含有任何对本报价进行价格折扣的说明或资料，否则为无效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5.合同履行期限详见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要求，合同履行期限超过</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规定的期限为无效</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w:t>
      </w:r>
    </w:p>
    <w:p>
      <w:pPr>
        <w:keepNext w:val="0"/>
        <w:keepLines w:val="0"/>
        <w:kinsoku/>
        <w:overflowPunct/>
        <w:topLinePunct w:val="0"/>
        <w:bidi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报价要求详见</w:t>
      </w:r>
      <w:r>
        <w:rPr>
          <w:rFonts w:hint="eastAsia" w:ascii="仿宋" w:hAnsi="仿宋" w:eastAsia="仿宋" w:cs="仿宋"/>
          <w:color w:val="auto"/>
          <w:sz w:val="24"/>
          <w:szCs w:val="24"/>
          <w:highlight w:val="none"/>
          <w:lang w:eastAsia="zh-CN"/>
        </w:rPr>
        <w:t>比选文件</w:t>
      </w:r>
      <w:r>
        <w:rPr>
          <w:rFonts w:hint="eastAsia" w:ascii="仿宋" w:hAnsi="仿宋" w:eastAsia="仿宋" w:cs="仿宋"/>
          <w:color w:val="auto"/>
          <w:sz w:val="24"/>
          <w:szCs w:val="24"/>
          <w:highlight w:val="none"/>
        </w:rPr>
        <w:t>要求，本项目不接受有选</w:t>
      </w:r>
      <w:r>
        <w:rPr>
          <w:rFonts w:hint="eastAsia" w:ascii="仿宋" w:hAnsi="仿宋" w:eastAsia="仿宋" w:cs="仿宋"/>
          <w:color w:val="auto"/>
          <w:sz w:val="24"/>
          <w:szCs w:val="24"/>
          <w:highlight w:val="none"/>
          <w:lang w:eastAsia="zh-CN"/>
        </w:rPr>
        <w:t>择性地响应</w:t>
      </w:r>
      <w:r>
        <w:rPr>
          <w:rFonts w:hint="eastAsia" w:ascii="仿宋" w:hAnsi="仿宋" w:eastAsia="仿宋" w:cs="仿宋"/>
          <w:color w:val="auto"/>
          <w:sz w:val="24"/>
          <w:szCs w:val="24"/>
          <w:highlight w:val="none"/>
        </w:rPr>
        <w:t>报价。</w:t>
      </w:r>
    </w:p>
    <w:p>
      <w:pPr>
        <w:keepNext w:val="0"/>
        <w:keepLines w:val="0"/>
        <w:kinsoku/>
        <w:overflowPunct/>
        <w:topLinePunct w:val="0"/>
        <w:bidi w:val="0"/>
        <w:adjustRightInd w:val="0"/>
        <w:snapToGrid w:val="0"/>
        <w:spacing w:line="312" w:lineRule="auto"/>
        <w:textAlignment w:val="auto"/>
        <w:rPr>
          <w:rFonts w:hint="eastAsia" w:ascii="仿宋" w:hAnsi="仿宋" w:eastAsia="仿宋" w:cs="仿宋"/>
          <w:color w:val="auto"/>
          <w:sz w:val="24"/>
          <w:szCs w:val="24"/>
          <w:highlight w:val="none"/>
        </w:rPr>
      </w:pPr>
    </w:p>
    <w:p>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授权代表）签字或盖章：</w:t>
      </w:r>
      <w:r>
        <w:rPr>
          <w:rFonts w:hint="eastAsia" w:ascii="仿宋" w:hAnsi="仿宋" w:eastAsia="仿宋" w:cs="仿宋"/>
          <w:color w:val="auto"/>
          <w:sz w:val="24"/>
          <w:szCs w:val="24"/>
          <w:highlight w:val="none"/>
          <w:u w:val="single"/>
        </w:rPr>
        <w:t xml:space="preserve">               </w:t>
      </w:r>
    </w:p>
    <w:p>
      <w:pPr>
        <w:keepNext w:val="0"/>
        <w:keepLines w:val="0"/>
        <w:kinsoku/>
        <w:overflowPunct/>
        <w:topLinePunct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响应供应商</w:t>
      </w:r>
      <w:r>
        <w:rPr>
          <w:rFonts w:hint="eastAsia" w:ascii="仿宋" w:hAnsi="仿宋" w:eastAsia="仿宋" w:cs="仿宋"/>
          <w:color w:val="auto"/>
          <w:sz w:val="24"/>
          <w:szCs w:val="24"/>
          <w:highlight w:val="none"/>
        </w:rPr>
        <w:t>名称（盖章）：</w:t>
      </w:r>
      <w:r>
        <w:rPr>
          <w:rFonts w:hint="eastAsia" w:ascii="仿宋" w:hAnsi="仿宋" w:eastAsia="仿宋" w:cs="仿宋"/>
          <w:color w:val="auto"/>
          <w:sz w:val="24"/>
          <w:szCs w:val="24"/>
          <w:highlight w:val="none"/>
          <w:u w:val="single"/>
        </w:rPr>
        <w:t xml:space="preserve">                      </w:t>
      </w:r>
    </w:p>
    <w:p>
      <w:pPr>
        <w:keepNext w:val="0"/>
        <w:keepLines w:val="0"/>
        <w:kinsoku/>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p>
    <w:p>
      <w:pP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7.定标部分</w:t>
      </w:r>
    </w:p>
    <w:p>
      <w:pPr>
        <w:pStyle w:val="2"/>
        <w:numPr>
          <w:ilvl w:val="2"/>
          <w:numId w:val="0"/>
        </w:numPr>
        <w:spacing w:line="360" w:lineRule="auto"/>
        <w:ind w:leftChars="0"/>
        <w:jc w:val="center"/>
        <w:outlineLvl w:val="1"/>
        <w:rPr>
          <w:rFonts w:hint="eastAsia" w:ascii="仿宋" w:hAnsi="仿宋" w:eastAsia="仿宋" w:cs="仿宋"/>
          <w:color w:val="auto"/>
          <w:spacing w:val="0"/>
          <w:highlight w:val="none"/>
        </w:rPr>
      </w:pPr>
      <w:r>
        <w:rPr>
          <w:rFonts w:hint="eastAsia" w:ascii="仿宋" w:hAnsi="仿宋" w:eastAsia="仿宋" w:cs="仿宋"/>
          <w:color w:val="auto"/>
          <w:spacing w:val="0"/>
          <w:highlight w:val="none"/>
        </w:rPr>
        <w:t>定标因素表</w:t>
      </w:r>
    </w:p>
    <w:tbl>
      <w:tblPr>
        <w:tblStyle w:val="16"/>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611"/>
        <w:gridCol w:w="1778"/>
        <w:gridCol w:w="2269"/>
        <w:gridCol w:w="1836"/>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序号</w:t>
            </w:r>
          </w:p>
        </w:tc>
        <w:tc>
          <w:tcPr>
            <w:tcW w:w="3389" w:type="dxa"/>
            <w:gridSpan w:val="2"/>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定标因素</w:t>
            </w:r>
          </w:p>
        </w:tc>
        <w:tc>
          <w:tcPr>
            <w:tcW w:w="2269"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lang w:eastAsia="zh-CN"/>
              </w:rPr>
              <w:t>响应供应商</w:t>
            </w:r>
            <w:r>
              <w:rPr>
                <w:rFonts w:hint="eastAsia" w:ascii="仿宋" w:hAnsi="仿宋" w:eastAsia="仿宋" w:cs="仿宋"/>
                <w:b/>
                <w:bCs/>
                <w:color w:val="auto"/>
                <w:spacing w:val="0"/>
                <w:sz w:val="20"/>
                <w:szCs w:val="20"/>
                <w:highlight w:val="none"/>
                <w:lang w:val="en-US" w:eastAsia="zh-CN"/>
              </w:rPr>
              <w:t>响应</w:t>
            </w:r>
            <w:r>
              <w:rPr>
                <w:rFonts w:hint="eastAsia" w:ascii="仿宋" w:hAnsi="仿宋" w:eastAsia="仿宋" w:cs="仿宋"/>
                <w:b/>
                <w:bCs/>
                <w:color w:val="auto"/>
                <w:spacing w:val="0"/>
                <w:sz w:val="20"/>
                <w:szCs w:val="20"/>
                <w:highlight w:val="none"/>
              </w:rPr>
              <w:t>情况</w:t>
            </w:r>
          </w:p>
        </w:tc>
        <w:tc>
          <w:tcPr>
            <w:tcW w:w="1836"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证明材料所在页码</w:t>
            </w:r>
          </w:p>
        </w:tc>
        <w:tc>
          <w:tcPr>
            <w:tcW w:w="1050" w:type="dxa"/>
            <w:noWrap w:val="0"/>
            <w:vAlign w:val="center"/>
          </w:tcPr>
          <w:p>
            <w:pPr>
              <w:adjustRightInd w:val="0"/>
              <w:snapToGrid w:val="0"/>
              <w:spacing w:line="360" w:lineRule="auto"/>
              <w:jc w:val="center"/>
              <w:rPr>
                <w:rFonts w:hint="eastAsia" w:ascii="仿宋" w:hAnsi="仿宋" w:eastAsia="仿宋" w:cs="仿宋"/>
                <w:b/>
                <w:bCs/>
                <w:color w:val="auto"/>
                <w:spacing w:val="0"/>
                <w:sz w:val="20"/>
                <w:szCs w:val="20"/>
                <w:highlight w:val="none"/>
              </w:rPr>
            </w:pPr>
            <w:r>
              <w:rPr>
                <w:rFonts w:hint="eastAsia" w:ascii="仿宋" w:hAnsi="仿宋" w:eastAsia="仿宋" w:cs="仿宋"/>
                <w:b/>
                <w:bCs/>
                <w:color w:val="auto"/>
                <w:spacing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1</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kern w:val="2"/>
                <w:sz w:val="20"/>
                <w:szCs w:val="20"/>
                <w:highlight w:val="none"/>
                <w:lang w:val="en-US" w:eastAsia="zh-CN" w:bidi="ar-SA"/>
              </w:rPr>
            </w:pPr>
            <w:r>
              <w:rPr>
                <w:rFonts w:hint="eastAsia" w:ascii="仿宋" w:hAnsi="仿宋" w:eastAsia="仿宋" w:cs="仿宋"/>
                <w:color w:val="auto"/>
                <w:highlight w:val="none"/>
                <w:lang w:val="en-US" w:eastAsia="zh-CN"/>
              </w:rPr>
              <w:t>企业实力</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自行提交材料</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eastAsia="zh-CN"/>
              </w:rPr>
            </w:pPr>
            <w:r>
              <w:rPr>
                <w:rFonts w:hint="eastAsia" w:ascii="仿宋" w:hAnsi="仿宋" w:eastAsia="仿宋" w:cs="仿宋"/>
                <w:color w:val="auto"/>
                <w:spacing w:val="0"/>
                <w:sz w:val="20"/>
                <w:szCs w:val="20"/>
                <w:highlight w:val="none"/>
                <w:lang w:val="en-US" w:eastAsia="zh-CN"/>
              </w:rPr>
              <w:t>2</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highlight w:val="none"/>
                <w:lang w:val="en-US" w:eastAsia="zh-CN"/>
              </w:rPr>
              <w:t>企业信誉</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自行提交材料</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val="en-US" w:eastAsia="zh-CN"/>
              </w:rPr>
            </w:pPr>
            <w:r>
              <w:rPr>
                <w:rFonts w:hint="eastAsia" w:ascii="仿宋" w:hAnsi="仿宋" w:eastAsia="仿宋" w:cs="仿宋"/>
                <w:color w:val="auto"/>
                <w:spacing w:val="0"/>
                <w:sz w:val="20"/>
                <w:szCs w:val="20"/>
                <w:highlight w:val="none"/>
                <w:lang w:val="en-US" w:eastAsia="zh-CN"/>
              </w:rPr>
              <w:t>3</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文件响应情况</w:t>
            </w:r>
          </w:p>
        </w:tc>
        <w:tc>
          <w:tcPr>
            <w:tcW w:w="1778"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按响应文件响应内容提供，提交汇总表</w:t>
            </w:r>
          </w:p>
        </w:tc>
        <w:tc>
          <w:tcPr>
            <w:tcW w:w="2269" w:type="dxa"/>
            <w:noWrap w:val="0"/>
            <w:vAlign w:val="center"/>
          </w:tcPr>
          <w:p>
            <w:pPr>
              <w:adjustRightInd w:val="0"/>
              <w:snapToGrid w:val="0"/>
              <w:spacing w:line="360" w:lineRule="auto"/>
              <w:jc w:val="both"/>
              <w:rPr>
                <w:rFonts w:hint="eastAsia" w:ascii="仿宋" w:hAnsi="仿宋" w:eastAsia="仿宋" w:cs="仿宋"/>
                <w:color w:val="auto"/>
                <w:spacing w:val="0"/>
                <w:sz w:val="21"/>
                <w:szCs w:val="21"/>
                <w:highlight w:val="none"/>
              </w:rPr>
            </w:pPr>
            <w:r>
              <w:rPr>
                <w:rFonts w:hint="eastAsia" w:ascii="仿宋" w:hAnsi="仿宋" w:eastAsia="仿宋" w:cs="仿宋"/>
                <w:color w:val="auto"/>
                <w:spacing w:val="0"/>
                <w:sz w:val="21"/>
                <w:szCs w:val="21"/>
                <w:highlight w:val="none"/>
                <w:lang w:eastAsia="zh-CN"/>
              </w:rPr>
              <w:t>比选</w:t>
            </w:r>
            <w:r>
              <w:rPr>
                <w:rFonts w:hint="eastAsia" w:ascii="仿宋" w:hAnsi="仿宋" w:eastAsia="仿宋" w:cs="仿宋"/>
                <w:color w:val="auto"/>
                <w:spacing w:val="0"/>
                <w:sz w:val="21"/>
                <w:szCs w:val="21"/>
                <w:highlight w:val="none"/>
              </w:rPr>
              <w:t>文件需求内容负偏离:</w:t>
            </w:r>
            <w:r>
              <w:rPr>
                <w:rFonts w:hint="eastAsia" w:ascii="仿宋" w:hAnsi="仿宋" w:eastAsia="仿宋" w:cs="仿宋"/>
                <w:color w:val="auto"/>
                <w:spacing w:val="0"/>
                <w:sz w:val="21"/>
                <w:szCs w:val="21"/>
                <w:highlight w:val="none"/>
                <w:u w:val="single"/>
                <w:lang w:val="en-US" w:eastAsia="zh-CN"/>
              </w:rPr>
              <w:t xml:space="preserve">    </w:t>
            </w:r>
            <w:r>
              <w:rPr>
                <w:rFonts w:hint="eastAsia" w:ascii="仿宋" w:hAnsi="仿宋" w:eastAsia="仿宋" w:cs="仿宋"/>
                <w:color w:val="auto"/>
                <w:spacing w:val="0"/>
                <w:sz w:val="21"/>
                <w:szCs w:val="21"/>
                <w:highlight w:val="none"/>
              </w:rPr>
              <w:t>条</w:t>
            </w: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eastAsia="zh-CN"/>
              </w:rPr>
            </w:pPr>
            <w:r>
              <w:rPr>
                <w:rFonts w:hint="eastAsia" w:ascii="仿宋" w:hAnsi="仿宋" w:eastAsia="仿宋" w:cs="仿宋"/>
                <w:color w:val="auto"/>
                <w:spacing w:val="0"/>
                <w:sz w:val="20"/>
                <w:szCs w:val="20"/>
                <w:highlight w:val="none"/>
                <w:lang w:val="en-US" w:eastAsia="zh-CN"/>
              </w:rPr>
              <w:t>4</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报价</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按</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文件内容提供</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lang w:eastAsia="zh-CN"/>
              </w:rPr>
            </w:pPr>
            <w:r>
              <w:rPr>
                <w:rFonts w:hint="eastAsia" w:ascii="仿宋" w:hAnsi="仿宋" w:eastAsia="仿宋" w:cs="仿宋"/>
                <w:color w:val="auto"/>
                <w:spacing w:val="0"/>
                <w:sz w:val="20"/>
                <w:szCs w:val="20"/>
                <w:highlight w:val="none"/>
                <w:lang w:val="en-US" w:eastAsia="zh-CN"/>
              </w:rPr>
              <w:t>5</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highlight w:val="none"/>
                <w:lang w:val="en-US" w:eastAsia="zh-CN"/>
              </w:rPr>
              <w:t>拟派团队管理能力与水平</w:t>
            </w:r>
          </w:p>
        </w:tc>
        <w:tc>
          <w:tcPr>
            <w:tcW w:w="1778" w:type="dxa"/>
            <w:noWrap w:val="0"/>
            <w:vAlign w:val="center"/>
          </w:tcPr>
          <w:p>
            <w:pPr>
              <w:adjustRightInd w:val="0"/>
              <w:snapToGrid w:val="0"/>
              <w:spacing w:line="360" w:lineRule="auto"/>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按</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highlight w:val="none"/>
                <w:lang w:val="en-US" w:eastAsia="zh-CN"/>
              </w:rPr>
              <w:t>文件内容提供</w:t>
            </w: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7"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r>
              <w:rPr>
                <w:rFonts w:hint="eastAsia" w:ascii="仿宋" w:hAnsi="仿宋" w:eastAsia="仿宋" w:cs="仿宋"/>
                <w:color w:val="auto"/>
                <w:spacing w:val="0"/>
                <w:sz w:val="20"/>
                <w:szCs w:val="20"/>
                <w:highlight w:val="none"/>
              </w:rPr>
              <w:t>……</w:t>
            </w:r>
          </w:p>
        </w:tc>
        <w:tc>
          <w:tcPr>
            <w:tcW w:w="1611"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778"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2269" w:type="dxa"/>
            <w:noWrap w:val="0"/>
            <w:vAlign w:val="center"/>
          </w:tcPr>
          <w:p>
            <w:pPr>
              <w:adjustRightInd w:val="0"/>
              <w:snapToGrid w:val="0"/>
              <w:spacing w:line="360" w:lineRule="auto"/>
              <w:jc w:val="left"/>
              <w:rPr>
                <w:rFonts w:hint="eastAsia" w:ascii="仿宋" w:hAnsi="仿宋" w:eastAsia="仿宋" w:cs="仿宋"/>
                <w:color w:val="auto"/>
                <w:spacing w:val="0"/>
                <w:sz w:val="20"/>
                <w:szCs w:val="20"/>
                <w:highlight w:val="none"/>
              </w:rPr>
            </w:pPr>
          </w:p>
        </w:tc>
        <w:tc>
          <w:tcPr>
            <w:tcW w:w="1836" w:type="dxa"/>
            <w:noWrap w:val="0"/>
            <w:vAlign w:val="top"/>
          </w:tcPr>
          <w:p>
            <w:pPr>
              <w:adjustRightInd w:val="0"/>
              <w:snapToGrid w:val="0"/>
              <w:spacing w:line="360" w:lineRule="auto"/>
              <w:jc w:val="center"/>
              <w:rPr>
                <w:rFonts w:hint="eastAsia" w:ascii="仿宋" w:hAnsi="仿宋" w:eastAsia="仿宋" w:cs="仿宋"/>
                <w:color w:val="auto"/>
                <w:spacing w:val="0"/>
                <w:sz w:val="20"/>
                <w:szCs w:val="20"/>
                <w:highlight w:val="none"/>
              </w:rPr>
            </w:pPr>
          </w:p>
        </w:tc>
        <w:tc>
          <w:tcPr>
            <w:tcW w:w="1050" w:type="dxa"/>
            <w:noWrap w:val="0"/>
            <w:vAlign w:val="center"/>
          </w:tcPr>
          <w:p>
            <w:pPr>
              <w:adjustRightInd w:val="0"/>
              <w:snapToGrid w:val="0"/>
              <w:spacing w:line="360" w:lineRule="auto"/>
              <w:jc w:val="center"/>
              <w:rPr>
                <w:rFonts w:hint="eastAsia" w:ascii="仿宋" w:hAnsi="仿宋" w:eastAsia="仿宋" w:cs="仿宋"/>
                <w:color w:val="auto"/>
                <w:spacing w:val="0"/>
                <w:sz w:val="20"/>
                <w:szCs w:val="20"/>
                <w:highlight w:val="none"/>
              </w:rPr>
            </w:pPr>
          </w:p>
        </w:tc>
      </w:tr>
    </w:tbl>
    <w:p>
      <w:pPr>
        <w:numPr>
          <w:ilvl w:val="0"/>
          <w:numId w:val="0"/>
        </w:numPr>
        <w:rPr>
          <w:rFonts w:hint="eastAsia" w:ascii="仿宋" w:hAnsi="仿宋" w:eastAsia="仿宋" w:cs="仿宋"/>
          <w:color w:val="auto"/>
          <w:sz w:val="24"/>
          <w:szCs w:val="24"/>
          <w:highlight w:val="none"/>
          <w:lang w:val="en-US" w:eastAsia="zh-CN"/>
        </w:rPr>
      </w:pPr>
    </w:p>
    <w:p>
      <w:pPr>
        <w:rPr>
          <w:color w:val="auto"/>
          <w:highlight w:val="none"/>
        </w:rPr>
      </w:pPr>
    </w:p>
    <w:p>
      <w:pPr>
        <w:rPr>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Identity-H">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59</w:t>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59</w:t>
                    </w:r>
                    <w:r>
                      <w:rPr>
                        <w:rFonts w:hint="eastAsia"/>
                        <w:lang w:eastAsia="zh-CN"/>
                      </w:rP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11wiEbAgAAIQQAAA4A&#10;AAAAAAAAAQAgAAAAHwEAAGRycy9lMm9Eb2MueG1sUEsFBgAAAAAGAAYAWQEAAKwFAAAAAA==&#10;">
              <v:fill on="f" focussize="0,0"/>
              <v:stroke on="f" weight="0.5pt"/>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40C2CC"/>
    <w:multiLevelType w:val="singleLevel"/>
    <w:tmpl w:val="C140C2CC"/>
    <w:lvl w:ilvl="0" w:tentative="0">
      <w:start w:val="1"/>
      <w:numFmt w:val="chineseCounting"/>
      <w:suff w:val="nothing"/>
      <w:lvlText w:val="%1、"/>
      <w:lvlJc w:val="left"/>
      <w:rPr>
        <w:rFonts w:hint="eastAsia"/>
      </w:rPr>
    </w:lvl>
  </w:abstractNum>
  <w:abstractNum w:abstractNumId="1">
    <w:nsid w:val="C57B1A6D"/>
    <w:multiLevelType w:val="singleLevel"/>
    <w:tmpl w:val="C57B1A6D"/>
    <w:lvl w:ilvl="0" w:tentative="0">
      <w:start w:val="15"/>
      <w:numFmt w:val="chineseCounting"/>
      <w:suff w:val="nothing"/>
      <w:lvlText w:val="%1、"/>
      <w:lvlJc w:val="left"/>
      <w:rPr>
        <w:rFonts w:hint="eastAsia"/>
      </w:rPr>
    </w:lvl>
  </w:abstractNum>
  <w:abstractNum w:abstractNumId="2">
    <w:nsid w:val="3A2B4D8D"/>
    <w:multiLevelType w:val="multilevel"/>
    <w:tmpl w:val="3A2B4D8D"/>
    <w:lvl w:ilvl="0" w:tentative="0">
      <w:start w:val="1"/>
      <w:numFmt w:val="chineseCountingThousand"/>
      <w:pStyle w:val="3"/>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left"/>
      <w:pPr>
        <w:ind w:left="0" w:firstLine="0"/>
      </w:pPr>
      <w:rPr>
        <w:rFonts w:hint="eastAsia"/>
      </w:rPr>
    </w:lvl>
    <w:lvl w:ilvl="3" w:tentative="0">
      <w:start w:val="1"/>
      <w:numFmt w:val="decimal"/>
      <w:suff w:val="space"/>
      <w:lvlText w:val="%3.%4"/>
      <w:lvlJc w:val="left"/>
      <w:pPr>
        <w:ind w:left="0" w:firstLine="0"/>
      </w:pPr>
      <w:rPr>
        <w:rFonts w:hint="eastAsia"/>
      </w:rPr>
    </w:lvl>
    <w:lvl w:ilvl="4" w:tentative="0">
      <w:start w:val="1"/>
      <w:numFmt w:val="decimal"/>
      <w:suff w:val="space"/>
      <w:lvlText w:val="%3.%4.%5"/>
      <w:lvlJc w:val="left"/>
      <w:pPr>
        <w:ind w:left="426" w:firstLine="0"/>
      </w:pPr>
      <w:rPr>
        <w:rFonts w:hint="eastAsia"/>
      </w:rPr>
    </w:lvl>
    <w:lvl w:ilvl="5" w:tentative="0">
      <w:start w:val="1"/>
      <w:numFmt w:val="decimal"/>
      <w:suff w:val="space"/>
      <w:lvlText w:val="%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569C8C25"/>
    <w:multiLevelType w:val="singleLevel"/>
    <w:tmpl w:val="569C8C25"/>
    <w:lvl w:ilvl="0" w:tentative="0">
      <w:start w:val="1"/>
      <w:numFmt w:val="chineseCounting"/>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D724B8"/>
    <w:rsid w:val="114538CB"/>
    <w:rsid w:val="24463C86"/>
    <w:rsid w:val="317B6DBE"/>
    <w:rsid w:val="36BF5E7B"/>
    <w:rsid w:val="42243539"/>
    <w:rsid w:val="4A6A3D72"/>
    <w:rsid w:val="534D7D43"/>
    <w:rsid w:val="5AD90795"/>
    <w:rsid w:val="5E3F1B33"/>
    <w:rsid w:val="6BBF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ind w:firstLineChars="0"/>
      <w:outlineLvl w:val="0"/>
    </w:pPr>
    <w:rPr>
      <w:rFonts w:eastAsia="黑体"/>
      <w:b/>
      <w:kern w:val="44"/>
      <w:sz w:val="32"/>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caption"/>
    <w:basedOn w:val="1"/>
    <w:next w:val="1"/>
    <w:qFormat/>
    <w:uiPriority w:val="0"/>
    <w:rPr>
      <w:rFonts w:ascii="Cambria" w:hAnsi="Cambria" w:eastAsia="黑体" w:cs="Times New Roman"/>
      <w:sz w:val="20"/>
      <w:szCs w:val="20"/>
    </w:rPr>
  </w:style>
  <w:style w:type="paragraph" w:styleId="7">
    <w:name w:val="annotation text"/>
    <w:basedOn w:val="1"/>
    <w:qFormat/>
    <w:uiPriority w:val="0"/>
    <w:pPr>
      <w:jc w:val="left"/>
    </w:pPr>
  </w:style>
  <w:style w:type="paragraph" w:styleId="8">
    <w:name w:val="Body Text 3"/>
    <w:basedOn w:val="1"/>
    <w:qFormat/>
    <w:uiPriority w:val="0"/>
    <w:pPr>
      <w:spacing w:after="120"/>
    </w:pPr>
    <w:rPr>
      <w:sz w:val="16"/>
      <w:szCs w:val="16"/>
    </w:rPr>
  </w:style>
  <w:style w:type="paragraph" w:styleId="9">
    <w:name w:val="Body Text"/>
    <w:basedOn w:val="1"/>
    <w:next w:val="1"/>
    <w:qFormat/>
    <w:uiPriority w:val="0"/>
    <w:pPr>
      <w:spacing w:after="120"/>
    </w:pPr>
  </w:style>
  <w:style w:type="paragraph" w:styleId="10">
    <w:name w:val="List 2"/>
    <w:basedOn w:val="1"/>
    <w:qFormat/>
    <w:uiPriority w:val="0"/>
    <w:pPr>
      <w:ind w:left="100" w:leftChars="200" w:hanging="200" w:hangingChars="200"/>
    </w:p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style>
  <w:style w:type="paragraph" w:styleId="15">
    <w:name w:val="List"/>
    <w:basedOn w:val="1"/>
    <w:qFormat/>
    <w:uiPriority w:val="0"/>
    <w:pPr>
      <w:ind w:firstLine="0" w:firstLineChars="0"/>
      <w:contextualSpacing/>
    </w:pPr>
  </w:style>
  <w:style w:type="paragraph" w:customStyle="1" w:styleId="18">
    <w:name w:val="样式 样式 左侧:  2 字符 + 左侧:  0.85 厘米 首行缩进:  2 字符1"/>
    <w:qFormat/>
    <w:uiPriority w:val="0"/>
    <w:pPr>
      <w:widowControl w:val="0"/>
      <w:ind w:left="482" w:firstLine="200" w:firstLineChars="200"/>
      <w:jc w:val="both"/>
    </w:pPr>
    <w:rPr>
      <w:rFonts w:ascii="Times New Roman" w:hAnsi="Times New Roman" w:eastAsia="宋体" w:cs="宋体"/>
      <w:kern w:val="2"/>
      <w:sz w:val="21"/>
      <w:szCs w:val="24"/>
      <w:lang w:val="en-US" w:eastAsia="zh-CN" w:bidi="ar-SA"/>
    </w:rPr>
  </w:style>
  <w:style w:type="paragraph" w:customStyle="1" w:styleId="1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0">
    <w:name w:val="List Paragraph"/>
    <w:basedOn w:val="1"/>
    <w:qFormat/>
    <w:uiPriority w:val="34"/>
    <w:pPr>
      <w:ind w:firstLine="420"/>
    </w:pPr>
  </w:style>
  <w:style w:type="paragraph" w:customStyle="1" w:styleId="21">
    <w:name w:val="列出段落1"/>
    <w:basedOn w:val="1"/>
    <w:qFormat/>
    <w:uiPriority w:val="0"/>
    <w:pPr>
      <w:ind w:firstLine="420" w:firstLineChars="200"/>
    </w:pPr>
    <w:rPr>
      <w:rFonts w:ascii="Calibri" w:hAnsi="Calibri" w:eastAsia="宋体" w:cs="Times New Roman"/>
    </w:rPr>
  </w:style>
  <w:style w:type="paragraph" w:customStyle="1" w:styleId="22">
    <w:name w:val="No Spacing1"/>
    <w:qFormat/>
    <w:uiPriority w:val="0"/>
    <w:pPr>
      <w:adjustRightInd w:val="0"/>
      <w:snapToGrid w:val="0"/>
    </w:pPr>
    <w:rPr>
      <w:rFonts w:ascii="Tahoma" w:hAnsi="Tahoma" w:eastAsia="微软雅黑" w:cs="Tahoma"/>
      <w:sz w:val="22"/>
      <w:szCs w:val="22"/>
      <w:lang w:val="en-US" w:eastAsia="zh-CN" w:bidi="ar-SA"/>
    </w:rPr>
  </w:style>
  <w:style w:type="paragraph" w:customStyle="1" w:styleId="23">
    <w:name w:val="null3"/>
    <w:qFormat/>
    <w:uiPriority w:val="0"/>
    <w:rPr>
      <w:rFonts w:hint="eastAsia" w:ascii="Calibri" w:hAnsi="Calibri" w:eastAsia="宋体" w:cs="Times New Roman"/>
      <w:lang w:val="en-US" w:eastAsia="zh-Hans"/>
    </w:rPr>
  </w:style>
  <w:style w:type="paragraph" w:customStyle="1" w:styleId="24">
    <w:name w:val="题注4"/>
    <w:basedOn w:val="1"/>
    <w:next w:val="6"/>
    <w:qFormat/>
    <w:uiPriority w:val="0"/>
    <w:pPr>
      <w:ind w:left="-132" w:leftChars="-64" w:right="-105" w:rightChars="-50" w:hanging="2"/>
      <w:jc w:val="center"/>
    </w:pPr>
    <w:rPr>
      <w:b/>
      <w:color w:val="FF0000"/>
      <w:szCs w:val="21"/>
      <w:lang w:val="en-GB"/>
    </w:rPr>
  </w:style>
  <w:style w:type="paragraph" w:customStyle="1" w:styleId="25">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2025-11-14T03:42:00Z</dcterms:created>
  <dc:creator>Administrator.FY-202506050949.000</dc:creator>
  <cp:lastModifiedBy>Mao</cp:lastModifiedBy>
  <dcterms:modified xsi:type="dcterms:W3CDTF">2025-11-17T02:08:46Z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