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bookmarkStart w:id="0" w:name="OLE_LINK7"/>
      <w:bookmarkStart w:id="1" w:name="OLE_LINK1"/>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ZCB-YN-2025022</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ab/>
      </w:r>
      <w:r>
        <w:rPr>
          <w:rFonts w:hint="eastAsia" w:ascii="仿宋" w:hAnsi="仿宋" w:eastAsia="仿宋" w:cs="仿宋"/>
          <w:b/>
          <w:color w:val="auto"/>
          <w:sz w:val="28"/>
          <w:szCs w:val="28"/>
          <w:highlight w:val="none"/>
          <w:lang w:eastAsia="zh-CN"/>
        </w:rPr>
        <w:t>惠州市第一妇幼保健院2025年服务器及终端安全管理服务采购项目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2"/>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7"/>
        <w:rPr>
          <w:rFonts w:hint="eastAsia"/>
          <w:color w:val="auto"/>
          <w:highlight w:val="none"/>
          <w:lang w:eastAsia="zh-CN"/>
        </w:rPr>
      </w:pPr>
    </w:p>
    <w:p>
      <w:pPr>
        <w:pStyle w:val="14"/>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惠州市第一妇幼保健院2025年服务器及终端安全管理服务采购项目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ZCB-YN-2025022</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惠州市第一妇幼保健院2025年服务器及终端安全管理服务采购项目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8"/>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惠州市第一妇幼保健院2025年服务器及终端安全管理服务采购项目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174100.00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w:t>
      </w:r>
      <w:r>
        <w:rPr>
          <w:rFonts w:hint="eastAsia" w:ascii="仿宋" w:hAnsi="仿宋" w:eastAsia="仿宋" w:cs="仿宋"/>
          <w:color w:val="auto"/>
          <w:sz w:val="24"/>
          <w:highlight w:val="none"/>
          <w:lang w:val="zh-CN"/>
        </w:rPr>
        <w:t>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21"/>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lang w:eastAsia="zh-CN"/>
        </w:rPr>
        <w:t>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bookmarkStart w:id="2" w:name="OLE_LINK3"/>
      <w:r>
        <w:rPr>
          <w:rFonts w:hint="eastAsia" w:ascii="仿宋" w:hAnsi="仿宋" w:eastAsia="仿宋" w:cs="仿宋"/>
          <w:strike w:val="0"/>
          <w:color w:val="auto"/>
          <w:sz w:val="24"/>
          <w:highlight w:val="none"/>
          <w:lang w:eastAsia="zh-CN"/>
        </w:rPr>
        <w:t>本项目是专门面向中小企业采购的项目，供应商应为中小微企业。（提供《中小企业声明函》,具体格式文件见比选文件</w:t>
      </w:r>
      <w:r>
        <w:rPr>
          <w:rFonts w:hint="eastAsia" w:ascii="仿宋" w:hAnsi="仿宋" w:eastAsia="仿宋" w:cs="仿宋"/>
          <w:strike w:val="0"/>
          <w:color w:val="auto"/>
          <w:sz w:val="24"/>
          <w:highlight w:val="none"/>
          <w:lang w:eastAsia="zh-CN"/>
        </w:rPr>
        <w:t>P4</w:t>
      </w:r>
      <w:r>
        <w:rPr>
          <w:rFonts w:hint="eastAsia" w:ascii="仿宋" w:hAnsi="仿宋" w:eastAsia="仿宋" w:cs="仿宋"/>
          <w:strike w:val="0"/>
          <w:color w:val="auto"/>
          <w:sz w:val="24"/>
          <w:highlight w:val="none"/>
          <w:lang w:val="en-US" w:eastAsia="zh-CN"/>
        </w:rPr>
        <w:t>9</w:t>
      </w:r>
      <w:r>
        <w:rPr>
          <w:rFonts w:hint="eastAsia" w:ascii="仿宋" w:hAnsi="仿宋" w:eastAsia="仿宋" w:cs="仿宋"/>
          <w:strike w:val="0"/>
          <w:color w:val="auto"/>
          <w:sz w:val="24"/>
          <w:highlight w:val="none"/>
          <w:lang w:eastAsia="zh-CN"/>
        </w:rPr>
        <w:t>中小企业声明函，未按要求提供声明函的将导致响应无效）。</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软件和信息技术服务业</w:t>
      </w:r>
      <w:bookmarkEnd w:id="2"/>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我院有重要的核心业务系统、内外网络办公环境及外包等使用场景等，其各个环节都承载着大量的信息资产数据。面对来自信息系统内外部的各种安全威胁，以及新技术新安全形势的发展涉及所有终端安全建设需要从多层级、多维度整体的、符合系统安全保护等级要求的安全防御体系进行整体规划，提升医院的安全建设及管理水平，进行网络安全建设。</w:t>
      </w:r>
    </w:p>
    <w:p>
      <w:pPr>
        <w:numPr>
          <w:ilvl w:val="0"/>
          <w:numId w:val="0"/>
        </w:numPr>
        <w:autoSpaceDE w:val="0"/>
        <w:autoSpaceDN w:val="0"/>
        <w:spacing w:line="360" w:lineRule="auto"/>
        <w:ind w:firstLine="482" w:firstLineChars="200"/>
        <w:rPr>
          <w:rFonts w:hint="eastAsia"/>
          <w:color w:val="auto"/>
          <w:highlight w:val="none"/>
          <w:lang w:val="zh-CN" w:eastAsia="zh-CN"/>
        </w:rPr>
      </w:pPr>
      <w:r>
        <w:rPr>
          <w:rFonts w:hint="eastAsia" w:ascii="仿宋" w:hAnsi="仿宋" w:eastAsia="仿宋" w:cs="仿宋"/>
          <w:b/>
          <w:bCs/>
          <w:color w:val="auto"/>
          <w:sz w:val="24"/>
          <w:highlight w:val="none"/>
          <w:lang w:val="zh-CN" w:eastAsia="zh-CN"/>
        </w:rPr>
        <w:t>四、</w:t>
      </w: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lang w:val="zh-CN" w:eastAsia="zh-CN"/>
        </w:rPr>
        <w:t>内容</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b w:val="0"/>
          <w:bCs w:val="0"/>
          <w:color w:val="auto"/>
          <w:sz w:val="24"/>
          <w:highlight w:val="none"/>
          <w:lang w:val="zh-CN" w:eastAsia="zh-CN"/>
        </w:rPr>
        <w:t>服务内容包括以下内容：</w:t>
      </w:r>
    </w:p>
    <w:p>
      <w:pPr>
        <w:numPr>
          <w:ilvl w:val="0"/>
          <w:numId w:val="3"/>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lang w:val="zh-CN" w:eastAsia="zh-CN"/>
        </w:rPr>
        <w:t>采购人</w:t>
      </w:r>
      <w:r>
        <w:rPr>
          <w:rFonts w:hint="eastAsia" w:ascii="仿宋" w:hAnsi="仿宋" w:eastAsia="仿宋" w:cs="仿宋"/>
          <w:strike w:val="0"/>
          <w:color w:val="auto"/>
          <w:sz w:val="24"/>
          <w:highlight w:val="none"/>
          <w:lang w:val="zh-CN" w:eastAsia="zh-CN"/>
        </w:rPr>
        <w:t>医</w:t>
      </w:r>
      <w:r>
        <w:rPr>
          <w:rFonts w:hint="eastAsia" w:ascii="仿宋" w:hAnsi="仿宋" w:eastAsia="仿宋" w:cs="仿宋"/>
          <w:color w:val="auto"/>
          <w:sz w:val="24"/>
          <w:highlight w:val="none"/>
          <w:lang w:val="zh-CN" w:eastAsia="zh-CN"/>
        </w:rPr>
        <w:t>院现有奇安信天擎杀毒软件服务，满足采购人现有Windows、Linux服务器、windowsPC终端</w:t>
      </w:r>
      <w:r>
        <w:rPr>
          <w:rFonts w:hint="eastAsia" w:ascii="仿宋" w:hAnsi="仿宋" w:eastAsia="仿宋" w:cs="仿宋"/>
          <w:b w:val="0"/>
          <w:bCs w:val="0"/>
          <w:color w:val="auto"/>
          <w:sz w:val="24"/>
          <w:highlight w:val="none"/>
          <w:lang w:val="zh-CN" w:eastAsia="zh-CN"/>
        </w:rPr>
        <w:t>提供</w:t>
      </w:r>
      <w:r>
        <w:rPr>
          <w:rFonts w:hint="eastAsia" w:ascii="仿宋" w:hAnsi="仿宋" w:eastAsia="仿宋" w:cs="仿宋"/>
          <w:color w:val="auto"/>
          <w:kern w:val="2"/>
          <w:sz w:val="24"/>
          <w:highlight w:val="none"/>
          <w:lang w:val="zh-CN"/>
        </w:rPr>
        <w:t>集中管理</w:t>
      </w:r>
      <w:r>
        <w:rPr>
          <w:rFonts w:hint="eastAsia" w:ascii="仿宋" w:hAnsi="仿宋" w:eastAsia="仿宋" w:cs="仿宋"/>
          <w:color w:val="auto"/>
          <w:kern w:val="2"/>
          <w:sz w:val="24"/>
          <w:highlight w:val="none"/>
          <w:lang w:val="zh-CN" w:eastAsia="zh-CN"/>
        </w:rPr>
        <w:t>、并对</w:t>
      </w:r>
      <w:r>
        <w:rPr>
          <w:rFonts w:hint="eastAsia" w:ascii="仿宋" w:hAnsi="仿宋" w:eastAsia="仿宋" w:cs="仿宋"/>
          <w:b w:val="0"/>
          <w:bCs w:val="0"/>
          <w:color w:val="auto"/>
          <w:sz w:val="24"/>
          <w:highlight w:val="none"/>
          <w:lang w:val="zh-CN" w:eastAsia="zh-CN"/>
        </w:rPr>
        <w:t>客户端主程序、病毒库</w:t>
      </w:r>
      <w:r>
        <w:rPr>
          <w:rFonts w:hint="eastAsia" w:ascii="仿宋" w:hAnsi="仿宋" w:eastAsia="仿宋" w:cs="仿宋"/>
          <w:color w:val="auto"/>
          <w:kern w:val="2"/>
          <w:sz w:val="24"/>
          <w:highlight w:val="none"/>
          <w:lang w:val="zh-CN"/>
        </w:rPr>
        <w:t>特征库、补丁规则库、终端管控功能更新服务。</w:t>
      </w:r>
      <w:r>
        <w:rPr>
          <w:rFonts w:hint="eastAsia" w:ascii="仿宋" w:hAnsi="仿宋" w:eastAsia="仿宋" w:cs="仿宋"/>
          <w:b w:val="0"/>
          <w:bCs w:val="0"/>
          <w:color w:val="auto"/>
          <w:sz w:val="24"/>
          <w:highlight w:val="none"/>
          <w:lang w:val="zh-CN" w:eastAsia="zh-CN"/>
        </w:rPr>
        <w:t>降低信息系统安全威胁，提升信息系统抗攻击能力，保障业务连续性和数据安全。</w:t>
      </w:r>
    </w:p>
    <w:p>
      <w:pPr>
        <w:numPr>
          <w:ilvl w:val="0"/>
          <w:numId w:val="3"/>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清单内容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84"/>
        <w:gridCol w:w="4604"/>
        <w:gridCol w:w="73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1684" w:type="dxa"/>
            <w:tcBorders>
              <w:top w:val="single" w:color="auto" w:sz="4" w:space="0"/>
              <w:left w:val="nil"/>
              <w:bottom w:val="single" w:color="auto" w:sz="4" w:space="0"/>
              <w:right w:val="single" w:color="auto" w:sz="4" w:space="0"/>
            </w:tcBorders>
            <w:noWrap w:val="0"/>
            <w:vAlign w:val="center"/>
          </w:tcPr>
          <w:p>
            <w:pPr>
              <w:pStyle w:val="17"/>
              <w:widowControl/>
              <w:spacing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模块名称</w:t>
            </w:r>
          </w:p>
        </w:tc>
        <w:tc>
          <w:tcPr>
            <w:tcW w:w="4604" w:type="dxa"/>
            <w:tcBorders>
              <w:top w:val="single" w:color="auto" w:sz="4" w:space="0"/>
              <w:left w:val="nil"/>
              <w:bottom w:val="single" w:color="auto" w:sz="4" w:space="0"/>
              <w:right w:val="single" w:color="auto" w:sz="4" w:space="0"/>
            </w:tcBorders>
            <w:noWrap w:val="0"/>
            <w:vAlign w:val="center"/>
          </w:tcPr>
          <w:p>
            <w:pPr>
              <w:pStyle w:val="17"/>
              <w:widowControl/>
              <w:spacing w:line="360" w:lineRule="auto"/>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详细描述</w:t>
            </w:r>
          </w:p>
        </w:tc>
        <w:tc>
          <w:tcPr>
            <w:tcW w:w="732" w:type="dxa"/>
            <w:tcBorders>
              <w:top w:val="single" w:color="auto" w:sz="4" w:space="0"/>
              <w:left w:val="nil"/>
              <w:bottom w:val="single" w:color="auto" w:sz="4" w:space="0"/>
              <w:right w:val="single" w:color="auto" w:sz="4" w:space="0"/>
            </w:tcBorders>
            <w:noWrap w:val="0"/>
            <w:vAlign w:val="center"/>
          </w:tcPr>
          <w:p>
            <w:pPr>
              <w:pStyle w:val="17"/>
              <w:widowControl/>
              <w:spacing w:line="36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单位</w:t>
            </w:r>
          </w:p>
        </w:tc>
        <w:tc>
          <w:tcPr>
            <w:tcW w:w="804" w:type="dxa"/>
            <w:tcBorders>
              <w:top w:val="single" w:color="auto" w:sz="4" w:space="0"/>
              <w:left w:val="nil"/>
              <w:bottom w:val="single" w:color="auto" w:sz="4" w:space="0"/>
              <w:right w:val="single" w:color="auto" w:sz="4" w:space="0"/>
            </w:tcBorders>
            <w:noWrap w:val="0"/>
            <w:vAlign w:val="center"/>
          </w:tcPr>
          <w:p>
            <w:pPr>
              <w:pStyle w:val="17"/>
              <w:widowControl/>
              <w:spacing w:line="360" w:lineRule="auto"/>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168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0"/>
                <w:highlight w:val="none"/>
              </w:rPr>
              <w:t>管理中心系统软件</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val="en-US" w:eastAsia="zh-CN"/>
              </w:rPr>
              <w:t>采购管理中心运维服务</w:t>
            </w:r>
            <w:r>
              <w:rPr>
                <w:rFonts w:hint="eastAsia" w:ascii="仿宋" w:hAnsi="仿宋" w:eastAsia="仿宋" w:cs="仿宋"/>
                <w:color w:val="auto"/>
                <w:kern w:val="0"/>
                <w:highlight w:val="none"/>
                <w:lang w:eastAsia="zh-CN"/>
              </w:rPr>
              <w:t>）</w:t>
            </w:r>
          </w:p>
        </w:tc>
        <w:tc>
          <w:tcPr>
            <w:tcW w:w="46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0"/>
                <w:highlight w:val="none"/>
              </w:rPr>
              <w:t>管理中心系统软件，支持主流WindowsServer及Linux操作系统，Windows版支持单机模式部署，Linux版支持单机或集群模式部署，中英双语界面。可实现对客户端的集中管理，包括终端统一部署、策略配置、任务分发、集中监控、日志报表等终端安全管理功能</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bidi="ar"/>
              </w:rPr>
              <w:t>远程技术支持服务</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套</w:t>
            </w: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168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0"/>
                <w:highlight w:val="none"/>
              </w:rPr>
              <w:t>电脑端（新增</w:t>
            </w:r>
            <w:r>
              <w:rPr>
                <w:rFonts w:hint="eastAsia" w:ascii="仿宋" w:hAnsi="仿宋" w:eastAsia="仿宋" w:cs="仿宋"/>
                <w:color w:val="auto"/>
                <w:kern w:val="0"/>
                <w:highlight w:val="none"/>
                <w:lang w:val="en-US" w:eastAsia="zh-CN"/>
              </w:rPr>
              <w:t>终端许可数量及服务</w:t>
            </w:r>
            <w:r>
              <w:rPr>
                <w:rFonts w:hint="eastAsia" w:ascii="仿宋" w:hAnsi="仿宋" w:eastAsia="仿宋" w:cs="仿宋"/>
                <w:color w:val="auto"/>
                <w:kern w:val="0"/>
                <w:highlight w:val="none"/>
              </w:rPr>
              <w:t>）</w:t>
            </w:r>
          </w:p>
        </w:tc>
        <w:tc>
          <w:tcPr>
            <w:tcW w:w="46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0"/>
                <w:highlight w:val="none"/>
              </w:rPr>
              <w:t>含病毒防护（不含第三方扩展引擎）、补丁管理、终端管控功能，两年更新服务。支持主流WindowsPC客户端操作系统</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bidi="ar"/>
              </w:rPr>
              <w:t>远程技术支持服务</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套</w:t>
            </w: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168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0"/>
                <w:highlight w:val="none"/>
              </w:rPr>
              <w:t>电脑端（</w:t>
            </w:r>
            <w:r>
              <w:rPr>
                <w:rFonts w:hint="eastAsia" w:ascii="仿宋" w:hAnsi="仿宋" w:eastAsia="仿宋" w:cs="仿宋"/>
                <w:color w:val="auto"/>
                <w:kern w:val="0"/>
                <w:highlight w:val="none"/>
                <w:lang w:val="en-US" w:eastAsia="zh-CN"/>
              </w:rPr>
              <w:t>采购终端许可运维服务</w:t>
            </w:r>
            <w:r>
              <w:rPr>
                <w:rFonts w:hint="eastAsia" w:ascii="仿宋" w:hAnsi="仿宋" w:eastAsia="仿宋" w:cs="仿宋"/>
                <w:color w:val="auto"/>
                <w:kern w:val="0"/>
                <w:highlight w:val="none"/>
              </w:rPr>
              <w:t>）</w:t>
            </w:r>
          </w:p>
        </w:tc>
        <w:tc>
          <w:tcPr>
            <w:tcW w:w="46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0"/>
                <w:highlight w:val="none"/>
              </w:rPr>
              <w:t>WindowsPC基础防护增强套件两年更新服务，含两年功能、病毒特征库、补丁规则库更新服务</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bidi="ar"/>
              </w:rPr>
              <w:t>远程技术支持服务</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套</w:t>
            </w: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36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c>
          <w:tcPr>
            <w:tcW w:w="168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0"/>
                <w:highlight w:val="none"/>
              </w:rPr>
              <w:t>WindowsServer服务器</w:t>
            </w:r>
          </w:p>
        </w:tc>
        <w:tc>
          <w:tcPr>
            <w:tcW w:w="46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0"/>
                <w:highlight w:val="none"/>
              </w:rPr>
              <w:t>WindowsServer防病毒两年更新服务，含两年功能及病毒特征库，补丁规则库更新服务</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bidi="ar"/>
              </w:rPr>
              <w:t>远程技术支持服务</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0"/>
                <w:highlight w:val="none"/>
              </w:rPr>
              <w:t>套</w:t>
            </w: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36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w:t>
            </w:r>
          </w:p>
        </w:tc>
        <w:tc>
          <w:tcPr>
            <w:tcW w:w="168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0"/>
                <w:highlight w:val="none"/>
              </w:rPr>
              <w:t>Linux服务器</w:t>
            </w:r>
          </w:p>
        </w:tc>
        <w:tc>
          <w:tcPr>
            <w:tcW w:w="46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0"/>
                <w:highlight w:val="none"/>
              </w:rPr>
              <w:t>Linux服务器防病毒功能</w:t>
            </w:r>
            <w:r>
              <w:rPr>
                <w:rFonts w:hint="eastAsia" w:ascii="仿宋" w:hAnsi="仿宋" w:eastAsia="仿宋" w:cs="仿宋"/>
                <w:color w:val="auto"/>
                <w:kern w:val="0"/>
                <w:highlight w:val="none"/>
              </w:rPr>
              <w:t>两年更</w:t>
            </w:r>
            <w:r>
              <w:rPr>
                <w:rFonts w:hint="eastAsia" w:ascii="仿宋" w:hAnsi="仿宋" w:eastAsia="仿宋" w:cs="仿宋"/>
                <w:color w:val="auto"/>
                <w:kern w:val="0"/>
                <w:highlight w:val="none"/>
              </w:rPr>
              <w:t>新服务</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bidi="ar"/>
              </w:rPr>
              <w:t>远程技术支持服务</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0"/>
                <w:highlight w:val="none"/>
              </w:rPr>
              <w:t>套</w:t>
            </w: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62" w:beforeLines="20" w:beforeAutospacing="0" w:after="62" w:afterLines="20" w:afterAutospacing="0"/>
              <w:ind w:left="0" w:righ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0"/>
                <w:highlight w:val="none"/>
              </w:rPr>
              <w:t>10</w:t>
            </w:r>
          </w:p>
        </w:tc>
      </w:tr>
    </w:tbl>
    <w:p>
      <w:pPr>
        <w:numPr>
          <w:ilvl w:val="0"/>
          <w:numId w:val="4"/>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服务</w:t>
      </w:r>
      <w:r>
        <w:rPr>
          <w:rFonts w:hint="eastAsia" w:ascii="仿宋" w:hAnsi="仿宋" w:eastAsia="仿宋" w:cs="仿宋"/>
          <w:b/>
          <w:bCs/>
          <w:color w:val="auto"/>
          <w:sz w:val="24"/>
          <w:highlight w:val="none"/>
          <w:lang w:val="en-US" w:eastAsia="zh-CN"/>
        </w:rPr>
        <w:t>要求</w:t>
      </w:r>
    </w:p>
    <w:p>
      <w:pPr>
        <w:numPr>
          <w:ilvl w:val="0"/>
          <w:numId w:val="0"/>
        </w:numPr>
        <w:autoSpaceDE w:val="0"/>
        <w:autoSpaceDN w:val="0"/>
        <w:spacing w:line="360" w:lineRule="auto"/>
        <w:ind w:left="420" w:leftChars="200" w:firstLine="0" w:firstLineChars="0"/>
        <w:rPr>
          <w:rFonts w:hint="eastAsia" w:ascii="仿宋" w:hAnsi="仿宋" w:eastAsia="仿宋" w:cs="仿宋"/>
          <w:color w:val="auto"/>
          <w:sz w:val="24"/>
          <w:highlight w:val="none"/>
        </w:rPr>
      </w:pPr>
      <w:bookmarkStart w:id="3" w:name="OLE_LINK9"/>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rPr>
        <w:t>兼容性要求</w:t>
      </w:r>
    </w:p>
    <w:p>
      <w:pPr>
        <w:numPr>
          <w:ilvl w:val="0"/>
          <w:numId w:val="0"/>
        </w:numPr>
        <w:autoSpaceDE w:val="0"/>
        <w:autoSpaceDN w:val="0"/>
        <w:spacing w:line="360" w:lineRule="auto"/>
        <w:ind w:left="0" w:leftChars="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响应供应商提供的服务必须完全兼容采购人现有奇安信天擎杀毒软件</w:t>
      </w:r>
      <w:r>
        <w:rPr>
          <w:rFonts w:hint="eastAsia" w:ascii="仿宋" w:hAnsi="仿宋" w:eastAsia="仿宋" w:cs="仿宋"/>
          <w:b/>
          <w:bCs/>
          <w:color w:val="auto"/>
          <w:sz w:val="24"/>
          <w:highlight w:val="none"/>
        </w:rPr>
        <w:t>（需提供加盖响应供应商公章的兼容性承诺函）。</w:t>
      </w:r>
    </w:p>
    <w:p>
      <w:pPr>
        <w:numPr>
          <w:ilvl w:val="0"/>
          <w:numId w:val="0"/>
        </w:numPr>
        <w:autoSpaceDE w:val="0"/>
        <w:autoSpaceDN w:val="0"/>
        <w:spacing w:line="360" w:lineRule="auto"/>
        <w:ind w:left="420" w:leftChars="20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系统支持要求</w:t>
      </w:r>
    </w:p>
    <w:p>
      <w:pPr>
        <w:numPr>
          <w:ilvl w:val="0"/>
          <w:numId w:val="0"/>
        </w:numPr>
        <w:autoSpaceDE w:val="0"/>
        <w:autoSpaceDN w:val="0"/>
        <w:spacing w:line="360" w:lineRule="auto"/>
        <w:ind w:left="0" w:leftChars="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响应供应商提供的服务须支持桌面端Windows XP_SP3及以上/Vista/7/8/10、服务器端Windows Server 2003_SP2/2008/2012/2016/2019、Linux系统SUSE/Red Hat/CentOS/Ubuntu</w:t>
      </w:r>
      <w:r>
        <w:rPr>
          <w:rFonts w:hint="eastAsia" w:ascii="仿宋" w:hAnsi="仿宋" w:eastAsia="仿宋" w:cs="仿宋"/>
          <w:b/>
          <w:bCs/>
          <w:color w:val="auto"/>
          <w:sz w:val="24"/>
          <w:highlight w:val="none"/>
        </w:rPr>
        <w:t>（需提供加盖响应供应商公章的承诺函）。</w:t>
      </w:r>
    </w:p>
    <w:p>
      <w:pPr>
        <w:numPr>
          <w:ilvl w:val="0"/>
          <w:numId w:val="0"/>
        </w:numPr>
        <w:autoSpaceDE w:val="0"/>
        <w:autoSpaceDN w:val="0"/>
        <w:spacing w:line="360" w:lineRule="auto"/>
        <w:ind w:left="420" w:leftChars="20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安全补丁管理要求</w:t>
      </w:r>
    </w:p>
    <w:p>
      <w:pPr>
        <w:numPr>
          <w:ilvl w:val="0"/>
          <w:numId w:val="0"/>
        </w:numPr>
        <w:autoSpaceDE w:val="0"/>
        <w:autoSpaceDN w:val="0"/>
        <w:spacing w:line="360" w:lineRule="auto"/>
        <w:ind w:left="0" w:leftChars="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响应供应商需证明包含Windows系统及IE、.NET Framework、Office、Adobe系列软件的安全补丁更新服务。</w:t>
      </w:r>
      <w:r>
        <w:rPr>
          <w:rFonts w:hint="eastAsia" w:ascii="仿宋" w:hAnsi="仿宋" w:eastAsia="仿宋" w:cs="仿宋"/>
          <w:b/>
          <w:bCs/>
          <w:color w:val="auto"/>
          <w:sz w:val="24"/>
          <w:highlight w:val="none"/>
        </w:rPr>
        <w:t>（需提供加盖响应供应商公章的承诺函及</w:t>
      </w:r>
      <w:r>
        <w:rPr>
          <w:rFonts w:hint="eastAsia" w:ascii="仿宋" w:hAnsi="仿宋" w:eastAsia="仿宋" w:cs="仿宋"/>
          <w:b/>
          <w:bCs/>
          <w:color w:val="auto"/>
          <w:sz w:val="24"/>
          <w:highlight w:val="none"/>
          <w:lang w:val="en-US" w:eastAsia="zh-CN"/>
        </w:rPr>
        <w:t>彩页截图</w:t>
      </w:r>
      <w:r>
        <w:rPr>
          <w:rFonts w:hint="eastAsia" w:ascii="仿宋" w:hAnsi="仿宋" w:eastAsia="仿宋" w:cs="仿宋"/>
          <w:b/>
          <w:bCs/>
          <w:color w:val="auto"/>
          <w:sz w:val="24"/>
          <w:highlight w:val="none"/>
        </w:rPr>
        <w:t>）。</w:t>
      </w:r>
    </w:p>
    <w:p>
      <w:pPr>
        <w:numPr>
          <w:ilvl w:val="0"/>
          <w:numId w:val="0"/>
        </w:numPr>
        <w:autoSpaceDE w:val="0"/>
        <w:autoSpaceDN w:val="0"/>
        <w:spacing w:line="360" w:lineRule="auto"/>
        <w:ind w:left="0" w:leftChars="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响应供应商需提供供应链安全管理符合国际标准，能有效保障供应链运作的可靠性和安全性，在目前供应链安全要求的大趋势下，能有助于增强安全保障。</w:t>
      </w:r>
      <w:r>
        <w:rPr>
          <w:rFonts w:hint="eastAsia" w:ascii="仿宋" w:hAnsi="仿宋" w:eastAsia="仿宋" w:cs="仿宋"/>
          <w:b/>
          <w:bCs/>
          <w:color w:val="auto"/>
          <w:sz w:val="24"/>
          <w:highlight w:val="none"/>
        </w:rPr>
        <w:t>（需提供加盖响应供应商公章的承诺函）。</w:t>
      </w:r>
    </w:p>
    <w:p>
      <w:pPr>
        <w:numPr>
          <w:ilvl w:val="0"/>
          <w:numId w:val="0"/>
        </w:numPr>
        <w:autoSpaceDE w:val="0"/>
        <w:autoSpaceDN w:val="0"/>
        <w:spacing w:line="360" w:lineRule="auto"/>
        <w:ind w:left="420" w:leftChars="20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天擎杀毒软件专项服务（均需2年服务期）</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响应供应商需证明包含Windows系统及IE、.NET Framework、Office、Adobe系列软件的安全补丁更新服务。</w:t>
      </w:r>
      <w:r>
        <w:rPr>
          <w:rFonts w:hint="eastAsia" w:ascii="仿宋" w:hAnsi="仿宋" w:eastAsia="仿宋" w:cs="仿宋"/>
          <w:b/>
          <w:bCs/>
          <w:color w:val="auto"/>
          <w:sz w:val="24"/>
          <w:highlight w:val="none"/>
        </w:rPr>
        <w:t>（需提供加盖响应供应商公章的承诺函及功能截图，截图应证明包含Windows系统及IE、.NET Framework、Office、Adobe系列软件的安全补丁更新服务）</w:t>
      </w:r>
      <w:r>
        <w:rPr>
          <w:rFonts w:hint="eastAsia" w:ascii="仿宋" w:hAnsi="仿宋" w:eastAsia="仿宋" w:cs="仿宋"/>
          <w:color w:val="auto"/>
          <w:sz w:val="24"/>
          <w:highlight w:val="none"/>
        </w:rPr>
        <w:t>。</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响应供应商提供的服务需包括管理中心系统软件升级服务、产品质保服务、远程技术服务</w:t>
      </w:r>
      <w:r>
        <w:rPr>
          <w:rFonts w:hint="eastAsia" w:ascii="仿宋" w:hAnsi="仿宋" w:eastAsia="仿宋" w:cs="仿宋"/>
          <w:b/>
          <w:bCs/>
          <w:color w:val="auto"/>
          <w:sz w:val="24"/>
          <w:highlight w:val="none"/>
        </w:rPr>
        <w:t>（需提供加盖响应供应商公章的承诺函）。</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rPr>
        <w:t>原厂服务要求</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响应供应商必须提供所投服务产品原厂运维服务（</w:t>
      </w:r>
      <w:r>
        <w:rPr>
          <w:rFonts w:hint="eastAsia" w:ascii="仿宋" w:hAnsi="仿宋" w:eastAsia="仿宋" w:cs="仿宋"/>
          <w:b/>
          <w:bCs/>
          <w:color w:val="auto"/>
          <w:sz w:val="24"/>
          <w:highlight w:val="none"/>
        </w:rPr>
        <w:t>需提供加盖响应供应商公章的承诺函及所投服务产品原厂服务承诺函。承诺函应包含质保期服务、服务方式、服务时限、服务内容、原厂技术支持联系方式等）</w:t>
      </w:r>
      <w:r>
        <w:rPr>
          <w:rFonts w:hint="eastAsia" w:ascii="仿宋" w:hAnsi="仿宋" w:eastAsia="仿宋" w:cs="仿宋"/>
          <w:color w:val="auto"/>
          <w:sz w:val="24"/>
          <w:highlight w:val="none"/>
          <w:lang w:eastAsia="zh-CN"/>
        </w:rPr>
        <w:t>。</w:t>
      </w:r>
    </w:p>
    <w:bookmarkEnd w:id="3"/>
    <w:p>
      <w:pPr>
        <w:numPr>
          <w:ilvl w:val="0"/>
          <w:numId w:val="0"/>
        </w:numPr>
        <w:autoSpaceDE w:val="0"/>
        <w:autoSpaceDN w:val="0"/>
        <w:spacing w:line="360" w:lineRule="auto"/>
        <w:ind w:left="420" w:leftChars="200" w:firstLine="0" w:firstLineChars="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（六）技术要求</w:t>
      </w:r>
    </w:p>
    <w:p>
      <w:pPr>
        <w:numPr>
          <w:ilvl w:val="0"/>
          <w:numId w:val="5"/>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团队要求：</w:t>
      </w:r>
    </w:p>
    <w:tbl>
      <w:tblPr>
        <w:tblStyle w:val="1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40"/>
        <w:gridCol w:w="810"/>
        <w:gridCol w:w="2900"/>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spacing w:line="36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序号</w:t>
            </w:r>
          </w:p>
        </w:tc>
        <w:tc>
          <w:tcPr>
            <w:tcW w:w="840" w:type="dxa"/>
            <w:noWrap w:val="0"/>
            <w:vAlign w:val="center"/>
          </w:tcPr>
          <w:p>
            <w:pPr>
              <w:spacing w:line="360" w:lineRule="auto"/>
              <w:jc w:val="center"/>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人员名称</w:t>
            </w:r>
          </w:p>
        </w:tc>
        <w:tc>
          <w:tcPr>
            <w:tcW w:w="810" w:type="dxa"/>
            <w:noWrap w:val="0"/>
            <w:vAlign w:val="center"/>
          </w:tcPr>
          <w:p>
            <w:pPr>
              <w:spacing w:line="36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人员数量</w:t>
            </w:r>
          </w:p>
        </w:tc>
        <w:tc>
          <w:tcPr>
            <w:tcW w:w="2900" w:type="dxa"/>
            <w:noWrap w:val="0"/>
            <w:vAlign w:val="center"/>
          </w:tcPr>
          <w:p>
            <w:pPr>
              <w:spacing w:line="36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资质要求</w:t>
            </w:r>
          </w:p>
        </w:tc>
        <w:tc>
          <w:tcPr>
            <w:tcW w:w="3244" w:type="dxa"/>
            <w:noWrap w:val="0"/>
            <w:vAlign w:val="center"/>
          </w:tcPr>
          <w:p>
            <w:pPr>
              <w:spacing w:line="36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840" w:type="dxa"/>
            <w:noWrap w:val="0"/>
            <w:vAlign w:val="center"/>
          </w:tcPr>
          <w:p>
            <w:pPr>
              <w:spacing w:line="360" w:lineRule="auto"/>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负责人</w:t>
            </w:r>
          </w:p>
        </w:tc>
        <w:tc>
          <w:tcPr>
            <w:tcW w:w="810" w:type="dxa"/>
            <w:noWrap w:val="0"/>
            <w:vAlign w:val="center"/>
          </w:tcPr>
          <w:p>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2900" w:type="dxa"/>
            <w:noWrap w:val="0"/>
            <w:vAlign w:val="center"/>
          </w:tcPr>
          <w:p>
            <w:pPr>
              <w:spacing w:line="360" w:lineRule="auto"/>
              <w:jc w:val="center"/>
              <w:rPr>
                <w:rFonts w:hint="eastAsia" w:ascii="仿宋" w:hAnsi="仿宋" w:eastAsia="仿宋" w:cs="仿宋"/>
                <w:color w:val="auto"/>
                <w:kern w:val="0"/>
                <w:sz w:val="24"/>
                <w:highlight w:val="none"/>
                <w:vertAlign w:val="baseline"/>
                <w:lang w:val="en-GB"/>
              </w:rPr>
            </w:pPr>
            <w:r>
              <w:rPr>
                <w:rFonts w:hint="eastAsia" w:ascii="仿宋" w:hAnsi="仿宋" w:eastAsia="仿宋" w:cs="仿宋"/>
                <w:color w:val="auto"/>
                <w:kern w:val="0"/>
                <w:sz w:val="24"/>
                <w:szCs w:val="24"/>
                <w:highlight w:val="none"/>
                <w:lang w:val="en-GB" w:eastAsia="zh-CN" w:bidi="ar-SA"/>
              </w:rPr>
              <w:t>具有国家工业和信息化部（原国家信息产业部）和人力资源和社会保障部颁发的信息系统项目管理师（高级）证书</w:t>
            </w:r>
          </w:p>
        </w:tc>
        <w:tc>
          <w:tcPr>
            <w:tcW w:w="3244" w:type="dxa"/>
            <w:noWrap w:val="0"/>
            <w:vAlign w:val="center"/>
          </w:tcPr>
          <w:p>
            <w:pPr>
              <w:spacing w:line="360" w:lineRule="auto"/>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lang w:val="en-US" w:eastAsia="zh-CN"/>
              </w:rPr>
              <w:t>具有较强的组织协调和沟通能力，可为该项目提供整体的方案设计、实施方案审定、项目实施过程监督、流程监管，具备相关的安全培训和应急事件的现场指导能力等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2</w:t>
            </w:r>
          </w:p>
        </w:tc>
        <w:tc>
          <w:tcPr>
            <w:tcW w:w="8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810" w:type="dxa"/>
            <w:noWrap w:val="0"/>
            <w:vAlign w:val="center"/>
          </w:tcPr>
          <w:p>
            <w:pPr>
              <w:spacing w:line="360" w:lineRule="auto"/>
              <w:jc w:val="center"/>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2900" w:type="dxa"/>
            <w:noWrap w:val="0"/>
            <w:vAlign w:val="top"/>
          </w:tcPr>
          <w:p>
            <w:pPr>
              <w:widowControl/>
              <w:numPr>
                <w:ilvl w:val="0"/>
                <w:numId w:val="0"/>
              </w:numPr>
              <w:spacing w:line="360" w:lineRule="auto"/>
              <w:jc w:val="center"/>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eastAsia="zh-CN" w:bidi="ar-SA"/>
              </w:rPr>
              <w:t>具备国家工业和信息化部（原国家信息产业部）和人力资源和社会保障部颁发的中级或以上系统集成项目管理工程师证书</w:t>
            </w:r>
          </w:p>
        </w:tc>
        <w:tc>
          <w:tcPr>
            <w:tcW w:w="3244" w:type="dxa"/>
            <w:noWrap w:val="0"/>
            <w:vAlign w:val="center"/>
          </w:tcPr>
          <w:p>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能够在技术层面与项目经理形成互补，在项目中提供专业技术指导，解决项目实施中的技术问题。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w:t>
            </w:r>
          </w:p>
        </w:tc>
        <w:tc>
          <w:tcPr>
            <w:tcW w:w="840" w:type="dxa"/>
            <w:noWrap w:val="0"/>
            <w:vAlign w:val="center"/>
          </w:tcPr>
          <w:p>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highlight w:val="none"/>
              </w:rPr>
              <w:t>人员</w:t>
            </w:r>
          </w:p>
        </w:tc>
        <w:tc>
          <w:tcPr>
            <w:tcW w:w="810" w:type="dxa"/>
            <w:noWrap w:val="0"/>
            <w:vAlign w:val="center"/>
          </w:tcPr>
          <w:p>
            <w:pPr>
              <w:spacing w:line="360" w:lineRule="auto"/>
              <w:jc w:val="center"/>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w:t>
            </w:r>
          </w:p>
        </w:tc>
        <w:tc>
          <w:tcPr>
            <w:tcW w:w="2900" w:type="dxa"/>
            <w:noWrap w:val="0"/>
            <w:vAlign w:val="top"/>
          </w:tcPr>
          <w:p>
            <w:pPr>
              <w:widowControl/>
              <w:numPr>
                <w:ilvl w:val="0"/>
                <w:numId w:val="0"/>
              </w:numPr>
              <w:spacing w:line="360" w:lineRule="auto"/>
              <w:jc w:val="center"/>
              <w:rPr>
                <w:rFonts w:hint="eastAsia" w:ascii="仿宋" w:hAnsi="仿宋" w:eastAsia="仿宋" w:cs="仿宋"/>
                <w:color w:val="auto"/>
                <w:kern w:val="0"/>
                <w:sz w:val="24"/>
                <w:highlight w:val="none"/>
                <w:vertAlign w:val="baseline"/>
                <w:lang w:val="en-GB" w:eastAsia="zh-CN"/>
              </w:rPr>
            </w:pPr>
            <w:r>
              <w:rPr>
                <w:rFonts w:hint="eastAsia" w:ascii="仿宋" w:hAnsi="仿宋" w:eastAsia="仿宋" w:cs="仿宋"/>
                <w:color w:val="auto"/>
                <w:kern w:val="0"/>
                <w:sz w:val="24"/>
                <w:szCs w:val="24"/>
                <w:highlight w:val="none"/>
                <w:lang w:val="en-GB" w:eastAsia="zh-CN" w:bidi="ar-SA"/>
              </w:rPr>
              <w:t>具备国家工业和信息化部（原国家信息产业部）和人力资源和社会保障部颁发的中级或以上网络工程师证书</w:t>
            </w:r>
          </w:p>
        </w:tc>
        <w:tc>
          <w:tcPr>
            <w:tcW w:w="3244" w:type="dxa"/>
            <w:noWrap w:val="0"/>
            <w:vAlign w:val="center"/>
          </w:tcPr>
          <w:p>
            <w:pPr>
              <w:spacing w:line="360" w:lineRule="auto"/>
              <w:jc w:val="center"/>
              <w:rPr>
                <w:rFonts w:hint="default" w:ascii="仿宋" w:hAnsi="仿宋" w:eastAsia="仿宋" w:cs="仿宋"/>
                <w:color w:val="auto"/>
                <w:sz w:val="24"/>
                <w:highlight w:val="none"/>
                <w:vertAlign w:val="baseline"/>
                <w:lang w:val="en-US" w:eastAsia="zh-CN"/>
              </w:rPr>
            </w:pPr>
            <w:r>
              <w:rPr>
                <w:rFonts w:hint="default" w:ascii="仿宋" w:hAnsi="仿宋" w:eastAsia="仿宋" w:cs="仿宋"/>
                <w:color w:val="auto"/>
                <w:sz w:val="24"/>
                <w:highlight w:val="none"/>
                <w:vertAlign w:val="baseline"/>
                <w:lang w:val="en-US" w:eastAsia="zh-CN"/>
              </w:rPr>
              <w:t>项目实施</w:t>
            </w:r>
          </w:p>
        </w:tc>
      </w:tr>
    </w:tbl>
    <w:p>
      <w:pPr>
        <w:numPr>
          <w:ilvl w:val="0"/>
          <w:numId w:val="0"/>
        </w:numPr>
        <w:autoSpaceDE w:val="0"/>
        <w:autoSpaceDN w:val="0"/>
        <w:spacing w:line="360" w:lineRule="auto"/>
        <w:ind w:firstLine="0" w:firstLineChars="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val="zh-CN" w:eastAsia="zh-CN"/>
        </w:rPr>
        <w:t>过程文档：服务期间，交付团队需建立相关过程台账，以便核验交付成果。</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val="zh-CN" w:eastAsia="zh-CN"/>
        </w:rPr>
        <w:t>深化调研：项目实施前，需对采购人院内终端及安全情况进行深化调研，在实施阶段根据调研情况对终端安全管理系统配置合适的安全策略用于防护终端安全及采购人院内安全。</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val="zh-CN" w:eastAsia="zh-CN"/>
        </w:rPr>
        <w:t>实施经验：交付团队需有同类型项目的实施经验，能够应对实施过程中出现的不可预料问题。</w:t>
      </w:r>
    </w:p>
    <w:p>
      <w:pPr>
        <w:numPr>
          <w:ilvl w:val="0"/>
          <w:numId w:val="0"/>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六、商务要求</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（一）报价要求：</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1.报价方式为供应商以总价报价的方式进行报价，为整体项目包干价。</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2.报价中必须包括服务过程产生的但不限于人工、工具使用、各项税费及合同实施过程中的应预见和不可预见费用等完成合同规定责任和义务、达到合同目的的一切费用及企业利润。</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供应商必须自行考虑本项目在实施期间的一切可能产生的费用。在合同执行过程中，采购人将不再另行支付与本项目相关的任何费用（非本项目要求的其他内容除外）。</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（二）服务期限及服务地点：</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1.服务期限</w:t>
      </w:r>
      <w:r>
        <w:rPr>
          <w:rFonts w:hint="eastAsia" w:ascii="仿宋" w:hAnsi="仿宋" w:eastAsia="仿宋" w:cs="仿宋"/>
          <w:color w:val="auto"/>
          <w:sz w:val="24"/>
          <w:highlight w:val="none"/>
          <w:lang w:val="zh-CN" w:eastAsia="zh-CN"/>
        </w:rPr>
        <w:t>：合同签订之日起30</w:t>
      </w:r>
      <w:r>
        <w:rPr>
          <w:rFonts w:hint="eastAsia" w:ascii="仿宋" w:hAnsi="仿宋" w:eastAsia="仿宋" w:cs="仿宋"/>
          <w:color w:val="auto"/>
          <w:sz w:val="24"/>
          <w:highlight w:val="none"/>
          <w:lang w:val="en-US" w:eastAsia="zh-CN"/>
        </w:rPr>
        <w:t>个工作日</w:t>
      </w:r>
      <w:r>
        <w:rPr>
          <w:rFonts w:hint="eastAsia" w:ascii="仿宋" w:hAnsi="仿宋" w:eastAsia="仿宋" w:cs="仿宋"/>
          <w:color w:val="auto"/>
          <w:sz w:val="24"/>
          <w:highlight w:val="none"/>
          <w:lang w:val="zh-CN" w:eastAsia="zh-CN"/>
        </w:rPr>
        <w:t>内完成各项配置，验收确认后服务期两年。</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2.服务地点：惠州市第一妇幼保健院指定地点。</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（三）付款方式：</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1.按季度付款，每服务3个月支付合同金额的12.5%，按考核结果支付当期金额。</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2.支付方式采用银行转账方式。</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3.成交供应商必须向采购人出具合法有效完整的完税发票及凭证进行支付结算。</w:t>
      </w:r>
    </w:p>
    <w:p>
      <w:pPr>
        <w:numPr>
          <w:ilvl w:val="0"/>
          <w:numId w:val="0"/>
        </w:numPr>
        <w:autoSpaceDE w:val="0"/>
        <w:autoSpaceDN w:val="0"/>
        <w:spacing w:line="360" w:lineRule="auto"/>
        <w:ind w:firstLine="480" w:firstLineChars="200"/>
        <w:rPr>
          <w:rFonts w:hint="default" w:ascii="仿宋" w:hAnsi="仿宋" w:eastAsia="仿宋" w:cs="仿宋"/>
          <w:b/>
          <w:bCs/>
          <w:color w:val="auto"/>
          <w:sz w:val="24"/>
          <w:highlight w:val="none"/>
          <w:lang w:val="en-US" w:eastAsia="zh-CN"/>
        </w:rPr>
      </w:pPr>
      <w:r>
        <w:rPr>
          <w:rFonts w:hint="default"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四）验收</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验收标准：验收的主要依据包括本项目的采购文件、响应文件、合同等，</w:t>
      </w:r>
      <w:r>
        <w:rPr>
          <w:rFonts w:hint="eastAsia" w:ascii="仿宋" w:hAnsi="仿宋" w:eastAsia="仿宋" w:cs="仿宋"/>
          <w:color w:val="auto"/>
          <w:sz w:val="24"/>
          <w:highlight w:val="none"/>
          <w:lang w:val="en-US" w:eastAsia="zh-CN"/>
        </w:rPr>
        <w:t>包括：系统实施完成情况截图、实施方案、培训方案、培训记录、应急方案、今后服务方案等</w:t>
      </w:r>
      <w:r>
        <w:rPr>
          <w:rFonts w:hint="eastAsia" w:ascii="仿宋" w:hAnsi="仿宋" w:eastAsia="仿宋" w:cs="仿宋"/>
          <w:color w:val="auto"/>
          <w:sz w:val="24"/>
          <w:highlight w:val="none"/>
          <w:lang w:val="zh-CN" w:eastAsia="zh-CN"/>
        </w:rPr>
        <w:t>。</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总体验收：供应商须为验收提供必需的一切条件及相关费用，服务期届满后，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在采购人的监督下，服务过程中的各项工作和文档，须达到采购文件中技术要求的标准。</w:t>
      </w:r>
    </w:p>
    <w:p>
      <w:pPr>
        <w:numPr>
          <w:ilvl w:val="0"/>
          <w:numId w:val="0"/>
        </w:numPr>
        <w:autoSpaceDE w:val="0"/>
        <w:autoSpaceDN w:val="0"/>
        <w:spacing w:line="360" w:lineRule="auto"/>
        <w:ind w:firstLine="480" w:firstLineChars="200"/>
        <w:rPr>
          <w:rFonts w:hint="default"/>
          <w:color w:val="auto"/>
          <w:highlight w:val="none"/>
          <w:lang w:val="en-US"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售后服务</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1.服务的内容：供应商为采购人提供一般技术支持、系统正常运行的维护、系统更新。</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2.服务的方式：供应商为采购人提供的服务方式包括远程服务、电话服务和上门服务三种服务方式，7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zh-CN" w:eastAsia="zh-CN"/>
        </w:rPr>
        <w:t>24小时、</w:t>
      </w:r>
      <w:r>
        <w:rPr>
          <w:rFonts w:hint="eastAsia" w:ascii="仿宋" w:hAnsi="仿宋" w:eastAsia="仿宋" w:cs="仿宋"/>
          <w:color w:val="auto"/>
          <w:sz w:val="24"/>
          <w:highlight w:val="none"/>
          <w:lang w:val="en-US" w:eastAsia="zh-CN"/>
        </w:rPr>
        <w:t>半个小时内响应</w:t>
      </w:r>
      <w:r>
        <w:rPr>
          <w:rFonts w:hint="eastAsia" w:ascii="仿宋" w:hAnsi="仿宋" w:eastAsia="仿宋" w:cs="仿宋"/>
          <w:color w:val="auto"/>
          <w:sz w:val="24"/>
          <w:highlight w:val="none"/>
          <w:lang w:val="zh-CN" w:eastAsia="zh-CN"/>
        </w:rPr>
        <w:t>，远程和电话均不能解决时，</w:t>
      </w:r>
      <w:r>
        <w:rPr>
          <w:rFonts w:hint="eastAsia" w:ascii="仿宋" w:hAnsi="仿宋" w:eastAsia="仿宋" w:cs="仿宋"/>
          <w:color w:val="auto"/>
          <w:sz w:val="24"/>
          <w:highlight w:val="none"/>
          <w:lang w:val="en-US" w:eastAsia="zh-CN"/>
        </w:rPr>
        <w:t>4个小时内到达现场，6小时内提供解决方案及相应的补救措施，24个小时内解除一般性故障。</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3.服务质量要求：在维护期间，将为</w:t>
      </w:r>
      <w:r>
        <w:rPr>
          <w:rFonts w:hint="eastAsia" w:ascii="仿宋" w:hAnsi="仿宋" w:eastAsia="仿宋" w:cs="仿宋"/>
          <w:color w:val="auto"/>
          <w:sz w:val="24"/>
          <w:highlight w:val="none"/>
          <w:lang w:val="zh-CN" w:eastAsia="zh-CN"/>
        </w:rPr>
        <w:t>采购人</w:t>
      </w:r>
      <w:r>
        <w:rPr>
          <w:rFonts w:hint="eastAsia" w:ascii="仿宋" w:hAnsi="仿宋" w:eastAsia="仿宋" w:cs="仿宋"/>
          <w:color w:val="auto"/>
          <w:sz w:val="24"/>
          <w:highlight w:val="none"/>
          <w:lang w:val="en-US" w:eastAsia="zh-CN"/>
        </w:rPr>
        <w:t>设立技术档案，用于记录系统维护、升级、应用等状况。</w:t>
      </w:r>
    </w:p>
    <w:p>
      <w:pPr>
        <w:numPr>
          <w:ilvl w:val="0"/>
          <w:numId w:val="0"/>
        </w:numPr>
        <w:autoSpaceDE w:val="0"/>
        <w:autoSpaceDN w:val="0"/>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en-US" w:eastAsia="zh-CN"/>
        </w:rPr>
        <w:t>六</w:t>
      </w:r>
      <w:r>
        <w:rPr>
          <w:rFonts w:hint="eastAsia" w:ascii="仿宋" w:hAnsi="仿宋" w:eastAsia="仿宋" w:cs="仿宋"/>
          <w:b w:val="0"/>
          <w:bCs w:val="0"/>
          <w:color w:val="auto"/>
          <w:sz w:val="24"/>
          <w:highlight w:val="none"/>
          <w:lang w:val="zh-CN" w:eastAsia="zh-CN"/>
        </w:rPr>
        <w:t>）</w:t>
      </w:r>
      <w:r>
        <w:rPr>
          <w:rFonts w:hint="default" w:ascii="仿宋" w:hAnsi="仿宋" w:eastAsia="仿宋" w:cs="仿宋"/>
          <w:b w:val="0"/>
          <w:bCs w:val="0"/>
          <w:color w:val="auto"/>
          <w:sz w:val="24"/>
          <w:highlight w:val="none"/>
          <w:lang w:val="en-US" w:eastAsia="zh-CN"/>
        </w:rPr>
        <w:t>其它要求</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1.要求供应商提供科学性、合理性、实施可行性、可靠性等的项目方案，包括但不限于培训方案、项目实施保障、预期成果；</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2.要求供应商提供制定的项目进度计划方案包含时间进度安排及保障措施；</w:t>
      </w:r>
    </w:p>
    <w:p>
      <w:pPr>
        <w:numPr>
          <w:ilvl w:val="0"/>
          <w:numId w:val="0"/>
        </w:numPr>
        <w:autoSpaceDE w:val="0"/>
        <w:autoSpaceDN w:val="0"/>
        <w:spacing w:line="360" w:lineRule="auto"/>
        <w:ind w:firstLine="48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t>3.供应商需提供近三年的同类型项目业绩。</w:t>
      </w:r>
    </w:p>
    <w:p>
      <w:pPr>
        <w:numPr>
          <w:ilvl w:val="0"/>
          <w:numId w:val="0"/>
        </w:numPr>
        <w:autoSpaceDE w:val="0"/>
        <w:autoSpaceDN w:val="0"/>
        <w:spacing w:line="360" w:lineRule="auto"/>
        <w:ind w:firstLine="48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4"/>
          <w:szCs w:val="24"/>
          <w:highlight w:val="none"/>
          <w:lang w:val="en-US" w:eastAsia="zh-CN"/>
        </w:rPr>
        <w:t>（七）考核内容</w:t>
      </w:r>
    </w:p>
    <w:tbl>
      <w:tblPr>
        <w:tblStyle w:val="1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340"/>
        <w:gridCol w:w="3093"/>
        <w:gridCol w:w="1787"/>
        <w:gridCol w:w="1347"/>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419"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zh-CN" w:bidi="zh-CN"/>
              </w:rPr>
              <w:t>序号</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zh-CN" w:bidi="zh-CN"/>
              </w:rPr>
              <w:t>指标（分值）</w:t>
            </w:r>
          </w:p>
        </w:tc>
        <w:tc>
          <w:tcPr>
            <w:tcW w:w="3093"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zh-CN" w:bidi="zh-CN"/>
              </w:rPr>
              <w:t>具体考评内容</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zh-CN" w:bidi="zh-CN"/>
              </w:rPr>
              <w:t>扣分规则</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zh-CN" w:bidi="zh-CN"/>
              </w:rPr>
              <w:t>证明材料</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zh-CN" w:bidi="zh-CN"/>
              </w:rPr>
              <w:t>信息部评分（</w:t>
            </w:r>
            <w:r>
              <w:rPr>
                <w:rFonts w:hint="eastAsia" w:ascii="仿宋" w:hAnsi="仿宋" w:eastAsia="仿宋" w:cs="仿宋"/>
                <w:b w:val="0"/>
                <w:bCs w:val="0"/>
                <w:color w:val="auto"/>
                <w:sz w:val="24"/>
                <w:szCs w:val="24"/>
                <w:highlight w:val="none"/>
                <w:lang w:val="en-US" w:bidi="zh-CN"/>
              </w:rPr>
              <w:t>10</w:t>
            </w:r>
            <w:r>
              <w:rPr>
                <w:rFonts w:hint="eastAsia" w:ascii="仿宋" w:hAnsi="仿宋" w:eastAsia="仿宋" w:cs="仿宋"/>
                <w:b w:val="0"/>
                <w:bCs w:val="0"/>
                <w:color w:val="auto"/>
                <w:sz w:val="24"/>
                <w:szCs w:val="24"/>
                <w:highlight w:val="none"/>
                <w:lang w:val="zh-CN" w:bidi="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318" w:type="dxa"/>
            <w:gridSpan w:val="6"/>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en-US" w:bidi="zh-CN"/>
              </w:rPr>
            </w:pPr>
            <w:r>
              <w:rPr>
                <w:rFonts w:hint="eastAsia" w:ascii="仿宋" w:hAnsi="仿宋" w:eastAsia="仿宋" w:cs="仿宋"/>
                <w:b w:val="0"/>
                <w:bCs w:val="0"/>
                <w:color w:val="auto"/>
                <w:sz w:val="24"/>
                <w:szCs w:val="24"/>
                <w:highlight w:val="none"/>
                <w:lang w:val="en-US" w:bidi="zh-CN"/>
              </w:rPr>
              <w:t>一、基础服务考核（40分）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19"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zh-CN" w:bidi="zh-CN"/>
              </w:rPr>
              <w:t>1</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en-US" w:bidi="zh-CN"/>
              </w:rPr>
            </w:pPr>
            <w:r>
              <w:rPr>
                <w:rFonts w:hint="eastAsia" w:ascii="仿宋" w:hAnsi="仿宋" w:eastAsia="仿宋" w:cs="仿宋"/>
                <w:b w:val="0"/>
                <w:bCs w:val="0"/>
                <w:color w:val="auto"/>
                <w:sz w:val="24"/>
                <w:highlight w:val="none"/>
              </w:rPr>
              <w:t>部署完整性</w:t>
            </w:r>
          </w:p>
        </w:tc>
        <w:tc>
          <w:tcPr>
            <w:tcW w:w="3093"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en-US" w:bidi="zh-CN"/>
              </w:rPr>
              <w:t>771套电脑端、40套WindowsServer服务器、10套Linux服务器及1套管理中心系统软件100%覆盖</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highlight w:val="none"/>
              </w:rPr>
              <w:t>每遗漏1台扣1分</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部署报告+资产清单</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9"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zh-CN" w:bidi="zh-CN"/>
              </w:rPr>
              <w:t>2</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en-US" w:bidi="zh-CN"/>
              </w:rPr>
            </w:pPr>
            <w:r>
              <w:rPr>
                <w:rFonts w:hint="eastAsia" w:ascii="仿宋" w:hAnsi="仿宋" w:eastAsia="仿宋" w:cs="仿宋"/>
                <w:b w:val="0"/>
                <w:bCs w:val="0"/>
                <w:color w:val="auto"/>
                <w:sz w:val="24"/>
                <w:highlight w:val="none"/>
              </w:rPr>
              <w:t>服务持续性</w:t>
            </w:r>
          </w:p>
        </w:tc>
        <w:tc>
          <w:tcPr>
            <w:tcW w:w="3093"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szCs w:val="24"/>
                <w:highlight w:val="none"/>
                <w:lang w:val="en-US" w:bidi="zh-CN"/>
              </w:rPr>
            </w:pPr>
            <w:r>
              <w:rPr>
                <w:rFonts w:hint="eastAsia" w:ascii="仿宋" w:hAnsi="仿宋" w:eastAsia="仿宋" w:cs="仿宋"/>
                <w:b w:val="0"/>
                <w:bCs w:val="0"/>
                <w:color w:val="auto"/>
                <w:sz w:val="24"/>
                <w:szCs w:val="24"/>
                <w:highlight w:val="none"/>
                <w:lang w:val="en-US" w:bidi="zh-CN"/>
              </w:rPr>
              <w:t>7×24小时监测响应（含漏洞修复、病毒查杀）</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highlight w:val="none"/>
              </w:rPr>
              <w:t>每发现1次未达标扣5分</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告警日志+值守记录</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19"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zh-CN" w:bidi="zh-CN"/>
              </w:rPr>
              <w:t>3</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en-US" w:bidi="zh-CN"/>
              </w:rPr>
            </w:pPr>
            <w:r>
              <w:rPr>
                <w:rFonts w:hint="eastAsia" w:ascii="仿宋" w:hAnsi="仿宋" w:eastAsia="仿宋" w:cs="仿宋"/>
                <w:b w:val="0"/>
                <w:bCs w:val="0"/>
                <w:color w:val="auto"/>
                <w:sz w:val="24"/>
                <w:highlight w:val="none"/>
              </w:rPr>
              <w:t>实施进度</w:t>
            </w:r>
          </w:p>
        </w:tc>
        <w:tc>
          <w:tcPr>
            <w:tcW w:w="3093"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en-US" w:eastAsia="zh-CN" w:bidi="zh-CN"/>
              </w:rPr>
              <w:t>自合同签订后，</w:t>
            </w:r>
            <w:r>
              <w:rPr>
                <w:rFonts w:hint="eastAsia" w:ascii="仿宋" w:hAnsi="仿宋" w:eastAsia="仿宋" w:cs="仿宋"/>
                <w:b w:val="0"/>
                <w:bCs w:val="0"/>
                <w:color w:val="auto"/>
                <w:sz w:val="24"/>
                <w:szCs w:val="24"/>
                <w:highlight w:val="none"/>
                <w:lang w:val="en-US" w:bidi="zh-CN"/>
              </w:rPr>
              <w:t>30天内完成所有服务项交付</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en-US" w:bidi="zh-CN"/>
              </w:rPr>
            </w:pPr>
            <w:r>
              <w:rPr>
                <w:rFonts w:hint="eastAsia" w:ascii="仿宋" w:hAnsi="仿宋" w:eastAsia="仿宋" w:cs="仿宋"/>
                <w:b w:val="0"/>
                <w:bCs w:val="0"/>
                <w:color w:val="auto"/>
                <w:sz w:val="24"/>
                <w:highlight w:val="none"/>
              </w:rPr>
              <w:t>每超期1天扣3分</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项目进度表+验收单</w:t>
            </w:r>
            <w:r>
              <w:rPr>
                <w:rFonts w:hint="eastAsia" w:ascii="仿宋" w:hAnsi="仿宋" w:eastAsia="仿宋" w:cs="仿宋"/>
                <w:b w:val="0"/>
                <w:bCs w:val="0"/>
                <w:color w:val="auto"/>
                <w:sz w:val="24"/>
                <w:highlight w:val="none"/>
              </w:rPr>
              <w:tab/>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18" w:type="dxa"/>
            <w:gridSpan w:val="6"/>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en-US" w:bidi="zh-CN"/>
              </w:rPr>
            </w:pPr>
            <w:r>
              <w:rPr>
                <w:rFonts w:hint="eastAsia" w:ascii="仿宋" w:hAnsi="仿宋" w:eastAsia="仿宋" w:cs="仿宋"/>
                <w:b w:val="0"/>
                <w:bCs w:val="0"/>
                <w:color w:val="auto"/>
                <w:sz w:val="24"/>
                <w:szCs w:val="24"/>
                <w:highlight w:val="none"/>
                <w:lang w:val="en-US" w:bidi="zh-CN"/>
              </w:rPr>
              <w:t>二、终端防护专项考核（40分）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19"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en-US" w:bidi="zh-CN"/>
              </w:rPr>
              <w:t>1</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病毒查杀能力</w:t>
            </w:r>
          </w:p>
        </w:tc>
        <w:tc>
          <w:tcPr>
            <w:tcW w:w="3093"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支持压缩包多层扫描（含病毒拦截后继续扫描其他文件）</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未达标直接不合格</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rPr>
              <w:t>功能截图+日志记录</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19" w:type="dxa"/>
            <w:noWrap w:val="0"/>
            <w:vAlign w:val="center"/>
          </w:tcPr>
          <w:p>
            <w:pPr>
              <w:keepNext w:val="0"/>
              <w:keepLines w:val="0"/>
              <w:pageBreakBefore w:val="0"/>
              <w:widowControl w:val="0"/>
              <w:tabs>
                <w:tab w:val="left" w:pos="8085"/>
              </w:tabs>
              <w:kinsoku/>
              <w:wordWrap/>
              <w:overflowPunct/>
              <w:topLinePunct w:val="0"/>
              <w:autoSpaceDE/>
              <w:autoSpaceDN/>
              <w:bidi w:val="0"/>
              <w:adjustRightInd/>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en-US" w:bidi="zh-CN"/>
              </w:rPr>
              <w:t>2</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漏洞修复</w:t>
            </w:r>
          </w:p>
        </w:tc>
        <w:tc>
          <w:tcPr>
            <w:tcW w:w="3093"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高危漏洞修复率≥99%</w:t>
            </w:r>
          </w:p>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支持灰度发布与自动化编排修复</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每项不达标扣5分</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修复记录+CNVD漏洞证明</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19"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val="en-US" w:bidi="zh-CN"/>
              </w:rPr>
              <w:t>3</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终端管理功能</w:t>
            </w:r>
          </w:p>
        </w:tc>
        <w:tc>
          <w:tcPr>
            <w:tcW w:w="3093"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外设库管理（统计设备PID/VID/来源）</w:t>
            </w:r>
          </w:p>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节能策略（自动关机/倒计时弹窗）</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每项缺失扣5分</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rPr>
              <w:t>系统功能截图</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19"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en-US" w:bidi="zh-CN"/>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防护覆盖</w:t>
            </w:r>
          </w:p>
        </w:tc>
        <w:tc>
          <w:tcPr>
            <w:tcW w:w="3093"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1.支持Windows XP至Server 2019、主流Linux系统</w:t>
            </w:r>
          </w:p>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2.实时防护（勒索、U盘、邮件等）</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每项不达标扣5分</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兼容性测试报告</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18" w:type="dxa"/>
            <w:gridSpan w:val="6"/>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en-US" w:bidi="zh-CN"/>
              </w:rPr>
            </w:pPr>
            <w:r>
              <w:rPr>
                <w:rFonts w:hint="eastAsia" w:ascii="仿宋" w:hAnsi="仿宋" w:eastAsia="仿宋" w:cs="仿宋"/>
                <w:b w:val="0"/>
                <w:bCs w:val="0"/>
                <w:color w:val="auto"/>
                <w:sz w:val="24"/>
                <w:szCs w:val="24"/>
                <w:highlight w:val="none"/>
                <w:lang w:val="en-US" w:bidi="zh-CN"/>
              </w:rPr>
              <w:t>三、服务器防护考核（20分）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kern w:val="2"/>
                <w:sz w:val="24"/>
                <w:szCs w:val="24"/>
                <w:highlight w:val="none"/>
                <w:lang w:val="zh-CN" w:eastAsia="zh-CN" w:bidi="zh-CN"/>
              </w:rPr>
            </w:pPr>
            <w:r>
              <w:rPr>
                <w:rFonts w:hint="eastAsia" w:ascii="仿宋" w:hAnsi="仿宋" w:eastAsia="仿宋" w:cs="仿宋"/>
                <w:b w:val="0"/>
                <w:bCs w:val="0"/>
                <w:color w:val="auto"/>
                <w:sz w:val="24"/>
                <w:szCs w:val="24"/>
                <w:highlight w:val="none"/>
                <w:lang w:val="en-US" w:bidi="zh-CN"/>
              </w:rPr>
              <w:t>1</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Windows防护</w:t>
            </w:r>
          </w:p>
        </w:tc>
        <w:tc>
          <w:tcPr>
            <w:tcW w:w="3093"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1.防病毒功能更新服务有效</w:t>
            </w:r>
          </w:p>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2.补丁规则库覆盖Office、.NET等</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每项不达标扣5分</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更新日志+补丁清单</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9" w:type="dxa"/>
            <w:noWrap w:val="0"/>
            <w:vAlign w:val="center"/>
          </w:tcPr>
          <w:p>
            <w:pPr>
              <w:keepNext w:val="0"/>
              <w:keepLines w:val="0"/>
              <w:pageBreakBefore w:val="0"/>
              <w:widowControl w:val="0"/>
              <w:tabs>
                <w:tab w:val="left" w:pos="8085"/>
              </w:tabs>
              <w:kinsoku/>
              <w:wordWrap/>
              <w:overflowPunct/>
              <w:topLinePunct w:val="0"/>
              <w:autoSpaceDE/>
              <w:autoSpaceDN/>
              <w:bidi w:val="0"/>
              <w:adjustRightInd/>
              <w:ind w:firstLine="0" w:firstLineChars="0"/>
              <w:jc w:val="center"/>
              <w:textAlignment w:val="auto"/>
              <w:rPr>
                <w:rFonts w:hint="eastAsia" w:ascii="仿宋" w:hAnsi="仿宋" w:eastAsia="仿宋" w:cs="仿宋"/>
                <w:b w:val="0"/>
                <w:bCs w:val="0"/>
                <w:color w:val="auto"/>
                <w:kern w:val="2"/>
                <w:sz w:val="24"/>
                <w:szCs w:val="24"/>
                <w:highlight w:val="none"/>
                <w:lang w:val="zh-CN" w:eastAsia="zh-CN" w:bidi="zh-CN"/>
              </w:rPr>
            </w:pPr>
            <w:r>
              <w:rPr>
                <w:rFonts w:hint="eastAsia" w:ascii="仿宋" w:hAnsi="仿宋" w:eastAsia="仿宋" w:cs="仿宋"/>
                <w:b w:val="0"/>
                <w:bCs w:val="0"/>
                <w:color w:val="auto"/>
                <w:sz w:val="24"/>
                <w:szCs w:val="24"/>
                <w:highlight w:val="none"/>
                <w:lang w:val="en-US" w:bidi="zh-CN"/>
              </w:rPr>
              <w:t>2</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Linux防护</w:t>
            </w:r>
          </w:p>
        </w:tc>
        <w:tc>
          <w:tcPr>
            <w:tcW w:w="3093"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1.实时防护与病毒库更新正常</w:t>
            </w:r>
          </w:p>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2.支持SUSE/Red Hat/CentOS/Ubuntu</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每项不达标扣5分</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系统日志+兼容性证明</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86" w:type="dxa"/>
            <w:gridSpan w:val="5"/>
            <w:noWrap w:val="0"/>
            <w:vAlign w:val="center"/>
          </w:tcPr>
          <w:p>
            <w:pPr>
              <w:keepNext w:val="0"/>
              <w:keepLines w:val="0"/>
              <w:pageBreakBefore w:val="0"/>
              <w:widowControl w:val="0"/>
              <w:tabs>
                <w:tab w:val="left" w:pos="8085"/>
              </w:tabs>
              <w:kinsoku/>
              <w:wordWrap/>
              <w:overflowPunct/>
              <w:topLinePunct w:val="0"/>
              <w:autoSpaceDE/>
              <w:autoSpaceDN/>
              <w:bidi w:val="0"/>
              <w:adjustRightInd/>
              <w:ind w:firstLine="0" w:firstLineChars="0"/>
              <w:jc w:val="center"/>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得分</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val="0"/>
                <w:bCs w:val="0"/>
                <w:color w:val="auto"/>
                <w:sz w:val="24"/>
                <w:szCs w:val="24"/>
                <w:highlight w:val="none"/>
                <w:lang w:val="zh-CN" w:bidi="zh-CN"/>
              </w:rPr>
            </w:pPr>
          </w:p>
        </w:tc>
      </w:tr>
    </w:tbl>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备注：考核结果判定：</w:t>
      </w:r>
    </w:p>
    <w:tbl>
      <w:tblPr>
        <w:tblStyle w:val="18"/>
        <w:tblW w:w="9348" w:type="dxa"/>
        <w:tblInd w:w="-4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13"/>
        <w:gridCol w:w="4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项目考核评价得分</w:t>
            </w:r>
          </w:p>
        </w:tc>
        <w:tc>
          <w:tcPr>
            <w:tcW w:w="4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与合同款项支付金额计算方法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90分以上(含90分)</w:t>
            </w:r>
          </w:p>
        </w:tc>
        <w:tc>
          <w:tcPr>
            <w:tcW w:w="4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支付金额=当期支付款项X100%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80分至90分(含80分)</w:t>
            </w:r>
          </w:p>
        </w:tc>
        <w:tc>
          <w:tcPr>
            <w:tcW w:w="4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支付金额=当期支付款项X90%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60分至80分(含60分)</w:t>
            </w:r>
          </w:p>
        </w:tc>
        <w:tc>
          <w:tcPr>
            <w:tcW w:w="4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支付金额=当期支付款项X80%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低于60分</w:t>
            </w:r>
          </w:p>
        </w:tc>
        <w:tc>
          <w:tcPr>
            <w:tcW w:w="4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不支付当前费用且中止合同</w:t>
            </w:r>
          </w:p>
        </w:tc>
      </w:tr>
    </w:tbl>
    <w:p>
      <w:pPr>
        <w:numPr>
          <w:ilvl w:val="0"/>
          <w:numId w:val="0"/>
        </w:numPr>
        <w:autoSpaceDE w:val="0"/>
        <w:autoSpaceDN w:val="0"/>
        <w:spacing w:line="360" w:lineRule="auto"/>
        <w:ind w:firstLine="562" w:firstLineChars="200"/>
        <w:rPr>
          <w:rFonts w:hint="default" w:ascii="仿宋" w:hAnsi="仿宋" w:eastAsia="仿宋" w:cs="仿宋"/>
          <w:b/>
          <w:color w:val="auto"/>
          <w:sz w:val="28"/>
          <w:szCs w:val="28"/>
          <w:highlight w:val="none"/>
          <w:lang w:val="en-US" w:eastAsia="zh-CN"/>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pStyle w:val="2"/>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2"/>
        <w:rPr>
          <w:rFonts w:hint="eastAsia"/>
          <w:color w:val="auto"/>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pStyle w:val="2"/>
        <w:rPr>
          <w:rFonts w:hint="eastAsia"/>
        </w:rPr>
      </w:pPr>
    </w:p>
    <w:p>
      <w:pPr>
        <w:spacing w:line="380" w:lineRule="exact"/>
        <w:jc w:val="both"/>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pPr>
        <w:pStyle w:val="11"/>
        <w:adjustRightInd w:val="0"/>
        <w:snapToGrid w:val="0"/>
        <w:spacing w:line="380" w:lineRule="exact"/>
        <w:rPr>
          <w:rFonts w:hint="eastAsia" w:ascii="仿宋" w:hAnsi="仿宋" w:eastAsia="仿宋" w:cs="仿宋"/>
          <w:color w:val="auto"/>
          <w:sz w:val="28"/>
          <w:szCs w:val="28"/>
          <w:highlight w:val="none"/>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11"/>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r>
        <w:rPr>
          <w:rFonts w:hint="eastAsia" w:ascii="仿宋" w:hAnsi="仿宋" w:eastAsia="仿宋" w:cs="仿宋"/>
          <w:snapToGrid w:val="0"/>
          <w:color w:val="auto"/>
          <w:kern w:val="0"/>
          <w:sz w:val="24"/>
          <w:szCs w:val="24"/>
          <w:highlight w:val="none"/>
          <w:lang w:val="en-US" w:eastAsia="zh-CN"/>
        </w:rPr>
        <w:t xml:space="preserve">      </w:t>
      </w:r>
    </w:p>
    <w:p>
      <w:pPr>
        <w:pStyle w:val="11"/>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11"/>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（5）“成交供应商”是指经评审小组评审确定的对采购文件做出实质性响应，按评审结果顺序推荐的成交候选供应商及采购文件中明确的定标方法，由采购人院长办公会确定的响应供应商。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11"/>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1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1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11"/>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11"/>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1"/>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1"/>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11"/>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11"/>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残疾人福利性单位视同小型、微型企业，享受评审中价格扣除。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11"/>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11"/>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11"/>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11"/>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11"/>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11"/>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11"/>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11"/>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11"/>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11"/>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11"/>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五、比选和定标</w:t>
      </w:r>
    </w:p>
    <w:p>
      <w:pPr>
        <w:pStyle w:val="11"/>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11"/>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11"/>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11"/>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11"/>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11"/>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11"/>
        <w:adjustRightInd w:val="0"/>
        <w:snapToGrid w:val="0"/>
        <w:spacing w:line="360" w:lineRule="auto"/>
        <w:ind w:firstLine="480" w:firstLineChars="200"/>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color w:val="auto"/>
          <w:sz w:val="24"/>
          <w:szCs w:val="24"/>
          <w:highlight w:val="none"/>
          <w:lang w:eastAsia="zh-CN"/>
        </w:rPr>
        <w:t>本项目采用“定量评审”方式。</w:t>
      </w:r>
      <w:r>
        <w:rPr>
          <w:rFonts w:hint="eastAsia" w:ascii="仿宋" w:hAnsi="仿宋" w:eastAsia="仿宋" w:cs="仿宋"/>
          <w:color w:val="auto"/>
          <w:sz w:val="24"/>
          <w:szCs w:val="24"/>
          <w:highlight w:val="none"/>
          <w:lang w:val="en-US" w:eastAsia="zh-CN"/>
        </w:rPr>
        <w:t>采用“定量评审”方式推荐成交候选供应商的，评审小组根据比选文件规定的评审办法对通过资格性、符合性审查的响应文件进行评审，按评审结果顺序，推荐前3名成交候选供应商。</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11"/>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11"/>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11"/>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11"/>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8"/>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keepNext w:val="0"/>
              <w:keepLines w:val="0"/>
              <w:suppressLineNumbers w:val="0"/>
              <w:spacing w:before="0" w:beforeAutospacing="0" w:after="0" w:afterAutospacing="0" w:line="380" w:lineRule="exact"/>
              <w:ind w:left="0" w:right="0"/>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keepNext w:val="0"/>
              <w:keepLines w:val="0"/>
              <w:suppressLineNumbers w:val="0"/>
              <w:spacing w:before="0" w:beforeAutospacing="0" w:after="0" w:afterAutospacing="0" w:line="380" w:lineRule="exact"/>
              <w:ind w:left="-171" w:right="0"/>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w:t>
            </w:r>
            <w:r>
              <w:rPr>
                <w:rFonts w:hint="eastAsia" w:ascii="仿宋" w:hAnsi="仿宋" w:eastAsia="仿宋" w:cs="仿宋"/>
                <w:color w:val="auto"/>
                <w:szCs w:val="21"/>
                <w:highlight w:val="none"/>
              </w:rPr>
              <w:t>要缴纳）</w:t>
            </w:r>
            <w:r>
              <w:rPr>
                <w:rFonts w:hint="eastAsia" w:ascii="仿宋" w:hAnsi="仿宋" w:eastAsia="仿宋" w:cs="仿宋"/>
                <w:color w:val="auto"/>
                <w:szCs w:val="21"/>
                <w:highlight w:val="none"/>
                <w:lang w:eastAsia="zh-CN"/>
              </w:rPr>
              <w:t>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11.落实政府采购政策需满足的资格要求</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是专门面向中小企业采购的项目，供应商应为中小微企业。（提供《中小企业声明函》,具体格式文件见比选文件P49中小企业声明函，未按要求提供声明函的将导致响应无效）。本项目中小企业划分标准所属行业为：软件和信息技术服务业</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12.报名</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keepNext w:val="0"/>
              <w:keepLines w:val="0"/>
              <w:suppressLineNumbers w:val="0"/>
              <w:tabs>
                <w:tab w:val="left" w:pos="2880"/>
              </w:tabs>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11"/>
        <w:adjustRightInd w:val="0"/>
        <w:snapToGrid w:val="0"/>
        <w:spacing w:line="360" w:lineRule="auto"/>
        <w:ind w:right="32"/>
        <w:rPr>
          <w:rFonts w:hint="eastAsia" w:ascii="仿宋" w:hAnsi="仿宋" w:eastAsia="仿宋" w:cs="仿宋"/>
          <w:b w:val="0"/>
          <w:bCs/>
          <w:color w:val="auto"/>
          <w:sz w:val="24"/>
          <w:szCs w:val="24"/>
          <w:highlight w:val="none"/>
        </w:rPr>
      </w:pPr>
    </w:p>
    <w:p>
      <w:pPr>
        <w:pStyle w:val="11"/>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11"/>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11"/>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8"/>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对用户需求中带▲的响应</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完全满足用户需求中带▲的重要技术参数的，得</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lang w:eastAsia="zh-CN"/>
              </w:rPr>
              <w:t>分；一项不满足得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eastAsia="zh-CN"/>
              </w:rPr>
              <w:t>分；两项不满足得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如此类推，每不满足一项带▲的重要技术参数的得分减少</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分，当达到</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项或以上时，视为严重偏离本项不得分。</w:t>
            </w:r>
          </w:p>
          <w:p>
            <w:pPr>
              <w:keepNext w:val="0"/>
              <w:keepLines w:val="0"/>
              <w:widowControl/>
              <w:numPr>
                <w:ilvl w:val="0"/>
                <w:numId w:val="0"/>
              </w:numPr>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注：在每项带“▲”号的技术条款中，若要求提供佐证材料的则须按要求提供，未按采购文件要求提供证明材料的技术参数，以响应文件格式技术和服务要求响应表为准。</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对用户需求中不带▲的响应</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服务需求</w:t>
            </w:r>
            <w:r>
              <w:rPr>
                <w:rFonts w:hint="eastAsia" w:ascii="仿宋" w:hAnsi="仿宋" w:eastAsia="仿宋" w:cs="仿宋"/>
                <w:color w:val="auto"/>
                <w:kern w:val="0"/>
                <w:sz w:val="24"/>
                <w:szCs w:val="24"/>
                <w:highlight w:val="none"/>
                <w:lang w:eastAsia="zh-CN"/>
              </w:rPr>
              <w:t>中</w:t>
            </w:r>
            <w:r>
              <w:rPr>
                <w:rFonts w:hint="eastAsia" w:ascii="仿宋" w:hAnsi="仿宋" w:eastAsia="仿宋" w:cs="仿宋"/>
                <w:color w:val="auto"/>
                <w:kern w:val="0"/>
                <w:sz w:val="24"/>
                <w:szCs w:val="24"/>
                <w:highlight w:val="none"/>
              </w:rPr>
              <w:t>不带▲号的响应程度</w:t>
            </w:r>
            <w:r>
              <w:rPr>
                <w:rFonts w:hint="eastAsia" w:ascii="仿宋" w:hAnsi="仿宋" w:eastAsia="仿宋" w:cs="仿宋"/>
                <w:color w:val="auto"/>
                <w:kern w:val="0"/>
                <w:sz w:val="24"/>
                <w:szCs w:val="24"/>
                <w:highlight w:val="none"/>
                <w:lang w:eastAsia="zh-CN"/>
              </w:rPr>
              <w:t>进行评分：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完全满足</w:t>
            </w:r>
            <w:r>
              <w:rPr>
                <w:rFonts w:hint="eastAsia" w:ascii="仿宋" w:hAnsi="仿宋" w:eastAsia="仿宋" w:cs="仿宋"/>
                <w:color w:val="auto"/>
                <w:kern w:val="0"/>
                <w:sz w:val="24"/>
                <w:szCs w:val="24"/>
                <w:highlight w:val="none"/>
              </w:rPr>
              <w:t>不带▲号的一般技术参数，得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有一项不带▲号条款负偏离，得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xml:space="preserve">分；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有二项不带▲号条款负偏离，得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以此类推，</w:t>
            </w:r>
            <w:r>
              <w:rPr>
                <w:rFonts w:hint="eastAsia" w:ascii="仿宋" w:hAnsi="仿宋" w:eastAsia="仿宋" w:cs="仿宋"/>
                <w:color w:val="auto"/>
                <w:kern w:val="0"/>
                <w:sz w:val="24"/>
                <w:szCs w:val="24"/>
                <w:highlight w:val="none"/>
                <w:lang w:eastAsia="zh-CN"/>
              </w:rPr>
              <w:t>每不满足一项不带▲的重要技术参数的得分减少</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分，</w:t>
            </w:r>
            <w:r>
              <w:rPr>
                <w:rFonts w:hint="eastAsia" w:ascii="仿宋" w:hAnsi="仿宋" w:eastAsia="仿宋" w:cs="仿宋"/>
                <w:color w:val="auto"/>
                <w:kern w:val="0"/>
                <w:sz w:val="24"/>
                <w:szCs w:val="24"/>
                <w:highlight w:val="none"/>
              </w:rPr>
              <w:t>当达到</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项（含）以上时，视为严重偏离此</w:t>
            </w:r>
            <w:r>
              <w:rPr>
                <w:rFonts w:hint="eastAsia" w:ascii="仿宋" w:hAnsi="仿宋" w:eastAsia="仿宋" w:cs="仿宋"/>
                <w:color w:val="auto"/>
                <w:kern w:val="0"/>
                <w:sz w:val="24"/>
                <w:szCs w:val="24"/>
                <w:highlight w:val="none"/>
                <w:lang w:eastAsia="zh-CN"/>
              </w:rPr>
              <w:t>本项</w:t>
            </w:r>
            <w:r>
              <w:rPr>
                <w:rFonts w:hint="eastAsia" w:ascii="仿宋" w:hAnsi="仿宋" w:eastAsia="仿宋" w:cs="仿宋"/>
                <w:color w:val="auto"/>
                <w:kern w:val="0"/>
                <w:sz w:val="24"/>
                <w:szCs w:val="24"/>
                <w:highlight w:val="none"/>
              </w:rPr>
              <w:t>不得分。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注：在每项不带“▲”号的技术条款中，若要求提供佐证材料的则须按要求提供，未按采购文件要求提供证明材料的技术参数，以响应文件格式技术和服务要求响应表为准。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项目实施方案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lang w:val="en-GB" w:eastAsia="zh-CN" w:bidi="ar-SA"/>
              </w:rPr>
              <w:t>各</w:t>
            </w:r>
            <w:r>
              <w:rPr>
                <w:rFonts w:hint="eastAsia" w:ascii="仿宋" w:hAnsi="仿宋" w:eastAsia="仿宋" w:cs="仿宋"/>
                <w:color w:val="auto"/>
                <w:kern w:val="0"/>
                <w:sz w:val="24"/>
                <w:szCs w:val="24"/>
                <w:highlight w:val="none"/>
                <w:lang w:val="en-GB" w:eastAsia="zh-CN" w:bidi="ar-SA"/>
              </w:rPr>
              <w:t>供应商</w:t>
            </w:r>
            <w:r>
              <w:rPr>
                <w:rFonts w:hint="eastAsia" w:ascii="仿宋" w:hAnsi="仿宋" w:eastAsia="仿宋" w:cs="仿宋"/>
                <w:color w:val="auto"/>
                <w:kern w:val="0"/>
                <w:sz w:val="24"/>
                <w:szCs w:val="24"/>
                <w:highlight w:val="none"/>
                <w:lang w:val="en-US" w:eastAsia="zh-CN"/>
              </w:rPr>
              <w:t>提供的项目实施方案（包括对项目需求的理解、项目实施部署与计划）进行评审：</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1.方案内容完整、详细、表述清晰、科学合理、切实可行，对项目理解全面、准确、深入，完全符合用户业务要求的，得10分；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2.方案内容比较完整、详细、表述比较清晰、合理、可行，较符合用户业务要求的，得6分；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3.方案内容基本完整，方案一般，基本满足采购需求的，得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4.未提供方案不得分。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培训方案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根据各供应商提供的培训方案（包括培训目标、培训计划、培训内容等）进行评审。</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1.方案内容完整、详细、表述清晰、科学合理、切实可行，优于或满足采购要求，得</w:t>
            </w: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GB" w:eastAsia="zh-CN" w:bidi="ar-SA"/>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2.方案内容基本满足采购要求，得</w:t>
            </w: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en-GB" w:eastAsia="zh-CN" w:bidi="ar-SA"/>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3.仅提供方案但无法满足采购需求，得</w:t>
            </w: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GB" w:eastAsia="zh-CN" w:bidi="ar-SA"/>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4.未提供方案不得分。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CN"/>
              </w:rPr>
              <w:t>应急方案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根据各</w:t>
            </w:r>
            <w:r>
              <w:rPr>
                <w:rFonts w:hint="eastAsia" w:ascii="仿宋" w:hAnsi="仿宋" w:eastAsia="仿宋" w:cs="仿宋"/>
                <w:color w:val="auto"/>
                <w:kern w:val="0"/>
                <w:sz w:val="24"/>
                <w:szCs w:val="24"/>
                <w:highlight w:val="none"/>
                <w:lang w:val="en-GB" w:eastAsia="zh-CN" w:bidi="ar-SA"/>
              </w:rPr>
              <w:t>供应商</w:t>
            </w:r>
            <w:r>
              <w:rPr>
                <w:rFonts w:hint="eastAsia" w:ascii="仿宋" w:hAnsi="仿宋" w:eastAsia="仿宋" w:cs="仿宋"/>
                <w:color w:val="auto"/>
                <w:kern w:val="0"/>
                <w:sz w:val="24"/>
                <w:szCs w:val="24"/>
                <w:highlight w:val="none"/>
                <w:lang w:val="en-GB" w:eastAsia="zh-CN" w:bidi="ar-SA"/>
              </w:rPr>
              <w:t>提供的应急方案（包括应急事件分类分级、应急事件响应流程、应急处置预案等）进行评审。</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1.方案内容完整、详细、表述清晰、科学合理、切实可行，优于或满足采购要求</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GB" w:eastAsia="zh-CN" w:bidi="ar-SA"/>
              </w:rPr>
              <w:t>得6分；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2.方案内容基本满足采购要求</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GB" w:eastAsia="zh-CN" w:bidi="ar-SA"/>
              </w:rPr>
              <w:t>得4分；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3.仅提供方案但无法满足采购需求</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GB" w:eastAsia="zh-CN" w:bidi="ar-SA"/>
              </w:rPr>
              <w:t>得</w:t>
            </w: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GB" w:eastAsia="zh-CN" w:bidi="ar-SA"/>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4.未提供方案不得分。</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GB" w:eastAsia="zh-CN" w:bidi="ar-SA"/>
              </w:rPr>
              <w:t>售后服务方案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Hans" w:bidi="ar-SA"/>
              </w:rPr>
            </w:pPr>
            <w:r>
              <w:rPr>
                <w:rFonts w:hint="eastAsia" w:ascii="仿宋" w:hAnsi="仿宋" w:eastAsia="仿宋" w:cs="仿宋"/>
                <w:color w:val="auto"/>
                <w:kern w:val="0"/>
                <w:sz w:val="24"/>
                <w:szCs w:val="24"/>
                <w:highlight w:val="none"/>
                <w:lang w:val="en-GB" w:eastAsia="zh-Hans" w:bidi="ar-SA"/>
              </w:rPr>
              <w:t>根据</w:t>
            </w:r>
            <w:r>
              <w:rPr>
                <w:rFonts w:hint="eastAsia" w:ascii="仿宋" w:hAnsi="仿宋" w:eastAsia="仿宋" w:cs="仿宋"/>
                <w:color w:val="auto"/>
                <w:kern w:val="0"/>
                <w:sz w:val="24"/>
                <w:szCs w:val="24"/>
                <w:highlight w:val="none"/>
                <w:lang w:val="en-GB" w:eastAsia="zh-CN" w:bidi="ar-SA"/>
              </w:rPr>
              <w:t>各供应商</w:t>
            </w:r>
            <w:r>
              <w:rPr>
                <w:rFonts w:hint="eastAsia" w:ascii="仿宋" w:hAnsi="仿宋" w:eastAsia="仿宋" w:cs="仿宋"/>
                <w:color w:val="auto"/>
                <w:kern w:val="0"/>
                <w:sz w:val="24"/>
                <w:szCs w:val="24"/>
                <w:highlight w:val="none"/>
                <w:lang w:val="en-GB" w:eastAsia="zh-Hans" w:bidi="ar-SA"/>
              </w:rPr>
              <w:t>提供的售后服务方案进行评审，内容包括售后服务承诺及保障措施</w:t>
            </w:r>
            <w:r>
              <w:rPr>
                <w:rFonts w:hint="eastAsia" w:ascii="仿宋" w:hAnsi="仿宋" w:eastAsia="仿宋" w:cs="仿宋"/>
                <w:color w:val="auto"/>
                <w:kern w:val="0"/>
                <w:sz w:val="24"/>
                <w:szCs w:val="24"/>
                <w:highlight w:val="none"/>
                <w:lang w:val="en-GB" w:eastAsia="zh-CN" w:bidi="ar-SA"/>
              </w:rPr>
              <w:t>等</w:t>
            </w:r>
            <w:r>
              <w:rPr>
                <w:rFonts w:hint="eastAsia" w:ascii="仿宋" w:hAnsi="仿宋" w:eastAsia="仿宋" w:cs="仿宋"/>
                <w:color w:val="auto"/>
                <w:kern w:val="0"/>
                <w:sz w:val="24"/>
                <w:szCs w:val="24"/>
                <w:highlight w:val="none"/>
                <w:lang w:val="en-GB" w:eastAsia="zh-Hans" w:bidi="ar-SA"/>
              </w:rPr>
              <w:t>：</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Hans" w:bidi="ar-SA"/>
              </w:rPr>
            </w:pPr>
            <w:r>
              <w:rPr>
                <w:rFonts w:hint="eastAsia" w:ascii="仿宋" w:hAnsi="仿宋" w:eastAsia="仿宋" w:cs="仿宋"/>
                <w:color w:val="auto"/>
                <w:kern w:val="0"/>
                <w:sz w:val="24"/>
                <w:szCs w:val="24"/>
                <w:highlight w:val="none"/>
                <w:lang w:val="en-GB" w:eastAsia="zh-Hans" w:bidi="ar-SA"/>
              </w:rPr>
              <w:t>1.售后服务方案最详细、针对性强、合理性高的</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GB" w:eastAsia="zh-Hans" w:bidi="ar-SA"/>
              </w:rPr>
              <w:t>得</w:t>
            </w: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GB" w:eastAsia="zh-Hans" w:bidi="ar-SA"/>
              </w:rPr>
              <w:t>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Hans" w:bidi="ar-SA"/>
              </w:rPr>
            </w:pPr>
            <w:r>
              <w:rPr>
                <w:rFonts w:hint="eastAsia" w:ascii="仿宋" w:hAnsi="仿宋" w:eastAsia="仿宋" w:cs="仿宋"/>
                <w:color w:val="auto"/>
                <w:kern w:val="0"/>
                <w:sz w:val="24"/>
                <w:szCs w:val="24"/>
                <w:highlight w:val="none"/>
                <w:lang w:val="en-GB" w:eastAsia="zh-Hans" w:bidi="ar-SA"/>
              </w:rPr>
              <w:t>2.售后服务方案较详细，针对性较强、合理性较高的</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GB" w:eastAsia="zh-Hans" w:bidi="ar-SA"/>
              </w:rPr>
              <w:t>得</w:t>
            </w: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en-GB" w:eastAsia="zh-Hans" w:bidi="ar-SA"/>
              </w:rPr>
              <w:t>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Hans" w:bidi="ar-SA"/>
              </w:rPr>
            </w:pPr>
            <w:r>
              <w:rPr>
                <w:rFonts w:hint="eastAsia" w:ascii="仿宋" w:hAnsi="仿宋" w:eastAsia="仿宋" w:cs="仿宋"/>
                <w:color w:val="auto"/>
                <w:kern w:val="0"/>
                <w:sz w:val="24"/>
                <w:szCs w:val="24"/>
                <w:highlight w:val="none"/>
                <w:lang w:val="en-GB" w:eastAsia="zh-Hans" w:bidi="ar-SA"/>
              </w:rPr>
              <w:t>3.售后服务方案详细程度一般，针对性、合理性一般的</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GB" w:eastAsia="zh-Hans" w:bidi="ar-SA"/>
              </w:rPr>
              <w:t>得</w:t>
            </w: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GB" w:eastAsia="zh-Hans" w:bidi="ar-SA"/>
              </w:rPr>
              <w:t>分；</w:t>
            </w:r>
          </w:p>
          <w:p>
            <w:pPr>
              <w:keepNext w:val="0"/>
              <w:keepLines w:val="0"/>
              <w:widowControl/>
              <w:suppressLineNumbers w:val="0"/>
              <w:spacing w:before="0" w:beforeAutospacing="0" w:after="0" w:afterAutospacing="0"/>
              <w:ind w:left="0" w:leftChars="0" w:right="0" w:rightChars="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GB" w:eastAsia="zh-Hans" w:bidi="ar-SA"/>
              </w:rPr>
              <w:t>4.未提供方案不得分。</w:t>
            </w:r>
          </w:p>
        </w:tc>
      </w:tr>
      <w:tr>
        <w:tblPrEx>
          <w:tblCellMar>
            <w:top w:w="0" w:type="dxa"/>
            <w:left w:w="108" w:type="dxa"/>
            <w:bottom w:w="0" w:type="dxa"/>
            <w:right w:w="108" w:type="dxa"/>
          </w:tblCellMar>
        </w:tblPrEx>
        <w:trPr>
          <w:trHeight w:val="69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同类业绩情况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供应商提供2021年1月1日至今承接过的同类项目业绩进行评审，每提供1份，得1分，本项最高得</w:t>
            </w: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GB" w:eastAsia="zh-CN" w:bidi="ar-SA"/>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GB" w:eastAsia="zh-CN" w:bidi="ar-SA"/>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kern w:val="0"/>
                <w:sz w:val="24"/>
                <w:szCs w:val="24"/>
                <w:highlight w:val="none"/>
                <w:lang w:eastAsia="zh-CN"/>
              </w:rPr>
              <w:t>合同标的</w:t>
            </w:r>
            <w:r>
              <w:rPr>
                <w:rFonts w:hint="eastAsia" w:ascii="仿宋" w:hAnsi="仿宋" w:eastAsia="仿宋" w:cs="仿宋"/>
                <w:color w:val="auto"/>
                <w:kern w:val="0"/>
                <w:sz w:val="24"/>
                <w:szCs w:val="24"/>
                <w:highlight w:val="none"/>
              </w:rPr>
              <w:t>相关信息；②签订合同双方的单位名称、合同项目名称；③签订合同双方的签章、盖章及签订日期）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GB" w:eastAsia="zh-CN" w:bidi="ar-SA"/>
              </w:rPr>
              <w:t>④同一项目不同年份的合同/协议按一份业绩计算。</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Hans" w:bidi="ar-SA"/>
              </w:rPr>
            </w:pP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2048"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GB" w:eastAsia="zh-CN" w:bidi="ar-SA"/>
              </w:rPr>
              <w:t>拟派项目负责人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GB" w:eastAsia="zh-CN" w:bidi="ar-SA"/>
              </w:rPr>
              <w:t>4</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根据供应商为本项目拟派出1名项目负责人的情况进行评审：</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具有国家工业和信息化部（原国家信息产业部）和人力资源和社会保障部颁发的信息系统项目管理师（高级）证书</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满足条件的</w:t>
            </w:r>
            <w:r>
              <w:rPr>
                <w:rFonts w:hint="eastAsia" w:ascii="仿宋" w:hAnsi="仿宋" w:eastAsia="仿宋" w:cs="仿宋"/>
                <w:color w:val="auto"/>
                <w:kern w:val="0"/>
                <w:sz w:val="24"/>
                <w:szCs w:val="24"/>
                <w:highlight w:val="none"/>
                <w:lang w:val="en-GB" w:eastAsia="zh-CN" w:bidi="ar-SA"/>
              </w:rPr>
              <w:t>得4分，无提供不得分。</w:t>
            </w:r>
          </w:p>
          <w:p>
            <w:pPr>
              <w:keepNext w:val="0"/>
              <w:keepLines w:val="0"/>
              <w:widowControl/>
              <w:suppressLineNumbers w:val="0"/>
              <w:spacing w:before="0" w:beforeAutospacing="0" w:after="0" w:afterAutospacing="0"/>
              <w:ind w:left="0" w:leftChars="0" w:right="0" w:rightChars="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GB" w:eastAsia="zh-CN" w:bidi="ar-SA"/>
              </w:rPr>
              <w:t>注：需提供该人员在比选前近3个月内任意一个月的社保证明材料（新成立公司则提供成立至今的社保缴交证明材料）以及相关证书复印件作为凭证，无提供或提供的材料不符合要求的不得分。</w:t>
            </w:r>
          </w:p>
        </w:tc>
      </w:tr>
      <w:tr>
        <w:tblPrEx>
          <w:tblCellMar>
            <w:top w:w="0" w:type="dxa"/>
            <w:left w:w="108" w:type="dxa"/>
            <w:bottom w:w="0" w:type="dxa"/>
            <w:right w:w="108" w:type="dxa"/>
          </w:tblCellMar>
        </w:tblPrEx>
        <w:trPr>
          <w:trHeight w:val="44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GB" w:eastAsia="zh-CN" w:bidi="ar-SA"/>
              </w:rPr>
              <w:t>拟派项目服务团队人员</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GB" w:eastAsia="zh-CN" w:bidi="ar-SA"/>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根据本项目采购需求内容，要求供应商对本项目投入不少于4人的实施团队（不含项目负责人），其中：</w:t>
            </w:r>
          </w:p>
          <w:p>
            <w:pPr>
              <w:keepNext w:val="0"/>
              <w:keepLines w:val="0"/>
              <w:widowControl/>
              <w:numPr>
                <w:ilvl w:val="0"/>
                <w:numId w:val="6"/>
              </w:numPr>
              <w:spacing w:before="0" w:after="0"/>
              <w:jc w:val="left"/>
              <w:rPr>
                <w:rFonts w:hint="eastAsia"/>
                <w:color w:val="auto"/>
                <w:highlight w:val="none"/>
                <w:lang w:val="en-GB" w:eastAsia="zh-CN"/>
              </w:rPr>
            </w:pPr>
            <w:r>
              <w:rPr>
                <w:rFonts w:hint="eastAsia" w:ascii="仿宋" w:hAnsi="仿宋" w:eastAsia="仿宋" w:cs="仿宋"/>
                <w:color w:val="auto"/>
                <w:kern w:val="0"/>
                <w:sz w:val="24"/>
                <w:szCs w:val="24"/>
                <w:highlight w:val="none"/>
                <w:lang w:val="en-GB" w:eastAsia="zh-CN" w:bidi="ar-SA"/>
              </w:rPr>
              <w:t>技术负责人1人，要求具备国家工业和信息化部（原国家信息产业部）和人力资源和社会保障部颁发的中级或以上系统集成项目管理工程师证书，</w:t>
            </w:r>
            <w:r>
              <w:rPr>
                <w:rFonts w:hint="eastAsia" w:ascii="仿宋" w:hAnsi="仿宋" w:eastAsia="仿宋" w:cs="仿宋"/>
                <w:color w:val="auto"/>
                <w:kern w:val="0"/>
                <w:sz w:val="24"/>
                <w:szCs w:val="24"/>
                <w:highlight w:val="none"/>
                <w:lang w:val="en-US" w:eastAsia="zh-CN" w:bidi="ar-SA"/>
              </w:rPr>
              <w:t>满足条件的</w:t>
            </w:r>
            <w:r>
              <w:rPr>
                <w:rFonts w:hint="eastAsia" w:ascii="仿宋" w:hAnsi="仿宋" w:eastAsia="仿宋" w:cs="仿宋"/>
                <w:color w:val="auto"/>
                <w:kern w:val="0"/>
                <w:sz w:val="24"/>
                <w:szCs w:val="24"/>
                <w:highlight w:val="none"/>
                <w:lang w:val="en-GB" w:eastAsia="zh-CN" w:bidi="ar-SA"/>
              </w:rPr>
              <w:t>得2分。</w:t>
            </w:r>
          </w:p>
          <w:p>
            <w:pPr>
              <w:keepNext w:val="0"/>
              <w:keepLines w:val="0"/>
              <w:widowControl/>
              <w:numPr>
                <w:ilvl w:val="0"/>
                <w:numId w:val="6"/>
              </w:numPr>
              <w:suppressLineNumbers w:val="0"/>
              <w:spacing w:before="0" w:beforeAutospacing="0" w:after="0" w:afterAutospacing="0"/>
              <w:ind w:left="0" w:leftChars="0" w:right="0" w:rightChars="0" w:firstLine="0" w:firstLineChars="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拟派技术人员3人。要求具备国家工业和信息化部（原国家信息产业部）和人力资源和社会保障部颁发的中级或以上网络工程师证书，每提供1项证书得2分，</w:t>
            </w:r>
            <w:r>
              <w:rPr>
                <w:rFonts w:hint="eastAsia" w:ascii="仿宋" w:hAnsi="仿宋" w:eastAsia="仿宋" w:cs="仿宋"/>
                <w:color w:val="auto"/>
                <w:kern w:val="0"/>
                <w:sz w:val="24"/>
                <w:szCs w:val="24"/>
                <w:highlight w:val="none"/>
                <w:lang w:val="en-GB" w:eastAsia="zh-CN" w:bidi="ar-SA"/>
              </w:rPr>
              <w:t>本项最高分</w:t>
            </w:r>
            <w:r>
              <w:rPr>
                <w:rFonts w:hint="eastAsia" w:ascii="仿宋" w:hAnsi="仿宋" w:eastAsia="仿宋" w:cs="仿宋"/>
                <w:color w:val="auto"/>
                <w:kern w:val="0"/>
                <w:sz w:val="24"/>
                <w:szCs w:val="24"/>
                <w:highlight w:val="none"/>
                <w:lang w:val="en-US" w:eastAsia="zh-CN" w:bidi="ar-SA"/>
              </w:rPr>
              <w:t>6分。</w:t>
            </w:r>
          </w:p>
          <w:p>
            <w:pPr>
              <w:keepNext w:val="0"/>
              <w:keepLines w:val="0"/>
              <w:widowControl/>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CN" w:bidi="ar-SA"/>
              </w:rPr>
            </w:pPr>
          </w:p>
          <w:p>
            <w:pPr>
              <w:keepNext w:val="0"/>
              <w:keepLines w:val="0"/>
              <w:widowControl/>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GB" w:eastAsia="zh-CN" w:bidi="ar-SA"/>
              </w:rPr>
              <w:t>注：①需提供该人员在比选当月前近3个月内任意一个月的社保证明材料（新成立公司则提供成立至今的社保缴交证明材料）以及相关证书复印件作为凭证；②以上人员不重复计分，同一人员按得分最高项计分。无提供或提供的材料不符合要求的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11"/>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lang w:val="en-US" w:eastAsia="zh-CN"/>
        </w:rPr>
        <w:t>推荐</w:t>
      </w:r>
      <w:r>
        <w:rPr>
          <w:rFonts w:hint="eastAsia" w:ascii="仿宋" w:hAnsi="仿宋" w:eastAsia="仿宋" w:cs="仿宋"/>
          <w:b w:val="0"/>
          <w:bCs/>
          <w:color w:val="auto"/>
          <w:sz w:val="24"/>
          <w:szCs w:val="24"/>
          <w:highlight w:val="none"/>
        </w:rPr>
        <w:t>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w:t>
      </w:r>
      <w:r>
        <w:rPr>
          <w:rFonts w:hint="eastAsia" w:ascii="仿宋" w:hAnsi="仿宋" w:eastAsia="仿宋" w:cs="仿宋"/>
          <w:color w:val="auto"/>
          <w:kern w:val="0"/>
          <w:sz w:val="24"/>
          <w:highlight w:val="none"/>
          <w:lang w:val="en-US" w:eastAsia="zh-CN"/>
        </w:rPr>
        <w:t>推荐前3名</w:t>
      </w:r>
      <w:r>
        <w:rPr>
          <w:rFonts w:hint="eastAsia" w:ascii="仿宋" w:hAnsi="仿宋" w:eastAsia="仿宋" w:cs="仿宋"/>
          <w:color w:val="auto"/>
          <w:kern w:val="0"/>
          <w:sz w:val="24"/>
          <w:highlight w:val="none"/>
        </w:rPr>
        <w:t>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11"/>
        <w:adjustRightInd w:val="0"/>
        <w:snapToGrid w:val="0"/>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（三）定标</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1.定标方法：定标由采购人负责，按照科学、民主决策原则，根据评审结果和采购需求，由院长办公会从成交候选供应商中确定最终成交供应商。</w:t>
      </w:r>
    </w:p>
    <w:p>
      <w:pPr>
        <w:pStyle w:val="11"/>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定标因素：本项目定标因素包括企业实力、企业信誉、</w:t>
      </w:r>
      <w:r>
        <w:rPr>
          <w:rFonts w:hint="eastAsia" w:ascii="仿宋" w:hAnsi="仿宋" w:eastAsia="仿宋" w:cs="仿宋"/>
          <w:color w:val="auto"/>
          <w:sz w:val="24"/>
          <w:szCs w:val="24"/>
          <w:highlight w:val="none"/>
          <w:lang w:val="en-US" w:eastAsia="zh-CN"/>
        </w:rPr>
        <w:t>响应</w:t>
      </w:r>
      <w:r>
        <w:rPr>
          <w:rFonts w:hint="default" w:ascii="仿宋" w:hAnsi="仿宋" w:eastAsia="仿宋" w:cs="仿宋"/>
          <w:color w:val="auto"/>
          <w:sz w:val="24"/>
          <w:szCs w:val="24"/>
          <w:highlight w:val="none"/>
          <w:lang w:val="en-US" w:eastAsia="zh-CN"/>
        </w:rPr>
        <w:t>文件响应情况、</w:t>
      </w:r>
      <w:r>
        <w:rPr>
          <w:rFonts w:hint="eastAsia" w:ascii="仿宋" w:hAnsi="仿宋" w:eastAsia="仿宋" w:cs="仿宋"/>
          <w:color w:val="auto"/>
          <w:sz w:val="24"/>
          <w:szCs w:val="24"/>
          <w:highlight w:val="none"/>
          <w:lang w:val="en-US" w:eastAsia="zh-CN"/>
        </w:rPr>
        <w:t>响应</w:t>
      </w:r>
      <w:r>
        <w:rPr>
          <w:rFonts w:hint="default" w:ascii="仿宋" w:hAnsi="仿宋" w:eastAsia="仿宋" w:cs="仿宋"/>
          <w:color w:val="auto"/>
          <w:sz w:val="24"/>
          <w:szCs w:val="24"/>
          <w:highlight w:val="none"/>
          <w:lang w:val="en-US" w:eastAsia="zh-CN"/>
        </w:rPr>
        <w:t>报价、拟派团队管理能力与水平等多方面因素，结合医院发展需求，择优选择履约能力较强、价格合理的供应商。</w:t>
      </w:r>
    </w:p>
    <w:p>
      <w:pPr>
        <w:pStyle w:val="11"/>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定标时间：在评</w:t>
      </w:r>
      <w:r>
        <w:rPr>
          <w:rFonts w:hint="eastAsia" w:ascii="仿宋" w:hAnsi="仿宋" w:eastAsia="仿宋" w:cs="仿宋"/>
          <w:color w:val="auto"/>
          <w:sz w:val="24"/>
          <w:szCs w:val="24"/>
          <w:highlight w:val="none"/>
          <w:lang w:val="en-US" w:eastAsia="zh-CN"/>
        </w:rPr>
        <w:t>审</w:t>
      </w:r>
      <w:r>
        <w:rPr>
          <w:rFonts w:hint="default" w:ascii="仿宋" w:hAnsi="仿宋" w:eastAsia="仿宋" w:cs="仿宋"/>
          <w:color w:val="auto"/>
          <w:sz w:val="24"/>
          <w:szCs w:val="24"/>
          <w:highlight w:val="none"/>
          <w:lang w:val="en-US" w:eastAsia="zh-CN"/>
        </w:rPr>
        <w:t>报告</w:t>
      </w:r>
      <w:r>
        <w:rPr>
          <w:rFonts w:hint="eastAsia" w:ascii="仿宋" w:hAnsi="仿宋" w:eastAsia="仿宋" w:cs="仿宋"/>
          <w:color w:val="auto"/>
          <w:sz w:val="24"/>
          <w:szCs w:val="24"/>
          <w:highlight w:val="none"/>
          <w:lang w:val="en-US" w:eastAsia="zh-CN"/>
        </w:rPr>
        <w:t>出具后</w:t>
      </w:r>
      <w:r>
        <w:rPr>
          <w:rFonts w:hint="default" w:ascii="仿宋" w:hAnsi="仿宋" w:eastAsia="仿宋" w:cs="仿宋"/>
          <w:color w:val="auto"/>
          <w:sz w:val="24"/>
          <w:szCs w:val="24"/>
          <w:highlight w:val="none"/>
          <w:lang w:val="en-US" w:eastAsia="zh-CN"/>
        </w:rPr>
        <w:t>3周内完成定标工作。</w:t>
      </w:r>
    </w:p>
    <w:p>
      <w:pPr>
        <w:pStyle w:val="11"/>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4.成交候选供应商公示</w:t>
      </w:r>
    </w:p>
    <w:p>
      <w:pPr>
        <w:pStyle w:val="11"/>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采购人应当在决策确定后3个工作日内公示成交候选供应商，公示期不得少于1个工作日。公示应当包括以下内容:</w:t>
      </w:r>
    </w:p>
    <w:p>
      <w:pPr>
        <w:pStyle w:val="11"/>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(1)响应供应商名称、报价；</w:t>
      </w:r>
    </w:p>
    <w:p>
      <w:pPr>
        <w:pStyle w:val="11"/>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(2)成交候选供应商名单；</w:t>
      </w:r>
    </w:p>
    <w:p>
      <w:pPr>
        <w:pStyle w:val="11"/>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(3)确定的成交供应商名单；</w:t>
      </w:r>
    </w:p>
    <w:p>
      <w:pPr>
        <w:pStyle w:val="11"/>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(4)法律、法规和规章规定的其他内容。</w:t>
      </w:r>
    </w:p>
    <w:p>
      <w:pPr>
        <w:pStyle w:val="11"/>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5.成交通知书：</w:t>
      </w:r>
    </w:p>
    <w:p>
      <w:pPr>
        <w:pStyle w:val="11"/>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公示期满无异议或者异议不成立的，采购人确定成交候选供应商为成交供应商，发出成交通知书。成交供应商放弃成交、因不可抗力不能履行合同或者被查实存在影响成交结果的违法行为等情形，采购人可以按照成交候选供应商名单排序依次确定其他成交候选供应商为成交供应商，也可以重新比选。</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11"/>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11"/>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w:t>
      </w:r>
      <w:r>
        <w:rPr>
          <w:rFonts w:hint="eastAsia" w:ascii="仿宋" w:hAnsi="仿宋" w:eastAsia="仿宋" w:cs="仿宋"/>
          <w:strike w:val="0"/>
          <w:dstrike w:val="0"/>
          <w:color w:val="auto"/>
          <w:sz w:val="24"/>
          <w:highlight w:val="none"/>
          <w:lang w:val="en-US" w:eastAsia="zh-CN"/>
        </w:rPr>
        <w:t>响应</w:t>
      </w:r>
      <w:r>
        <w:rPr>
          <w:rFonts w:hint="eastAsia" w:ascii="仿宋" w:hAnsi="仿宋" w:eastAsia="仿宋" w:cs="仿宋"/>
          <w:strike w:val="0"/>
          <w:dstrike w:val="0"/>
          <w:color w:val="auto"/>
          <w:sz w:val="24"/>
          <w:highlight w:val="none"/>
        </w:rPr>
        <w:t>文件、评定标过程的评</w:t>
      </w:r>
      <w:r>
        <w:rPr>
          <w:rFonts w:hint="eastAsia" w:ascii="仿宋" w:hAnsi="仿宋" w:eastAsia="仿宋" w:cs="仿宋"/>
          <w:strike w:val="0"/>
          <w:dstrike w:val="0"/>
          <w:color w:val="auto"/>
          <w:sz w:val="24"/>
          <w:highlight w:val="none"/>
          <w:lang w:eastAsia="zh-CN"/>
        </w:rPr>
        <w:t>审及</w:t>
      </w:r>
      <w:r>
        <w:rPr>
          <w:rFonts w:hint="eastAsia" w:ascii="仿宋" w:hAnsi="仿宋" w:eastAsia="仿宋" w:cs="仿宋"/>
          <w:strike w:val="0"/>
          <w:dstrike w:val="0"/>
          <w:color w:val="auto"/>
          <w:sz w:val="24"/>
          <w:highlight w:val="none"/>
        </w:rPr>
        <w:t>定标结果</w:t>
      </w:r>
      <w:r>
        <w:rPr>
          <w:rFonts w:hint="eastAsia" w:ascii="仿宋" w:hAnsi="仿宋" w:eastAsia="仿宋" w:cs="仿宋"/>
          <w:color w:val="auto"/>
          <w:sz w:val="24"/>
          <w:highlight w:val="none"/>
        </w:rPr>
        <w:t>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11"/>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11"/>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11"/>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11"/>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autoSpaceDE w:val="0"/>
        <w:autoSpaceDN w:val="0"/>
        <w:adjustRightInd w:val="0"/>
        <w:spacing w:before="100" w:beforeAutospacing="1" w:after="100" w:afterAutospacing="1"/>
        <w:ind w:firstLine="5838" w:firstLineChars="1946"/>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合同模板编号</w:t>
      </w:r>
      <w:r>
        <w:rPr>
          <w:rFonts w:hint="eastAsia" w:ascii="Arial" w:hAnsi="Arial" w:eastAsia="黑体"/>
          <w:bCs/>
          <w:color w:val="auto"/>
          <w:sz w:val="30"/>
          <w:szCs w:val="30"/>
          <w:highlight w:val="none"/>
        </w:rPr>
        <w:t>：</w:t>
      </w:r>
    </w:p>
    <w:p>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8"/>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p>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r>
              <w:rPr>
                <w:rFonts w:hint="eastAsia" w:hAnsi="宋体"/>
                <w:b/>
                <w:color w:val="auto"/>
                <w:sz w:val="30"/>
                <w:szCs w:val="30"/>
                <w:highlight w:val="none"/>
              </w:rPr>
              <w:t>采购编号：</w:t>
            </w:r>
          </w:p>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r>
              <w:rPr>
                <w:rFonts w:hint="eastAsia" w:hAnsi="宋体"/>
                <w:b/>
                <w:color w:val="auto"/>
                <w:sz w:val="30"/>
                <w:szCs w:val="30"/>
                <w:highlight w:val="none"/>
              </w:rPr>
              <w:t>项目名称：</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甲方：惠州市第一妇幼保健院</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乙方：</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签订地点：惠州市第一妇幼保健院</w:t>
            </w:r>
          </w:p>
          <w:p>
            <w:pPr>
              <w:keepNext w:val="0"/>
              <w:keepLines w:val="0"/>
              <w:suppressLineNumbers w:val="0"/>
              <w:tabs>
                <w:tab w:val="left" w:pos="720"/>
              </w:tabs>
              <w:spacing w:before="0" w:beforeAutospacing="0" w:after="0" w:afterAutospacing="0" w:line="360" w:lineRule="auto"/>
              <w:ind w:left="0" w:right="0"/>
              <w:rPr>
                <w:rFonts w:hint="default" w:ascii="宋体"/>
                <w:b/>
                <w:color w:val="auto"/>
                <w:sz w:val="30"/>
                <w:szCs w:val="30"/>
                <w:highlight w:val="none"/>
              </w:rPr>
            </w:pPr>
          </w:p>
        </w:tc>
      </w:tr>
    </w:tbl>
    <w:p>
      <w:pPr>
        <w:autoSpaceDE w:val="0"/>
        <w:autoSpaceDN w:val="0"/>
        <w:adjustRightInd w:val="0"/>
        <w:spacing w:before="100" w:beforeAutospacing="1" w:after="100" w:afterAutospacing="1"/>
        <w:jc w:val="center"/>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技术服务合同</w:t>
      </w:r>
    </w:p>
    <w:p>
      <w:pPr>
        <w:spacing w:line="360" w:lineRule="auto"/>
        <w:ind w:right="480"/>
        <w:jc w:val="center"/>
        <w:rPr>
          <w:rFonts w:ascii="宋体"/>
          <w:bCs/>
          <w:color w:val="auto"/>
          <w:sz w:val="24"/>
          <w:highlight w:val="none"/>
        </w:rPr>
      </w:pPr>
    </w:p>
    <w:p>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pPr>
        <w:spacing w:line="360" w:lineRule="auto"/>
        <w:jc w:val="center"/>
        <w:rPr>
          <w:rFonts w:ascii="宋体"/>
          <w:b/>
          <w:color w:val="auto"/>
          <w:sz w:val="44"/>
          <w:szCs w:val="44"/>
          <w:highlight w:val="none"/>
        </w:rPr>
      </w:pPr>
    </w:p>
    <w:p>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22"/>
        <w:numPr>
          <w:ilvl w:val="0"/>
          <w:numId w:val="7"/>
        </w:numPr>
        <w:tabs>
          <w:tab w:val="left" w:pos="960"/>
        </w:tabs>
        <w:spacing w:line="360" w:lineRule="auto"/>
        <w:ind w:firstLine="482"/>
        <w:rPr>
          <w:rFonts w:ascii="宋体" w:hAnsi="宋体"/>
          <w:b/>
          <w:color w:val="auto"/>
          <w:sz w:val="24"/>
          <w:highlight w:val="none"/>
        </w:rPr>
      </w:pPr>
      <w:r>
        <w:rPr>
          <w:rFonts w:hint="eastAsia" w:ascii="宋体" w:hAnsi="宋体"/>
          <w:b/>
          <w:color w:val="auto"/>
          <w:sz w:val="24"/>
          <w:highlight w:val="none"/>
        </w:rPr>
        <w:t>服务内容</w:t>
      </w:r>
    </w:p>
    <w:p>
      <w:pPr>
        <w:pStyle w:val="22"/>
        <w:tabs>
          <w:tab w:val="left" w:pos="960"/>
        </w:tabs>
        <w:spacing w:line="360" w:lineRule="auto"/>
        <w:ind w:firstLine="481" w:firstLineChars="0"/>
        <w:rPr>
          <w:rFonts w:ascii="宋体" w:hAnsi="宋体"/>
          <w:color w:val="auto"/>
          <w:sz w:val="24"/>
          <w:highlight w:val="none"/>
        </w:rPr>
      </w:pPr>
      <w:r>
        <w:rPr>
          <w:rFonts w:hint="eastAsia" w:ascii="宋体" w:hAnsi="宋体"/>
          <w:color w:val="auto"/>
          <w:sz w:val="24"/>
          <w:highlight w:val="none"/>
        </w:rPr>
        <w:t>本合同甲方委托乙方就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项目进行的专项技术服务，并支付相应的技术服务报酬。</w:t>
      </w:r>
    </w:p>
    <w:p>
      <w:pPr>
        <w:pStyle w:val="22"/>
        <w:tabs>
          <w:tab w:val="left" w:pos="960"/>
        </w:tabs>
        <w:spacing w:line="360" w:lineRule="auto"/>
        <w:ind w:firstLine="480"/>
        <w:rPr>
          <w:rFonts w:ascii="宋体" w:hAnsi="宋体"/>
          <w:color w:val="auto"/>
          <w:sz w:val="24"/>
          <w:highlight w:val="none"/>
        </w:rPr>
      </w:pPr>
      <w:r>
        <w:rPr>
          <w:rFonts w:hint="eastAsia" w:ascii="宋体" w:hAnsi="宋体"/>
          <w:color w:val="auto"/>
          <w:sz w:val="24"/>
          <w:highlight w:val="none"/>
        </w:rPr>
        <w:t>1.技术服务的目标：维护</w:t>
      </w:r>
    </w:p>
    <w:p>
      <w:pPr>
        <w:pStyle w:val="22"/>
        <w:tabs>
          <w:tab w:val="left" w:pos="960"/>
        </w:tabs>
        <w:spacing w:line="360" w:lineRule="auto"/>
        <w:ind w:firstLine="480"/>
        <w:rPr>
          <w:rFonts w:ascii="宋体" w:hAnsi="宋体"/>
          <w:color w:val="auto"/>
          <w:sz w:val="24"/>
          <w:highlight w:val="none"/>
          <w:u w:val="single"/>
        </w:rPr>
      </w:pPr>
      <w:r>
        <w:rPr>
          <w:rFonts w:hint="eastAsia" w:ascii="宋体" w:hAnsi="宋体"/>
          <w:color w:val="auto"/>
          <w:sz w:val="24"/>
          <w:highlight w:val="none"/>
        </w:rPr>
        <w:t>2.技术服务的内容：</w:t>
      </w:r>
      <w:r>
        <w:rPr>
          <w:rFonts w:hint="eastAsia" w:ascii="宋体" w:hAnsi="宋体"/>
          <w:color w:val="auto"/>
          <w:sz w:val="24"/>
          <w:highlight w:val="none"/>
          <w:u w:val="single"/>
        </w:rPr>
        <w:t>乙方为甲方提供一般技术支持、系统正常运行的维护、系统更新。</w:t>
      </w:r>
    </w:p>
    <w:p>
      <w:pPr>
        <w:pStyle w:val="22"/>
        <w:tabs>
          <w:tab w:val="left" w:pos="960"/>
        </w:tabs>
        <w:spacing w:line="360" w:lineRule="auto"/>
        <w:ind w:firstLine="480"/>
        <w:rPr>
          <w:rFonts w:ascii="宋体" w:hAnsi="宋体"/>
          <w:color w:val="auto"/>
          <w:sz w:val="24"/>
          <w:highlight w:val="none"/>
          <w:u w:val="single"/>
        </w:rPr>
      </w:pPr>
      <w:r>
        <w:rPr>
          <w:rFonts w:hint="eastAsia" w:ascii="宋体" w:hAnsi="宋体"/>
          <w:color w:val="auto"/>
          <w:sz w:val="24"/>
          <w:highlight w:val="none"/>
        </w:rPr>
        <w:t>3.技术服务的方式：</w:t>
      </w:r>
      <w:r>
        <w:rPr>
          <w:rFonts w:hint="eastAsia" w:ascii="宋体" w:hAnsi="宋体"/>
          <w:color w:val="auto"/>
          <w:sz w:val="24"/>
          <w:highlight w:val="none"/>
          <w:u w:val="single"/>
        </w:rPr>
        <w:t>乙方为甲方提供的服务方式包括远程服务、电话服务和上门服务三种服务方式，7x24小时、半个小时内响应，远程和电话均不能解决时，4个小时内到达现场，6小时内提供解决方案及相应的补救措施，24个小时内解除一般性故障。</w:t>
      </w:r>
    </w:p>
    <w:p>
      <w:pPr>
        <w:pStyle w:val="22"/>
        <w:tabs>
          <w:tab w:val="left" w:pos="960"/>
        </w:tabs>
        <w:spacing w:line="360" w:lineRule="auto"/>
        <w:ind w:firstLine="480"/>
        <w:rPr>
          <w:rFonts w:ascii="宋体" w:hAnsi="宋体"/>
          <w:color w:val="auto"/>
          <w:sz w:val="24"/>
          <w:highlight w:val="none"/>
        </w:rPr>
      </w:pPr>
      <w:r>
        <w:rPr>
          <w:rFonts w:hint="eastAsia" w:ascii="宋体" w:hAnsi="宋体"/>
          <w:color w:val="auto"/>
          <w:sz w:val="24"/>
          <w:highlight w:val="none"/>
        </w:rPr>
        <w:t>4.非售后服务内容：由甲乙双方另行协商约定。</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Ansi="宋体" w:cs="宋体"/>
          <w:color w:val="auto"/>
          <w:kern w:val="0"/>
          <w:sz w:val="24"/>
          <w:szCs w:val="21"/>
          <w:highlight w:val="none"/>
        </w:rPr>
      </w:pPr>
      <w:r>
        <w:rPr>
          <w:rFonts w:hint="eastAsia" w:hAnsi="宋体"/>
          <w:color w:val="auto"/>
          <w:sz w:val="24"/>
          <w:highlight w:val="none"/>
        </w:rPr>
        <w:t>合同金额为：（大写）</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元整；（小写）¥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szCs w:val="21"/>
          <w:highlight w:val="none"/>
          <w:u w:val="single"/>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rPr>
        <w:t>。</w:t>
      </w:r>
    </w:p>
    <w:p>
      <w:pPr>
        <w:spacing w:line="360" w:lineRule="auto"/>
        <w:ind w:firstLine="480" w:firstLineChars="200"/>
        <w:rPr>
          <w:rFonts w:hAnsi="宋体"/>
          <w:color w:val="auto"/>
          <w:sz w:val="24"/>
          <w:highlight w:val="none"/>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三、服务要求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1．技术服务质量要求：</w:t>
      </w:r>
      <w:r>
        <w:rPr>
          <w:rFonts w:hint="eastAsia" w:ascii="宋体" w:hAnsi="宋体"/>
          <w:color w:val="auto"/>
          <w:sz w:val="24"/>
          <w:highlight w:val="none"/>
          <w:u w:val="single"/>
        </w:rPr>
        <w:t>在维护期间，将为甲方设立技术档案，用于记录系统维护、升级、应用等状况。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2．技术服务质量期限要求：</w:t>
      </w:r>
      <w:r>
        <w:rPr>
          <w:rFonts w:hint="eastAsia" w:ascii="宋体" w:hAnsi="宋体"/>
          <w:color w:val="auto"/>
          <w:sz w:val="24"/>
          <w:highlight w:val="none"/>
          <w:u w:val="single"/>
        </w:rPr>
        <w:t>半个小时内响应，4个小时内到达现场，6小时内提供解决方案及相应的补救措施，24个小时内解除一般性故障。</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3.为保证乙方有效进行技术服务工作，甲方提供上述工作条件和协作事项的时间及方式：</w:t>
      </w:r>
      <w:r>
        <w:rPr>
          <w:rFonts w:hint="eastAsia" w:ascii="宋体" w:hAnsi="宋体"/>
          <w:color w:val="auto"/>
          <w:sz w:val="24"/>
          <w:highlight w:val="none"/>
          <w:u w:val="single"/>
        </w:rPr>
        <w:t xml:space="preserve">在乙方入场实施项目前一至三天。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4.乙方应当保证给甲方的本项目技术服务是乙方本项目软件产品最成熟、稳定的维护服务。</w:t>
      </w:r>
    </w:p>
    <w:p>
      <w:pPr>
        <w:spacing w:line="460" w:lineRule="exact"/>
        <w:ind w:firstLine="480" w:firstLineChars="200"/>
        <w:rPr>
          <w:rFonts w:ascii="宋体" w:hAnsi="宋体"/>
          <w:b/>
          <w:color w:val="auto"/>
          <w:sz w:val="24"/>
          <w:highlight w:val="none"/>
        </w:rPr>
      </w:pPr>
      <w:r>
        <w:rPr>
          <w:rFonts w:hint="eastAsia" w:ascii="宋体" w:hAnsi="宋体"/>
          <w:color w:val="auto"/>
          <w:sz w:val="24"/>
          <w:highlight w:val="none"/>
        </w:rPr>
        <w:t>5.因履行本合同双方合作互用对方原有技术成果或提出新的构想方案所产生新的研究开发成果及其相关知识产权权利归双方共同所有，任何一方如申请专有权利必须经对方同意，甲方不得将开发成果复制销售给其他第三方使用。</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四、服务期限和服务地点</w:t>
      </w:r>
    </w:p>
    <w:p>
      <w:pPr>
        <w:spacing w:line="4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1.服务期限：</w:t>
      </w:r>
      <w:r>
        <w:rPr>
          <w:rFonts w:hint="eastAsia" w:ascii="宋体" w:hAnsi="宋体"/>
          <w:color w:val="auto"/>
          <w:sz w:val="24"/>
          <w:highlight w:val="none"/>
          <w:u w:val="single"/>
        </w:rPr>
        <w:t>合同签订之日起30天内完成各项配置，验收确认后服务期两年。</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2.地点：惠州市第一妇幼保健院指定地点</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五、付款方式</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1.（支付工作安排以用户需求书为准。）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2.支付方式采用银行转账支付。</w:t>
      </w:r>
    </w:p>
    <w:p>
      <w:pPr>
        <w:pStyle w:val="7"/>
        <w:ind w:firstLine="480" w:firstLineChars="200"/>
        <w:rPr>
          <w:rFonts w:ascii="宋体" w:hAnsi="宋体"/>
          <w:color w:val="auto"/>
          <w:sz w:val="24"/>
          <w:highlight w:val="none"/>
        </w:rPr>
      </w:pPr>
      <w:r>
        <w:rPr>
          <w:rFonts w:hint="eastAsia" w:ascii="宋体" w:hAnsi="宋体"/>
          <w:color w:val="auto"/>
          <w:sz w:val="24"/>
          <w:highlight w:val="none"/>
        </w:rPr>
        <w:t>乙方账户信息如下：</w:t>
      </w:r>
    </w:p>
    <w:p>
      <w:pPr>
        <w:pStyle w:val="7"/>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pStyle w:val="7"/>
        <w:ind w:firstLine="480" w:firstLineChars="200"/>
        <w:rPr>
          <w:rFonts w:ascii="宋体" w:hAnsi="宋体"/>
          <w:color w:val="auto"/>
          <w:sz w:val="24"/>
          <w:highlight w:val="none"/>
        </w:rPr>
      </w:pPr>
      <w:r>
        <w:rPr>
          <w:rFonts w:hint="eastAsia" w:ascii="宋体" w:hAnsi="宋体"/>
          <w:color w:val="auto"/>
          <w:sz w:val="24"/>
          <w:highlight w:val="none"/>
        </w:rPr>
        <w:t>账户名称：</w:t>
      </w:r>
      <w:r>
        <w:rPr>
          <w:rFonts w:hint="eastAsia" w:ascii="宋体" w:hAnsi="宋体"/>
          <w:color w:val="auto"/>
          <w:sz w:val="24"/>
          <w:highlight w:val="none"/>
          <w:u w:val="single"/>
        </w:rPr>
        <w:t xml:space="preserve">                                        </w:t>
      </w:r>
    </w:p>
    <w:p>
      <w:pPr>
        <w:pStyle w:val="7"/>
        <w:ind w:firstLine="480" w:firstLineChars="200"/>
        <w:rPr>
          <w:rFonts w:ascii="宋体" w:hAnsi="宋体"/>
          <w:color w:val="auto"/>
          <w:sz w:val="24"/>
          <w:highlight w:val="none"/>
        </w:rPr>
      </w:pPr>
      <w:r>
        <w:rPr>
          <w:rFonts w:hint="eastAsia" w:ascii="宋体" w:hAnsi="宋体"/>
          <w:color w:val="auto"/>
          <w:sz w:val="24"/>
          <w:highlight w:val="none"/>
        </w:rPr>
        <w:t>银行账户：</w:t>
      </w:r>
      <w:r>
        <w:rPr>
          <w:rFonts w:hint="eastAsia" w:ascii="宋体" w:hAnsi="宋体"/>
          <w:color w:val="auto"/>
          <w:sz w:val="24"/>
          <w:highlight w:val="none"/>
          <w:u w:val="single"/>
        </w:rPr>
        <w:t xml:space="preserve">                                        </w:t>
      </w:r>
    </w:p>
    <w:p>
      <w:pPr>
        <w:pStyle w:val="7"/>
        <w:ind w:firstLine="480" w:firstLineChars="200"/>
        <w:rPr>
          <w:rFonts w:ascii="宋体" w:hAnsi="宋体"/>
          <w:color w:val="auto"/>
          <w:sz w:val="24"/>
          <w:highlight w:val="none"/>
        </w:rPr>
      </w:pPr>
      <w:r>
        <w:rPr>
          <w:rFonts w:hint="eastAsia" w:ascii="宋体" w:hAnsi="宋体"/>
          <w:color w:val="auto"/>
          <w:sz w:val="24"/>
          <w:highlight w:val="none"/>
        </w:rPr>
        <w:t>税号：</w:t>
      </w:r>
      <w:r>
        <w:rPr>
          <w:rFonts w:hint="eastAsia" w:ascii="宋体" w:hAnsi="宋体"/>
          <w:color w:val="auto"/>
          <w:sz w:val="24"/>
          <w:highlight w:val="none"/>
          <w:u w:val="single"/>
        </w:rPr>
        <w:t xml:space="preserve">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3.乙方必须向甲方出具合法有效完整的完税发票及凭证进行支付结算。</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六、质保期及售后服务</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1.质保期自验收合格次日起保修期为</w:t>
      </w:r>
      <w:r>
        <w:rPr>
          <w:rFonts w:hint="eastAsia" w:ascii="宋体" w:hAnsi="宋体"/>
          <w:color w:val="auto"/>
          <w:sz w:val="24"/>
          <w:highlight w:val="none"/>
          <w:lang w:val="en-US" w:eastAsia="zh-CN"/>
        </w:rPr>
        <w:t>2年</w:t>
      </w:r>
      <w:r>
        <w:rPr>
          <w:rFonts w:hint="eastAsia" w:ascii="宋体" w:hAnsi="宋体"/>
          <w:color w:val="auto"/>
          <w:sz w:val="24"/>
          <w:highlight w:val="none"/>
        </w:rPr>
        <w:t>。</w:t>
      </w:r>
    </w:p>
    <w:p>
      <w:pPr>
        <w:spacing w:line="460" w:lineRule="exact"/>
        <w:ind w:firstLine="480" w:firstLineChars="200"/>
        <w:rPr>
          <w:rFonts w:ascii="宋体" w:hAnsi="宋体"/>
          <w:b/>
          <w:bCs/>
          <w:color w:val="auto"/>
          <w:sz w:val="24"/>
          <w:highlight w:val="none"/>
        </w:rPr>
      </w:pPr>
      <w:r>
        <w:rPr>
          <w:rFonts w:hint="eastAsia" w:ascii="宋体" w:hAnsi="宋体"/>
          <w:color w:val="auto"/>
          <w:sz w:val="24"/>
          <w:highlight w:val="none"/>
        </w:rPr>
        <w:t>2.</w:t>
      </w:r>
      <w:r>
        <w:rPr>
          <w:rFonts w:hint="eastAsia" w:ascii="宋体" w:hAnsi="宋体"/>
          <w:color w:val="auto"/>
          <w:sz w:val="24"/>
          <w:highlight w:val="none"/>
        </w:rPr>
        <w:t>售后服务</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七、验收</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双方确定以下列标准和方式对乙方的技术服务工作成果进行验收：</w:t>
      </w:r>
    </w:p>
    <w:p>
      <w:pPr>
        <w:pStyle w:val="23"/>
        <w:spacing w:line="360" w:lineRule="auto"/>
        <w:ind w:left="479" w:leftChars="228" w:firstLine="64" w:firstLineChars="27"/>
        <w:rPr>
          <w:rFonts w:hint="eastAsia" w:ascii="宋体" w:hAnsi="宋体" w:eastAsia="宋体"/>
          <w:color w:val="auto"/>
          <w:sz w:val="24"/>
          <w:highlight w:val="none"/>
          <w:lang w:eastAsia="zh-CN"/>
        </w:rPr>
      </w:pPr>
      <w:r>
        <w:rPr>
          <w:rFonts w:hint="eastAsia" w:ascii="宋体" w:hAnsi="宋体"/>
          <w:color w:val="auto"/>
          <w:sz w:val="24"/>
          <w:highlight w:val="none"/>
        </w:rPr>
        <w:t>1.验收标准：</w:t>
      </w:r>
      <w:bookmarkStart w:id="4" w:name="OLE_LINK6"/>
      <w:r>
        <w:rPr>
          <w:rFonts w:hint="eastAsia" w:ascii="宋体" w:hAnsi="宋体"/>
          <w:color w:val="auto"/>
          <w:sz w:val="24"/>
          <w:highlight w:val="none"/>
        </w:rPr>
        <w:t>验收</w:t>
      </w:r>
      <w:bookmarkEnd w:id="4"/>
      <w:r>
        <w:rPr>
          <w:rFonts w:hint="eastAsia" w:ascii="宋体" w:hAnsi="宋体"/>
          <w:color w:val="auto"/>
          <w:sz w:val="24"/>
          <w:highlight w:val="none"/>
        </w:rPr>
        <w:t>的主要依据包括本项目的采购文件、响应文件、合同等</w:t>
      </w:r>
      <w:r>
        <w:rPr>
          <w:rFonts w:hint="eastAsia" w:ascii="宋体" w:hAnsi="宋体"/>
          <w:color w:val="auto"/>
          <w:sz w:val="24"/>
          <w:highlight w:val="none"/>
          <w:lang w:eastAsia="zh-CN"/>
        </w:rPr>
        <w:t>，</w:t>
      </w:r>
      <w:r>
        <w:rPr>
          <w:rFonts w:hint="eastAsia" w:ascii="宋体" w:hAnsi="宋体" w:eastAsia="宋体" w:cs="Times New Roman"/>
          <w:color w:val="auto"/>
          <w:sz w:val="24"/>
          <w:highlight w:val="none"/>
          <w:lang w:val="en-US" w:eastAsia="zh-CN"/>
        </w:rPr>
        <w:t>包括：系统实施完成情况截图、实施方案、培训方案、培训记录、应急方案、今后服务方案等</w:t>
      </w:r>
      <w:r>
        <w:rPr>
          <w:rFonts w:hint="eastAsia" w:ascii="宋体" w:hAnsi="宋体" w:eastAsia="宋体" w:cs="Times New Roman"/>
          <w:color w:val="auto"/>
          <w:sz w:val="24"/>
          <w:highlight w:val="none"/>
          <w:lang w:val="zh-CN" w:eastAsia="zh-CN"/>
        </w:rPr>
        <w:t>。</w:t>
      </w:r>
    </w:p>
    <w:p>
      <w:pPr>
        <w:pStyle w:val="23"/>
        <w:spacing w:line="360" w:lineRule="auto"/>
        <w:ind w:firstLine="480"/>
        <w:rPr>
          <w:rFonts w:hint="eastAsia" w:ascii="宋体" w:hAnsi="宋体"/>
          <w:color w:val="auto"/>
          <w:sz w:val="24"/>
          <w:highlight w:val="none"/>
        </w:rPr>
      </w:pPr>
      <w:r>
        <w:rPr>
          <w:rFonts w:hint="eastAsia" w:ascii="宋体" w:hAnsi="宋体"/>
          <w:color w:val="auto"/>
          <w:sz w:val="24"/>
          <w:highlight w:val="none"/>
        </w:rPr>
        <w:t>2.总体验收：供应商须为验收提供必需的一切条件及相关费用，服务期届满后，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pPr>
        <w:pStyle w:val="23"/>
        <w:spacing w:line="360" w:lineRule="auto"/>
        <w:ind w:firstLine="480"/>
        <w:rPr>
          <w:rFonts w:hint="eastAsia" w:ascii="宋体" w:hAnsi="宋体"/>
          <w:color w:val="auto"/>
          <w:sz w:val="24"/>
          <w:highlight w:val="none"/>
        </w:rPr>
      </w:pPr>
      <w:r>
        <w:rPr>
          <w:rFonts w:hint="eastAsia" w:ascii="宋体" w:hAnsi="宋体"/>
          <w:color w:val="auto"/>
          <w:sz w:val="24"/>
          <w:highlight w:val="none"/>
        </w:rPr>
        <w:t>3.在采购人的监督下，服务过程中的各项工作和文档，须达到采购文件中技术要求的标准。</w:t>
      </w:r>
    </w:p>
    <w:p>
      <w:pPr>
        <w:pStyle w:val="23"/>
        <w:spacing w:line="360" w:lineRule="auto"/>
        <w:ind w:firstLine="480"/>
        <w:rPr>
          <w:rFonts w:ascii="宋体" w:hAnsi="宋体"/>
          <w:color w:val="auto"/>
          <w:sz w:val="24"/>
          <w:highlight w:val="none"/>
        </w:rPr>
      </w:pPr>
      <w:r>
        <w:rPr>
          <w:rFonts w:hint="eastAsia" w:ascii="宋体" w:hAnsi="宋体"/>
          <w:color w:val="auto"/>
          <w:sz w:val="24"/>
          <w:highlight w:val="none"/>
        </w:rPr>
        <w:t>4.验收的时间：</w:t>
      </w:r>
      <w:r>
        <w:rPr>
          <w:rFonts w:hint="eastAsia" w:ascii="宋体" w:hAnsi="宋体"/>
          <w:color w:val="auto"/>
          <w:sz w:val="24"/>
          <w:highlight w:val="none"/>
          <w:u w:val="single"/>
        </w:rPr>
        <w:t>完成各项配置</w:t>
      </w:r>
      <w:r>
        <w:rPr>
          <w:rFonts w:hint="eastAsia" w:ascii="宋体" w:hAnsi="宋体"/>
          <w:color w:val="auto"/>
          <w:sz w:val="24"/>
          <w:highlight w:val="none"/>
          <w:u w:val="single"/>
          <w:lang w:val="en-US" w:eastAsia="zh-CN"/>
        </w:rPr>
        <w:t>后，</w:t>
      </w:r>
      <w:r>
        <w:rPr>
          <w:rFonts w:hint="eastAsia" w:ascii="宋体" w:hAnsi="宋体"/>
          <w:color w:val="auto"/>
          <w:sz w:val="24"/>
          <w:highlight w:val="none"/>
        </w:rPr>
        <w:t>乙方</w:t>
      </w:r>
      <w:r>
        <w:rPr>
          <w:rFonts w:hint="eastAsia" w:ascii="宋体" w:hAnsi="宋体"/>
          <w:color w:val="auto"/>
          <w:sz w:val="24"/>
          <w:highlight w:val="none"/>
          <w:lang w:val="en-US" w:eastAsia="zh-CN"/>
        </w:rPr>
        <w:t>提交验收申请，</w:t>
      </w:r>
      <w:r>
        <w:rPr>
          <w:rFonts w:hint="eastAsia" w:ascii="宋体" w:hAnsi="宋体"/>
          <w:color w:val="auto"/>
          <w:sz w:val="24"/>
          <w:highlight w:val="none"/>
        </w:rPr>
        <w:t>甲方</w:t>
      </w:r>
      <w:r>
        <w:rPr>
          <w:rFonts w:hint="eastAsia" w:ascii="宋体" w:hAnsi="宋体"/>
          <w:color w:val="auto"/>
          <w:sz w:val="24"/>
          <w:highlight w:val="none"/>
          <w:lang w:val="en-US" w:eastAsia="zh-CN"/>
        </w:rPr>
        <w:t>在5个工作日内组织</w:t>
      </w:r>
      <w:r>
        <w:rPr>
          <w:rFonts w:hint="eastAsia" w:ascii="宋体" w:hAnsi="宋体"/>
          <w:color w:val="auto"/>
          <w:sz w:val="24"/>
          <w:highlight w:val="none"/>
          <w:u w:val="single"/>
        </w:rPr>
        <w:t>验收</w:t>
      </w:r>
      <w:r>
        <w:rPr>
          <w:rFonts w:hint="eastAsia" w:ascii="宋体" w:hAnsi="宋体"/>
          <w:color w:val="auto"/>
          <w:sz w:val="24"/>
          <w:highlight w:val="none"/>
          <w:u w:val="single"/>
          <w:lang w:eastAsia="zh-CN"/>
        </w:rPr>
        <w:t>。</w:t>
      </w:r>
    </w:p>
    <w:p>
      <w:pPr>
        <w:pStyle w:val="23"/>
        <w:spacing w:line="360" w:lineRule="auto"/>
        <w:ind w:firstLine="480"/>
        <w:rPr>
          <w:rFonts w:ascii="宋体" w:hAnsi="宋体"/>
          <w:b/>
          <w:bCs/>
          <w:color w:val="auto"/>
          <w:sz w:val="24"/>
          <w:highlight w:val="none"/>
        </w:rPr>
      </w:pPr>
      <w:r>
        <w:rPr>
          <w:rFonts w:hint="eastAsia" w:ascii="宋体" w:hAnsi="宋体"/>
          <w:color w:val="auto"/>
          <w:sz w:val="24"/>
          <w:highlight w:val="none"/>
        </w:rPr>
        <w:t>5.验收地点：惠州市第一妇幼保健院。</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八、</w:t>
      </w:r>
      <w:r>
        <w:rPr>
          <w:rFonts w:hint="eastAsia" w:ascii="宋体" w:hAnsi="宋体"/>
          <w:b/>
          <w:color w:val="auto"/>
          <w:sz w:val="24"/>
          <w:highlight w:val="none"/>
        </w:rPr>
        <w:t>违约责任与赔偿损失</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3.乙方交付的货物、工程、提供的服务不符合采购文件、报价文件或本合同规定的，甲方有权拒收，并且乙方须向甲方支付本合同金额5%的违约金。</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3.甲方无正当理由拒收货物、接受服务，到期拒付货物、工程、提供服务款项的，甲方向乙方偿付本合同金额的5%的违约金。甲方逾期付款，则每日按本合同金额的3‰向乙方偿付违约金。</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九、争议的解决</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1.本合同的变更必须由双方协商一致，并以书面形式确定。但有下列情形之一的，一方可以向另一方提出变更合同权利与义务的请求，另一方应当在</w:t>
      </w:r>
      <w:r>
        <w:rPr>
          <w:rFonts w:hint="eastAsia" w:ascii="宋体" w:hAnsi="宋体"/>
          <w:color w:val="auto"/>
          <w:sz w:val="24"/>
          <w:highlight w:val="none"/>
          <w:u w:val="single"/>
        </w:rPr>
        <w:t xml:space="preserve"> 15 </w:t>
      </w:r>
      <w:r>
        <w:rPr>
          <w:rFonts w:hint="eastAsia" w:ascii="宋体" w:hAnsi="宋体"/>
          <w:color w:val="auto"/>
          <w:sz w:val="24"/>
          <w:highlight w:val="none"/>
        </w:rPr>
        <w:t>日内予以答复；逾期未予答复的，视为同意：</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（1）发生不可抗力；</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（2）一方进入破产、解散、被依法关闭、撤销或已进入清算阶段；</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（3）一方财务状况严重恶化，不能支付到期债务；</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（4）出现了本合同规定的或法定的解除事由。</w:t>
      </w:r>
    </w:p>
    <w:p>
      <w:pPr>
        <w:tabs>
          <w:tab w:val="left" w:pos="824"/>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ascii="宋体" w:hAnsi="宋体"/>
          <w:color w:val="auto"/>
          <w:sz w:val="24"/>
          <w:highlight w:val="none"/>
        </w:rPr>
        <w:t>。</w:t>
      </w:r>
    </w:p>
    <w:p>
      <w:pPr>
        <w:tabs>
          <w:tab w:val="left" w:pos="824"/>
        </w:tabs>
        <w:spacing w:line="460" w:lineRule="exact"/>
        <w:ind w:firstLine="482" w:firstLineChars="200"/>
        <w:rPr>
          <w:color w:val="auto"/>
          <w:highlight w:val="none"/>
        </w:rPr>
      </w:pPr>
      <w:r>
        <w:rPr>
          <w:rFonts w:hint="eastAsia" w:ascii="宋体" w:hAnsi="宋体"/>
          <w:b/>
          <w:bCs/>
          <w:color w:val="auto"/>
          <w:sz w:val="24"/>
          <w:highlight w:val="none"/>
        </w:rPr>
        <w:t>十、保密条款</w:t>
      </w:r>
    </w:p>
    <w:p>
      <w:pPr>
        <w:tabs>
          <w:tab w:val="left" w:pos="824"/>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未经对方书面许可，任何一方不得向第三方提供或披露因本合同的签订和履行而得知的与对方业务有关的资料和信息，法律另有规定或本合同另有约定的除外。</w:t>
      </w:r>
    </w:p>
    <w:p>
      <w:pPr>
        <w:tabs>
          <w:tab w:val="left" w:pos="824"/>
        </w:tabs>
        <w:spacing w:line="460" w:lineRule="exact"/>
        <w:ind w:firstLine="482" w:firstLineChars="200"/>
        <w:rPr>
          <w:rFonts w:ascii="宋体" w:hAnsi="宋体"/>
          <w:b/>
          <w:color w:val="auto"/>
          <w:sz w:val="24"/>
          <w:highlight w:val="none"/>
        </w:rPr>
      </w:pPr>
      <w:r>
        <w:rPr>
          <w:rFonts w:hint="eastAsia" w:ascii="宋体" w:hAnsi="宋体"/>
          <w:b/>
          <w:bCs/>
          <w:color w:val="auto"/>
          <w:sz w:val="24"/>
          <w:highlight w:val="none"/>
        </w:rPr>
        <w:t>十一、</w:t>
      </w:r>
      <w:r>
        <w:rPr>
          <w:rFonts w:hint="eastAsia" w:ascii="宋体" w:hAnsi="宋体"/>
          <w:b/>
          <w:color w:val="auto"/>
          <w:sz w:val="24"/>
          <w:highlight w:val="none"/>
        </w:rPr>
        <w:t>不可抗力</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1.由于不可预见、不可避免、不可克服等不可抗力的原因，一方不能履行合同义务的，应当在不可抗力发生之日起</w:t>
      </w:r>
      <w:r>
        <w:rPr>
          <w:rFonts w:ascii="宋体" w:hAnsi="宋体"/>
          <w:color w:val="auto"/>
          <w:sz w:val="24"/>
          <w:highlight w:val="none"/>
          <w:u w:val="single"/>
        </w:rPr>
        <w:t xml:space="preserve">     </w:t>
      </w:r>
      <w:r>
        <w:rPr>
          <w:rFonts w:ascii="宋体" w:hAnsi="宋体"/>
          <w:color w:val="auto"/>
          <w:sz w:val="24"/>
          <w:highlight w:val="none"/>
        </w:rPr>
        <w:t>天内以书面形式通知对方，证明不可抗力事件的存在。</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2.不可抗力事件发生后，甲方和乙方应当积极寻求以合理的方式履行本合同。如不可抗力无法消除，致使合同目的无法实现的</w:t>
      </w:r>
      <w:r>
        <w:rPr>
          <w:rFonts w:hint="eastAsia" w:ascii="宋体" w:hAnsi="宋体"/>
          <w:color w:val="auto"/>
          <w:sz w:val="24"/>
          <w:highlight w:val="none"/>
        </w:rPr>
        <w:t>，允许延期履行或修订合同，并根据情况可部分或全部免于承担违约责任。</w:t>
      </w:r>
      <w:r>
        <w:rPr>
          <w:rFonts w:ascii="宋体" w:hAnsi="宋体"/>
          <w:color w:val="auto"/>
          <w:sz w:val="24"/>
          <w:highlight w:val="none"/>
        </w:rPr>
        <w:t>双方均有权解除合同，且均不互相索赔。</w:t>
      </w:r>
    </w:p>
    <w:p>
      <w:pPr>
        <w:tabs>
          <w:tab w:val="left" w:pos="824"/>
        </w:tabs>
        <w:spacing w:line="460" w:lineRule="exact"/>
        <w:ind w:firstLine="480" w:firstLineChars="200"/>
        <w:rPr>
          <w:color w:val="auto"/>
          <w:highlight w:val="none"/>
        </w:rPr>
      </w:pPr>
      <w:r>
        <w:rPr>
          <w:rFonts w:hint="eastAsia" w:ascii="宋体" w:hAnsi="宋体"/>
          <w:color w:val="auto"/>
          <w:sz w:val="24"/>
          <w:highlight w:val="none"/>
        </w:rPr>
        <w:t xml:space="preserve">3.除不可抗力事件，任何一方不得违反本合同条款。 </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十二、税费</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rPr>
        <w:t>1.本合同所有附件、采购文件、投标文件、中标通知书通知书均为合同的有效组成部分，与本合同具有同等法律效力，乙方除按本合同约定的履行合同义务外，还应按其提供的投标文件中的承诺履行相关义务。</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3.如一方地址、电话、传真号码有变更，应在变更当日内书面通知对方，否则，应承担相应责任。</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4.除甲方事先书面同意外，乙方不得部分或全部转让其应履行的合同项下的义务。</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5.本合同及相关附件中所涉及的有关名词和技术术语，其定义和解释如下：</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（1）软件系统、项目等词除另有指明外，均指本合同项下由甲方出资，乙方承建的“年度维护服务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商业秘密：是指甲方、乙方双方各自所拥有的，不为公众所知的管理信息、方式、方法、顾客名单、数据、产品信息、销售渠道、技术诀窍、计算机文档和技术资料等，或由甲方、乙方双方在履行本合同过程中明确指明为商业秘密的、法律所认可的任何信息。</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（3）工作日：是指国家所规定的节假日之外的所有工作日，未指明为工作日的日期指自然顺延的日期。</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（4）规格：是指在技术或其它开发任务上所设定的关于硬件和软件的技术标准、规范。</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十四、廉洁自律及其他条款</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甲乙双方应自觉遵守廉洁自律制度，严禁商业贿赂行为。如有违反，按照国家法律法规及医院规章制度进行处理。</w:t>
      </w:r>
    </w:p>
    <w:p>
      <w:pPr>
        <w:numPr>
          <w:ilvl w:val="0"/>
          <w:numId w:val="8"/>
        </w:num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双方联系人</w:t>
      </w:r>
    </w:p>
    <w:p>
      <w:pPr>
        <w:spacing w:line="460" w:lineRule="exact"/>
        <w:ind w:firstLine="480" w:firstLineChars="20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为甲方项目联系人，乙方指定</w:t>
      </w:r>
      <w:r>
        <w:rPr>
          <w:rFonts w:ascii="宋体" w:hAnsi="宋体"/>
          <w:color w:val="auto"/>
          <w:sz w:val="24"/>
          <w:highlight w:val="none"/>
          <w:u w:val="single"/>
        </w:rPr>
        <w:t xml:space="preserve">         </w:t>
      </w:r>
      <w:r>
        <w:rPr>
          <w:rFonts w:hint="eastAsia" w:ascii="宋体" w:hAnsi="宋体"/>
          <w:color w:val="auto"/>
          <w:sz w:val="24"/>
          <w:highlight w:val="none"/>
        </w:rPr>
        <w:t>为乙方项目联系人。项目联系人承担以下责任：</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（1）对整个项目的进程负责。　　　　　　　</w:t>
      </w:r>
      <w:r>
        <w:rPr>
          <w:rFonts w:ascii="宋体" w:hAnsi="宋体"/>
          <w:color w:val="auto"/>
          <w:sz w:val="24"/>
          <w:highlight w:val="none"/>
        </w:rPr>
        <w:t xml:space="preserve"> </w:t>
      </w:r>
      <w:r>
        <w:rPr>
          <w:rFonts w:hint="eastAsia" w:ascii="宋体" w:hAnsi="宋体"/>
          <w:color w:val="auto"/>
          <w:sz w:val="24"/>
          <w:highlight w:val="none"/>
        </w:rPr>
        <w:t>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（2）作为双方在项目上互相沟通，协调的主要人员。</w:t>
      </w:r>
      <w:r>
        <w:rPr>
          <w:rFonts w:ascii="宋体" w:hAnsi="宋体"/>
          <w:color w:val="auto"/>
          <w:sz w:val="24"/>
          <w:highlight w:val="none"/>
        </w:rPr>
        <w:t xml:space="preserve">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（3）定时、及时的向对方汇报，交流项目的进展情况。</w:t>
      </w:r>
      <w:r>
        <w:rPr>
          <w:rFonts w:ascii="宋体" w:hAnsi="宋体"/>
          <w:color w:val="auto"/>
          <w:sz w:val="24"/>
          <w:highlight w:val="none"/>
        </w:rPr>
        <w:t xml:space="preserve">                                           </w:t>
      </w:r>
    </w:p>
    <w:p>
      <w:pPr>
        <w:spacing w:line="460" w:lineRule="exact"/>
        <w:ind w:firstLine="480" w:firstLineChars="200"/>
        <w:rPr>
          <w:color w:val="auto"/>
          <w:highlight w:val="none"/>
        </w:rPr>
      </w:pPr>
      <w:r>
        <w:rPr>
          <w:rFonts w:hint="eastAsia" w:ascii="宋体" w:hAnsi="宋体"/>
          <w:color w:val="auto"/>
          <w:sz w:val="24"/>
          <w:highlight w:val="none"/>
        </w:rPr>
        <w:t>（4）一方变更项目联系人的，应当及时以书面形式通知另一方，未及时通知并影响本合同履行或造成损失的，应承担相应的责任。</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十六、合同生效</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ascii="宋体" w:hAnsi="宋体" w:cs="宋体"/>
          <w:color w:val="auto"/>
          <w:sz w:val="24"/>
          <w:highlight w:val="none"/>
        </w:rPr>
      </w:pPr>
      <w:r>
        <w:rPr>
          <w:rFonts w:hint="eastAsia" w:ascii="宋体" w:hAnsi="宋体"/>
          <w:color w:val="auto"/>
          <w:sz w:val="24"/>
          <w:highlight w:val="none"/>
        </w:rPr>
        <w:t>2.一式伍份，具有同等效力，甲方持肆份，乙方持壹份。</w:t>
      </w:r>
    </w:p>
    <w:p>
      <w:pPr>
        <w:spacing w:line="460" w:lineRule="exact"/>
        <w:ind w:left="5519" w:leftChars="228" w:hanging="5040"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pPr>
        <w:spacing w:line="460" w:lineRule="exact"/>
        <w:ind w:left="5519" w:leftChars="228" w:hanging="5040" w:hangingChars="2100"/>
        <w:jc w:val="left"/>
        <w:rPr>
          <w:rFonts w:ascii="宋体"/>
          <w:color w:val="auto"/>
          <w:sz w:val="24"/>
          <w:highlight w:val="none"/>
        </w:rPr>
      </w:pPr>
      <w:r>
        <w:rPr>
          <w:rFonts w:hint="eastAsia" w:ascii="宋体"/>
          <w:color w:val="auto"/>
          <w:sz w:val="24"/>
          <w:highlight w:val="none"/>
        </w:rPr>
        <w:t>（20万及以上）</w:t>
      </w:r>
      <w:r>
        <w:rPr>
          <w:rFonts w:hint="eastAsia" w:ascii="宋体"/>
          <w:color w:val="auto"/>
          <w:sz w:val="24"/>
          <w:highlight w:val="none"/>
        </w:rPr>
        <w:t>法人代表或委托代表：    法人代表或委托代表：</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签约代表：                            签约代表：</w:t>
      </w:r>
    </w:p>
    <w:p>
      <w:pPr>
        <w:spacing w:line="460" w:lineRule="exact"/>
        <w:ind w:left="5519" w:leftChars="228" w:hanging="5040"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pPr>
        <w:autoSpaceDE w:val="0"/>
        <w:autoSpaceDN w:val="0"/>
        <w:adjustRightInd w:val="0"/>
        <w:spacing w:line="460" w:lineRule="exact"/>
        <w:ind w:right="246" w:firstLine="480" w:firstLineChars="200"/>
        <w:rPr>
          <w:rFonts w:ascii="宋体" w:hAnsi="宋体" w:cs="宋体"/>
          <w:color w:val="auto"/>
          <w:sz w:val="24"/>
          <w:highlight w:val="none"/>
        </w:rPr>
      </w:pPr>
      <w:r>
        <w:rPr>
          <w:rFonts w:hint="eastAsia" w:ascii="宋体" w:hAnsi="宋体" w:cs="宋体"/>
          <w:color w:val="auto"/>
          <w:sz w:val="24"/>
          <w:highlight w:val="none"/>
        </w:rPr>
        <w:t xml:space="preserve">电话：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 0752-7806733                   传真：</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日期：   年    月   日                日期：    年    月    日</w:t>
      </w:r>
    </w:p>
    <w:p>
      <w:pPr>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3"/>
        <w:numPr>
          <w:ilvl w:val="0"/>
          <w:numId w:val="0"/>
        </w:numPr>
        <w:jc w:val="left"/>
        <w:rPr>
          <w:color w:val="auto"/>
          <w:sz w:val="28"/>
          <w:szCs w:val="30"/>
          <w:highlight w:val="none"/>
        </w:rPr>
      </w:pPr>
      <w:r>
        <w:rPr>
          <w:rFonts w:hint="eastAsia"/>
          <w:color w:val="auto"/>
          <w:sz w:val="28"/>
          <w:szCs w:val="30"/>
          <w:highlight w:val="none"/>
        </w:rPr>
        <w:t>附件一：项目验收报告</w:t>
      </w:r>
    </w:p>
    <w:p>
      <w:pPr>
        <w:adjustRightInd w:val="0"/>
        <w:snapToGrid w:val="0"/>
        <w:spacing w:after="200"/>
        <w:jc w:val="center"/>
        <w:rPr>
          <w:rFonts w:ascii="宋体" w:hAnsi="宋体" w:eastAsia="微软雅黑"/>
          <w:b/>
          <w:bCs/>
          <w:color w:val="auto"/>
          <w:sz w:val="36"/>
          <w:szCs w:val="36"/>
          <w:highlight w:val="none"/>
        </w:rPr>
      </w:pPr>
      <w:r>
        <w:rPr>
          <w:rFonts w:hint="eastAsia" w:ascii="宋体" w:hAnsi="宋体" w:eastAsia="微软雅黑"/>
          <w:b/>
          <w:bCs/>
          <w:color w:val="auto"/>
          <w:sz w:val="36"/>
          <w:szCs w:val="36"/>
          <w:highlight w:val="none"/>
          <w:u w:val="single"/>
        </w:rPr>
        <w:t xml:space="preserve">        </w:t>
      </w:r>
      <w:r>
        <w:rPr>
          <w:rFonts w:hint="eastAsia" w:ascii="宋体" w:hAnsi="宋体" w:eastAsia="微软雅黑"/>
          <w:b/>
          <w:bCs/>
          <w:color w:val="auto"/>
          <w:sz w:val="36"/>
          <w:szCs w:val="36"/>
          <w:highlight w:val="none"/>
        </w:rPr>
        <w:t>项目验收报告</w:t>
      </w:r>
    </w:p>
    <w:p>
      <w:pPr>
        <w:adjustRightInd w:val="0"/>
        <w:snapToGrid w:val="0"/>
        <w:spacing w:after="200"/>
        <w:ind w:right="844"/>
        <w:jc w:val="center"/>
        <w:rPr>
          <w:rFonts w:ascii="宋体" w:hAnsi="宋体" w:eastAsia="微软雅黑"/>
          <w:b/>
          <w:bCs/>
          <w:color w:val="auto"/>
          <w:sz w:val="22"/>
          <w:szCs w:val="21"/>
          <w:highlight w:val="none"/>
        </w:rPr>
      </w:pPr>
      <w:r>
        <w:rPr>
          <w:rFonts w:hint="eastAsia" w:ascii="宋体" w:hAnsi="宋体" w:eastAsia="微软雅黑"/>
          <w:b/>
          <w:bCs/>
          <w:color w:val="auto"/>
          <w:sz w:val="22"/>
          <w:szCs w:val="21"/>
          <w:highlight w:val="none"/>
        </w:rPr>
        <w:t>年    月    日</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firstLine="2860" w:firstLineChars="130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合同号</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合同名称</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乙方项目负责人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验收参加人员</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highlight w:val="none"/>
              </w:rPr>
            </w:pPr>
            <w:r>
              <w:rPr>
                <w:rFonts w:hint="eastAsia" w:ascii="宋体" w:hAnsi="宋体" w:eastAsia="微软雅黑"/>
                <w:color w:val="auto"/>
                <w:sz w:val="22"/>
                <w:szCs w:val="22"/>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主要完成工作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1.乙方协助甲方，完成项目入场前的软件、硬件准备工作。</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2.乙方系统经安装调试符合《销售合同》的要求。</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3.乙方完成甲方相关应用人员及维护人员的培训工作。</w:t>
            </w:r>
          </w:p>
          <w:p>
            <w:pPr>
              <w:keepNext w:val="0"/>
              <w:keepLines w:val="0"/>
              <w:suppressLineNumbers w:val="0"/>
              <w:adjustRightInd w:val="0"/>
              <w:snapToGrid w:val="0"/>
              <w:spacing w:before="0" w:beforeAutospacing="0" w:after="200" w:afterAutospacing="0"/>
              <w:ind w:left="0" w:right="0"/>
              <w:jc w:val="left"/>
              <w:rPr>
                <w:rFonts w:hint="default" w:ascii="宋体" w:hAnsi="宋体"/>
                <w:color w:val="auto"/>
                <w:szCs w:val="22"/>
                <w:highlight w:val="none"/>
              </w:rPr>
            </w:pPr>
            <w:r>
              <w:rPr>
                <w:rFonts w:hint="eastAsia" w:ascii="宋体" w:hAnsi="宋体" w:eastAsia="微软雅黑"/>
                <w:color w:val="auto"/>
                <w:sz w:val="22"/>
                <w:szCs w:val="22"/>
                <w:highlight w:val="none"/>
              </w:rPr>
              <w:t>4.乙方在项目撤场阶段与甲方信息科或临床科室项目负责人已完成相关文档资料移交。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甲方验收意见</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甲方代表签字（盖章）</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乙方代表签字（盖章）</w:t>
            </w:r>
          </w:p>
        </w:tc>
      </w:tr>
    </w:tbl>
    <w:p>
      <w:pPr>
        <w:pStyle w:val="5"/>
        <w:ind w:firstLine="643"/>
        <w:rPr>
          <w:b/>
          <w:bCs/>
          <w:color w:val="auto"/>
          <w:sz w:val="32"/>
          <w:szCs w:val="32"/>
          <w:highlight w:val="none"/>
        </w:rPr>
      </w:pPr>
    </w:p>
    <w:p>
      <w:pPr>
        <w:pStyle w:val="5"/>
        <w:rPr>
          <w:color w:val="auto"/>
          <w:highlight w:val="none"/>
        </w:rPr>
      </w:pPr>
    </w:p>
    <w:p>
      <w:pPr>
        <w:pStyle w:val="5"/>
        <w:ind w:left="0" w:leftChars="0" w:firstLine="0" w:firstLineChars="0"/>
        <w:rPr>
          <w:color w:val="auto"/>
          <w:highlight w:val="none"/>
        </w:rPr>
      </w:pPr>
    </w:p>
    <w:p>
      <w:pPr>
        <w:pStyle w:val="5"/>
        <w:rPr>
          <w:color w:val="auto"/>
          <w:highlight w:val="none"/>
        </w:rPr>
      </w:pPr>
    </w:p>
    <w:p>
      <w:pPr>
        <w:pStyle w:val="7"/>
        <w:rPr>
          <w:color w:val="auto"/>
          <w:highlight w:val="none"/>
        </w:rPr>
      </w:pPr>
    </w:p>
    <w:p>
      <w:pPr>
        <w:pStyle w:val="11"/>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11"/>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11"/>
        <w:adjustRightInd w:val="0"/>
        <w:snapToGrid w:val="0"/>
        <w:spacing w:line="360" w:lineRule="auto"/>
        <w:jc w:val="center"/>
        <w:rPr>
          <w:rFonts w:hint="eastAsia" w:ascii="仿宋" w:hAnsi="仿宋" w:eastAsia="仿宋" w:cs="仿宋"/>
          <w:b/>
          <w:color w:val="auto"/>
          <w:kern w:val="0"/>
          <w:sz w:val="72"/>
          <w:szCs w:val="72"/>
          <w:highlight w:val="none"/>
        </w:rPr>
      </w:pPr>
    </w:p>
    <w:p>
      <w:pPr>
        <w:pStyle w:val="11"/>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11"/>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11"/>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11"/>
        <w:adjustRightInd w:val="0"/>
        <w:snapToGrid w:val="0"/>
        <w:spacing w:line="360" w:lineRule="auto"/>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11"/>
        <w:spacing w:line="360" w:lineRule="auto"/>
        <w:rPr>
          <w:rFonts w:hint="eastAsia" w:ascii="仿宋" w:hAnsi="仿宋" w:eastAsia="仿宋" w:cs="仿宋"/>
          <w:b/>
          <w:color w:val="auto"/>
          <w:sz w:val="28"/>
          <w:szCs w:val="28"/>
          <w:highlight w:val="none"/>
        </w:rPr>
      </w:pPr>
    </w:p>
    <w:p>
      <w:pPr>
        <w:pStyle w:val="11"/>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11"/>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11"/>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11"/>
        <w:adjustRightInd w:val="0"/>
        <w:snapToGrid w:val="0"/>
        <w:spacing w:line="440" w:lineRule="exact"/>
        <w:rPr>
          <w:rFonts w:hint="eastAsia"/>
          <w:color w:val="auto"/>
          <w:highlight w:val="none"/>
        </w:rPr>
      </w:pPr>
      <w:r>
        <w:rPr>
          <w:color w:val="auto"/>
          <w:highlight w:val="none"/>
        </w:rPr>
        <w:br w:type="page"/>
      </w:r>
      <w:r>
        <w:rPr>
          <w:rFonts w:hint="eastAsia" w:ascii="仿宋" w:hAnsi="仿宋" w:eastAsia="仿宋" w:cs="仿宋"/>
          <w:b/>
          <w:bCs/>
          <w:color w:val="auto"/>
          <w:sz w:val="28"/>
          <w:highlight w:val="none"/>
        </w:rPr>
        <w:t>1 资格性/符合性自查表</w:t>
      </w:r>
    </w:p>
    <w:tbl>
      <w:tblPr>
        <w:tblStyle w:val="1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keepNext w:val="0"/>
              <w:keepLines w:val="0"/>
              <w:suppressLineNumbers w:val="0"/>
              <w:spacing w:before="0" w:beforeAutospacing="0" w:after="0" w:afterAutospacing="0"/>
              <w:ind w:left="0" w:right="0"/>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846" w:type="dxa"/>
            <w:vMerge w:val="restart"/>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r>
              <w:rPr>
                <w:rFonts w:hint="eastAsia" w:ascii="仿宋" w:hAnsi="仿宋" w:eastAsia="仿宋" w:cs="仿宋"/>
                <w:color w:val="auto"/>
                <w:highlight w:val="none"/>
                <w:lang w:eastAsia="zh-CN"/>
              </w:rPr>
              <w:t>或书面声明</w:t>
            </w:r>
            <w:r>
              <w:rPr>
                <w:rFonts w:hint="eastAsia" w:ascii="仿宋" w:hAnsi="仿宋" w:eastAsia="仿宋" w:cs="仿宋"/>
                <w:color w:val="auto"/>
                <w:highlight w:val="none"/>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11.落实政府采购政策需满足的资格要求</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本项目是专门面向中小企业采购的项目，供应商应为中小微企业。（提供《中小企业声明函》,具体格式文件见比选文件P49中小企业声明函，未按要求提供声明函的将导致响应无效）。本项目中小企业划分标准所属行业为：软件和信息技术服务业</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12.报名</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264" w:type="dxa"/>
            <w:noWrap w:val="0"/>
            <w:vAlign w:val="center"/>
          </w:tcPr>
          <w:p>
            <w:pPr>
              <w:keepNext w:val="0"/>
              <w:keepLines w:val="0"/>
              <w:suppressLineNumbers w:val="0"/>
              <w:spacing w:before="0" w:beforeAutospacing="0" w:after="0" w:afterAutospacing="0" w:line="240" w:lineRule="auto"/>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264"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264"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264"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264"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10"/>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11"/>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8"/>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eastAsia="zh-CN"/>
              </w:rPr>
              <w:t>对用户需求中带▲的响应</w:t>
            </w:r>
          </w:p>
        </w:tc>
        <w:tc>
          <w:tcPr>
            <w:tcW w:w="5232"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eastAsia="zh-CN"/>
              </w:rPr>
              <w:t>完全满足用户需求中带▲的重要技术参数的，得</w:t>
            </w:r>
            <w:r>
              <w:rPr>
                <w:rFonts w:hint="eastAsia" w:ascii="仿宋" w:hAnsi="仿宋" w:eastAsia="仿宋" w:cs="仿宋"/>
                <w:b w:val="0"/>
                <w:bCs w:val="0"/>
                <w:color w:val="auto"/>
                <w:kern w:val="2"/>
                <w:sz w:val="21"/>
                <w:szCs w:val="21"/>
                <w:highlight w:val="none"/>
                <w:lang w:val="en-US" w:eastAsia="zh-CN"/>
              </w:rPr>
              <w:t>18</w:t>
            </w:r>
            <w:r>
              <w:rPr>
                <w:rFonts w:hint="eastAsia" w:ascii="仿宋" w:hAnsi="仿宋" w:eastAsia="仿宋" w:cs="仿宋"/>
                <w:b w:val="0"/>
                <w:bCs w:val="0"/>
                <w:color w:val="auto"/>
                <w:kern w:val="2"/>
                <w:sz w:val="21"/>
                <w:szCs w:val="21"/>
                <w:highlight w:val="none"/>
                <w:lang w:eastAsia="zh-CN"/>
              </w:rPr>
              <w:t>分；一项不满足得</w:t>
            </w:r>
            <w:r>
              <w:rPr>
                <w:rFonts w:hint="eastAsia" w:ascii="仿宋" w:hAnsi="仿宋" w:eastAsia="仿宋" w:cs="仿宋"/>
                <w:b w:val="0"/>
                <w:bCs w:val="0"/>
                <w:color w:val="auto"/>
                <w:kern w:val="2"/>
                <w:sz w:val="21"/>
                <w:szCs w:val="21"/>
                <w:highlight w:val="none"/>
                <w:lang w:val="en-US" w:eastAsia="zh-CN"/>
              </w:rPr>
              <w:t>15</w:t>
            </w:r>
            <w:r>
              <w:rPr>
                <w:rFonts w:hint="eastAsia" w:ascii="仿宋" w:hAnsi="仿宋" w:eastAsia="仿宋" w:cs="仿宋"/>
                <w:b w:val="0"/>
                <w:bCs w:val="0"/>
                <w:color w:val="auto"/>
                <w:kern w:val="2"/>
                <w:sz w:val="21"/>
                <w:szCs w:val="21"/>
                <w:highlight w:val="none"/>
                <w:lang w:eastAsia="zh-CN"/>
              </w:rPr>
              <w:t>分；两项不满足得</w:t>
            </w:r>
            <w:r>
              <w:rPr>
                <w:rFonts w:hint="eastAsia" w:ascii="仿宋" w:hAnsi="仿宋" w:eastAsia="仿宋" w:cs="仿宋"/>
                <w:b w:val="0"/>
                <w:bCs w:val="0"/>
                <w:color w:val="auto"/>
                <w:kern w:val="2"/>
                <w:sz w:val="21"/>
                <w:szCs w:val="21"/>
                <w:highlight w:val="none"/>
                <w:lang w:val="en-US" w:eastAsia="zh-CN"/>
              </w:rPr>
              <w:t>12</w:t>
            </w:r>
            <w:r>
              <w:rPr>
                <w:rFonts w:hint="eastAsia" w:ascii="仿宋" w:hAnsi="仿宋" w:eastAsia="仿宋" w:cs="仿宋"/>
                <w:b w:val="0"/>
                <w:bCs w:val="0"/>
                <w:color w:val="auto"/>
                <w:kern w:val="2"/>
                <w:sz w:val="21"/>
                <w:szCs w:val="21"/>
                <w:highlight w:val="none"/>
                <w:lang w:eastAsia="zh-CN"/>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eastAsia="zh-CN"/>
              </w:rPr>
              <w:t>如此类推，每不满足一项带▲的重要技术参数的得分减少</w:t>
            </w:r>
            <w:r>
              <w:rPr>
                <w:rFonts w:hint="eastAsia" w:ascii="仿宋" w:hAnsi="仿宋" w:eastAsia="仿宋" w:cs="仿宋"/>
                <w:b w:val="0"/>
                <w:bCs w:val="0"/>
                <w:color w:val="auto"/>
                <w:kern w:val="2"/>
                <w:sz w:val="21"/>
                <w:szCs w:val="21"/>
                <w:highlight w:val="none"/>
                <w:lang w:val="en-US" w:eastAsia="zh-CN"/>
              </w:rPr>
              <w:t>3</w:t>
            </w:r>
            <w:r>
              <w:rPr>
                <w:rFonts w:hint="eastAsia" w:ascii="仿宋" w:hAnsi="仿宋" w:eastAsia="仿宋" w:cs="仿宋"/>
                <w:b w:val="0"/>
                <w:bCs w:val="0"/>
                <w:color w:val="auto"/>
                <w:kern w:val="2"/>
                <w:sz w:val="21"/>
                <w:szCs w:val="21"/>
                <w:highlight w:val="none"/>
                <w:lang w:eastAsia="zh-CN"/>
              </w:rPr>
              <w:t>分，当达到</w:t>
            </w:r>
            <w:r>
              <w:rPr>
                <w:rFonts w:hint="eastAsia" w:ascii="仿宋" w:hAnsi="仿宋" w:eastAsia="仿宋" w:cs="仿宋"/>
                <w:b w:val="0"/>
                <w:bCs w:val="0"/>
                <w:color w:val="auto"/>
                <w:kern w:val="2"/>
                <w:sz w:val="21"/>
                <w:szCs w:val="21"/>
                <w:highlight w:val="none"/>
                <w:lang w:val="en-US" w:eastAsia="zh-CN"/>
              </w:rPr>
              <w:t>6</w:t>
            </w:r>
            <w:r>
              <w:rPr>
                <w:rFonts w:hint="eastAsia" w:ascii="仿宋" w:hAnsi="仿宋" w:eastAsia="仿宋" w:cs="仿宋"/>
                <w:b w:val="0"/>
                <w:bCs w:val="0"/>
                <w:color w:val="auto"/>
                <w:kern w:val="2"/>
                <w:sz w:val="21"/>
                <w:szCs w:val="21"/>
                <w:highlight w:val="none"/>
                <w:lang w:eastAsia="zh-CN"/>
              </w:rPr>
              <w:t>项或以上时，视为严重偏离本项不得分。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eastAsia="zh-CN"/>
              </w:rPr>
              <w:t>注：在每项带“▲”号的技术条款中，若要求提供佐证材料的则须按要求提供，未按采购文件要求提供证明材料的技术参数，以响应文件格式技术和服务要求响应表为准。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eastAsia="zh-CN"/>
              </w:rPr>
              <w:t>对用户需求中不带▲的响应</w:t>
            </w:r>
          </w:p>
        </w:tc>
        <w:tc>
          <w:tcPr>
            <w:tcW w:w="5232"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rPr>
              <w:t>对</w:t>
            </w:r>
            <w:r>
              <w:rPr>
                <w:rFonts w:hint="eastAsia" w:ascii="仿宋" w:hAnsi="仿宋" w:eastAsia="仿宋" w:cs="仿宋"/>
                <w:b w:val="0"/>
                <w:bCs w:val="0"/>
                <w:color w:val="auto"/>
                <w:kern w:val="2"/>
                <w:sz w:val="21"/>
                <w:szCs w:val="21"/>
                <w:highlight w:val="none"/>
                <w:lang w:eastAsia="zh-CN"/>
              </w:rPr>
              <w:t>采购人</w:t>
            </w:r>
            <w:r>
              <w:rPr>
                <w:rFonts w:hint="eastAsia" w:ascii="仿宋" w:hAnsi="仿宋" w:eastAsia="仿宋" w:cs="仿宋"/>
                <w:b w:val="0"/>
                <w:bCs w:val="0"/>
                <w:color w:val="auto"/>
                <w:kern w:val="2"/>
                <w:sz w:val="21"/>
                <w:szCs w:val="21"/>
                <w:highlight w:val="none"/>
              </w:rPr>
              <w:t>服务需求</w:t>
            </w:r>
            <w:r>
              <w:rPr>
                <w:rFonts w:hint="eastAsia" w:ascii="仿宋" w:hAnsi="仿宋" w:eastAsia="仿宋" w:cs="仿宋"/>
                <w:b w:val="0"/>
                <w:bCs w:val="0"/>
                <w:color w:val="auto"/>
                <w:kern w:val="2"/>
                <w:sz w:val="21"/>
                <w:szCs w:val="21"/>
                <w:highlight w:val="none"/>
                <w:lang w:eastAsia="zh-CN"/>
              </w:rPr>
              <w:t>中</w:t>
            </w:r>
            <w:r>
              <w:rPr>
                <w:rFonts w:hint="eastAsia" w:ascii="仿宋" w:hAnsi="仿宋" w:eastAsia="仿宋" w:cs="仿宋"/>
                <w:b w:val="0"/>
                <w:bCs w:val="0"/>
                <w:color w:val="auto"/>
                <w:kern w:val="2"/>
                <w:sz w:val="21"/>
                <w:szCs w:val="21"/>
                <w:highlight w:val="none"/>
              </w:rPr>
              <w:t>不带▲号的响应程度</w:t>
            </w:r>
            <w:r>
              <w:rPr>
                <w:rFonts w:hint="eastAsia" w:ascii="仿宋" w:hAnsi="仿宋" w:eastAsia="仿宋" w:cs="仿宋"/>
                <w:b w:val="0"/>
                <w:bCs w:val="0"/>
                <w:color w:val="auto"/>
                <w:kern w:val="2"/>
                <w:sz w:val="21"/>
                <w:szCs w:val="21"/>
                <w:highlight w:val="none"/>
                <w:lang w:eastAsia="zh-CN"/>
              </w:rPr>
              <w:t>进行评分：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eastAsia="zh-CN"/>
              </w:rPr>
              <w:t>完全满足</w:t>
            </w:r>
            <w:r>
              <w:rPr>
                <w:rFonts w:hint="eastAsia" w:ascii="仿宋" w:hAnsi="仿宋" w:eastAsia="仿宋" w:cs="仿宋"/>
                <w:b w:val="0"/>
                <w:bCs w:val="0"/>
                <w:color w:val="auto"/>
                <w:kern w:val="2"/>
                <w:sz w:val="21"/>
                <w:szCs w:val="21"/>
                <w:highlight w:val="none"/>
              </w:rPr>
              <w:t>不带▲号的一般技术参数，得</w:t>
            </w:r>
            <w:r>
              <w:rPr>
                <w:rFonts w:hint="eastAsia" w:ascii="仿宋" w:hAnsi="仿宋" w:eastAsia="仿宋" w:cs="仿宋"/>
                <w:b w:val="0"/>
                <w:bCs w:val="0"/>
                <w:color w:val="auto"/>
                <w:kern w:val="2"/>
                <w:sz w:val="21"/>
                <w:szCs w:val="21"/>
                <w:highlight w:val="none"/>
                <w:lang w:val="en-US" w:eastAsia="zh-CN"/>
              </w:rPr>
              <w:t>6</w:t>
            </w:r>
            <w:r>
              <w:rPr>
                <w:rFonts w:hint="eastAsia" w:ascii="仿宋" w:hAnsi="仿宋" w:eastAsia="仿宋" w:cs="仿宋"/>
                <w:b w:val="0"/>
                <w:bCs w:val="0"/>
                <w:color w:val="auto"/>
                <w:kern w:val="2"/>
                <w:sz w:val="21"/>
                <w:szCs w:val="21"/>
                <w:highlight w:val="none"/>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rPr>
              <w:t>有一项不带▲号条款负偏离，得</w:t>
            </w:r>
            <w:r>
              <w:rPr>
                <w:rFonts w:hint="eastAsia" w:ascii="仿宋" w:hAnsi="仿宋" w:eastAsia="仿宋" w:cs="仿宋"/>
                <w:b w:val="0"/>
                <w:bCs w:val="0"/>
                <w:color w:val="auto"/>
                <w:kern w:val="2"/>
                <w:sz w:val="21"/>
                <w:szCs w:val="21"/>
                <w:highlight w:val="none"/>
                <w:lang w:val="en-US" w:eastAsia="zh-CN"/>
              </w:rPr>
              <w:t>5</w:t>
            </w:r>
            <w:r>
              <w:rPr>
                <w:rFonts w:hint="eastAsia" w:ascii="仿宋" w:hAnsi="仿宋" w:eastAsia="仿宋" w:cs="仿宋"/>
                <w:b w:val="0"/>
                <w:bCs w:val="0"/>
                <w:color w:val="auto"/>
                <w:kern w:val="2"/>
                <w:sz w:val="21"/>
                <w:szCs w:val="21"/>
                <w:highlight w:val="none"/>
              </w:rPr>
              <w:t xml:space="preserve">分； </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rPr>
              <w:t>有二项不带▲号条款负偏离，得</w:t>
            </w:r>
            <w:r>
              <w:rPr>
                <w:rFonts w:hint="eastAsia" w:ascii="仿宋" w:hAnsi="仿宋" w:eastAsia="仿宋" w:cs="仿宋"/>
                <w:b w:val="0"/>
                <w:bCs w:val="0"/>
                <w:color w:val="auto"/>
                <w:kern w:val="2"/>
                <w:sz w:val="21"/>
                <w:szCs w:val="21"/>
                <w:highlight w:val="none"/>
                <w:lang w:val="en-US" w:eastAsia="zh-CN"/>
              </w:rPr>
              <w:t>4</w:t>
            </w:r>
            <w:r>
              <w:rPr>
                <w:rFonts w:hint="eastAsia" w:ascii="仿宋" w:hAnsi="仿宋" w:eastAsia="仿宋" w:cs="仿宋"/>
                <w:b w:val="0"/>
                <w:bCs w:val="0"/>
                <w:color w:val="auto"/>
                <w:kern w:val="2"/>
                <w:sz w:val="21"/>
                <w:szCs w:val="21"/>
                <w:highlight w:val="none"/>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rPr>
              <w:t>以此类推，</w:t>
            </w:r>
            <w:r>
              <w:rPr>
                <w:rFonts w:hint="eastAsia" w:ascii="仿宋" w:hAnsi="仿宋" w:eastAsia="仿宋" w:cs="仿宋"/>
                <w:b w:val="0"/>
                <w:bCs w:val="0"/>
                <w:color w:val="auto"/>
                <w:kern w:val="2"/>
                <w:sz w:val="21"/>
                <w:szCs w:val="21"/>
                <w:highlight w:val="none"/>
                <w:lang w:eastAsia="zh-CN"/>
              </w:rPr>
              <w:t>每不满足一项不带▲的重要技术参数的得分减少</w:t>
            </w:r>
            <w:r>
              <w:rPr>
                <w:rFonts w:hint="eastAsia" w:ascii="仿宋" w:hAnsi="仿宋" w:eastAsia="仿宋" w:cs="仿宋"/>
                <w:b w:val="0"/>
                <w:bCs w:val="0"/>
                <w:color w:val="auto"/>
                <w:kern w:val="2"/>
                <w:sz w:val="21"/>
                <w:szCs w:val="21"/>
                <w:highlight w:val="none"/>
                <w:lang w:val="en-US" w:eastAsia="zh-CN"/>
              </w:rPr>
              <w:t>1</w:t>
            </w:r>
            <w:r>
              <w:rPr>
                <w:rFonts w:hint="eastAsia" w:ascii="仿宋" w:hAnsi="仿宋" w:eastAsia="仿宋" w:cs="仿宋"/>
                <w:b w:val="0"/>
                <w:bCs w:val="0"/>
                <w:color w:val="auto"/>
                <w:kern w:val="2"/>
                <w:sz w:val="21"/>
                <w:szCs w:val="21"/>
                <w:highlight w:val="none"/>
                <w:lang w:eastAsia="zh-CN"/>
              </w:rPr>
              <w:t>分，</w:t>
            </w:r>
            <w:r>
              <w:rPr>
                <w:rFonts w:hint="eastAsia" w:ascii="仿宋" w:hAnsi="仿宋" w:eastAsia="仿宋" w:cs="仿宋"/>
                <w:b w:val="0"/>
                <w:bCs w:val="0"/>
                <w:color w:val="auto"/>
                <w:kern w:val="2"/>
                <w:sz w:val="21"/>
                <w:szCs w:val="21"/>
                <w:highlight w:val="none"/>
              </w:rPr>
              <w:t>当达到</w:t>
            </w:r>
            <w:r>
              <w:rPr>
                <w:rFonts w:hint="eastAsia" w:ascii="仿宋" w:hAnsi="仿宋" w:eastAsia="仿宋" w:cs="仿宋"/>
                <w:b w:val="0"/>
                <w:bCs w:val="0"/>
                <w:color w:val="auto"/>
                <w:kern w:val="2"/>
                <w:sz w:val="21"/>
                <w:szCs w:val="21"/>
                <w:highlight w:val="none"/>
                <w:lang w:val="en-US" w:eastAsia="zh-CN"/>
              </w:rPr>
              <w:t>6</w:t>
            </w:r>
            <w:r>
              <w:rPr>
                <w:rFonts w:hint="eastAsia" w:ascii="仿宋" w:hAnsi="仿宋" w:eastAsia="仿宋" w:cs="仿宋"/>
                <w:b w:val="0"/>
                <w:bCs w:val="0"/>
                <w:color w:val="auto"/>
                <w:kern w:val="2"/>
                <w:sz w:val="21"/>
                <w:szCs w:val="21"/>
                <w:highlight w:val="none"/>
              </w:rPr>
              <w:t>项（含）以上时，视为严重偏离此</w:t>
            </w:r>
            <w:r>
              <w:rPr>
                <w:rFonts w:hint="eastAsia" w:ascii="仿宋" w:hAnsi="仿宋" w:eastAsia="仿宋" w:cs="仿宋"/>
                <w:b w:val="0"/>
                <w:bCs w:val="0"/>
                <w:color w:val="auto"/>
                <w:kern w:val="2"/>
                <w:sz w:val="21"/>
                <w:szCs w:val="21"/>
                <w:highlight w:val="none"/>
                <w:lang w:eastAsia="zh-CN"/>
              </w:rPr>
              <w:t>本项</w:t>
            </w:r>
            <w:r>
              <w:rPr>
                <w:rFonts w:hint="eastAsia" w:ascii="仿宋" w:hAnsi="仿宋" w:eastAsia="仿宋" w:cs="仿宋"/>
                <w:b w:val="0"/>
                <w:bCs w:val="0"/>
                <w:color w:val="auto"/>
                <w:kern w:val="2"/>
                <w:sz w:val="21"/>
                <w:szCs w:val="21"/>
                <w:highlight w:val="none"/>
              </w:rPr>
              <w:t>不得分。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eastAsia="zh-CN"/>
              </w:rPr>
              <w:t>注：在每项不带“▲”号的技术条款中，若要求提供佐证材料的则须按要求提供，未按采购文件要求提供证明材料的技术参数，以响应文件格式技术和服务要求响应表为准。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eastAsia="zh-CN"/>
              </w:rPr>
              <w:t>项目实施方案</w:t>
            </w:r>
          </w:p>
        </w:tc>
        <w:tc>
          <w:tcPr>
            <w:tcW w:w="5232" w:type="dxa"/>
            <w:noWrap w:val="0"/>
            <w:vAlign w:val="top"/>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根据</w:t>
            </w:r>
            <w:r>
              <w:rPr>
                <w:rFonts w:hint="eastAsia" w:ascii="仿宋" w:hAnsi="仿宋" w:eastAsia="仿宋" w:cs="仿宋"/>
                <w:b w:val="0"/>
                <w:bCs w:val="0"/>
                <w:color w:val="auto"/>
                <w:kern w:val="2"/>
                <w:sz w:val="21"/>
                <w:szCs w:val="21"/>
                <w:highlight w:val="none"/>
                <w:lang w:val="en-GB" w:eastAsia="zh-CN"/>
              </w:rPr>
              <w:t>各供应商</w:t>
            </w:r>
            <w:r>
              <w:rPr>
                <w:rFonts w:hint="eastAsia" w:ascii="仿宋" w:hAnsi="仿宋" w:eastAsia="仿宋" w:cs="仿宋"/>
                <w:b w:val="0"/>
                <w:bCs w:val="0"/>
                <w:color w:val="auto"/>
                <w:kern w:val="2"/>
                <w:sz w:val="21"/>
                <w:szCs w:val="21"/>
                <w:highlight w:val="none"/>
                <w:lang w:val="en-US" w:eastAsia="zh-CN"/>
              </w:rPr>
              <w:t>提供的项目实施方案（包括对项目需求的理解、项目实施部署与计划）进行评审：</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1.方案内容完整、详细、表述清晰、科学合理、切实可行，对项目理解全面、准确、深入，完全符合用户业务要求的，得10分；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2.方案内容比较完整、详细、表述比较清晰、合理、可行，较符合用户业务要求的，得6分；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3.方案内容基本完整，方案一般，基本满足采购需求的，得2分；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4.未提供方案不得分。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培训方案</w:t>
            </w:r>
          </w:p>
        </w:tc>
        <w:tc>
          <w:tcPr>
            <w:tcW w:w="5232" w:type="dxa"/>
            <w:noWrap w:val="0"/>
            <w:vAlign w:val="top"/>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根据各供应商提供的培训方案（包括培训目标、培训计划、培训内容等）进行评审。</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1.方案内容完整、详细、表述清晰、科学合理、切实可行，优于或满足采购要求，得</w:t>
            </w:r>
            <w:r>
              <w:rPr>
                <w:rFonts w:hint="eastAsia" w:ascii="仿宋" w:hAnsi="仿宋" w:eastAsia="仿宋" w:cs="仿宋"/>
                <w:b w:val="0"/>
                <w:bCs w:val="0"/>
                <w:color w:val="auto"/>
                <w:kern w:val="2"/>
                <w:sz w:val="21"/>
                <w:szCs w:val="21"/>
                <w:highlight w:val="none"/>
                <w:lang w:val="en-US" w:eastAsia="zh-CN"/>
              </w:rPr>
              <w:t>6</w:t>
            </w:r>
            <w:r>
              <w:rPr>
                <w:rFonts w:hint="eastAsia" w:ascii="仿宋" w:hAnsi="仿宋" w:eastAsia="仿宋" w:cs="仿宋"/>
                <w:b w:val="0"/>
                <w:bCs w:val="0"/>
                <w:color w:val="auto"/>
                <w:kern w:val="2"/>
                <w:sz w:val="21"/>
                <w:szCs w:val="21"/>
                <w:highlight w:val="none"/>
                <w:lang w:val="en-GB" w:eastAsia="zh-CN"/>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2.方案内容基本满足采购要求，得</w:t>
            </w:r>
            <w:r>
              <w:rPr>
                <w:rFonts w:hint="eastAsia" w:ascii="仿宋" w:hAnsi="仿宋" w:eastAsia="仿宋" w:cs="仿宋"/>
                <w:b w:val="0"/>
                <w:bCs w:val="0"/>
                <w:color w:val="auto"/>
                <w:kern w:val="2"/>
                <w:sz w:val="21"/>
                <w:szCs w:val="21"/>
                <w:highlight w:val="none"/>
                <w:lang w:val="en-US" w:eastAsia="zh-CN"/>
              </w:rPr>
              <w:t>4</w:t>
            </w:r>
            <w:r>
              <w:rPr>
                <w:rFonts w:hint="eastAsia" w:ascii="仿宋" w:hAnsi="仿宋" w:eastAsia="仿宋" w:cs="仿宋"/>
                <w:b w:val="0"/>
                <w:bCs w:val="0"/>
                <w:color w:val="auto"/>
                <w:kern w:val="2"/>
                <w:sz w:val="21"/>
                <w:szCs w:val="21"/>
                <w:highlight w:val="none"/>
                <w:lang w:val="en-GB" w:eastAsia="zh-CN"/>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3.仅提供方案但无法满足采购需求，得</w:t>
            </w:r>
            <w:r>
              <w:rPr>
                <w:rFonts w:hint="eastAsia" w:ascii="仿宋" w:hAnsi="仿宋" w:eastAsia="仿宋" w:cs="仿宋"/>
                <w:b w:val="0"/>
                <w:bCs w:val="0"/>
                <w:color w:val="auto"/>
                <w:kern w:val="2"/>
                <w:sz w:val="21"/>
                <w:szCs w:val="21"/>
                <w:highlight w:val="none"/>
                <w:lang w:val="en-US" w:eastAsia="zh-CN"/>
              </w:rPr>
              <w:t>2</w:t>
            </w:r>
            <w:r>
              <w:rPr>
                <w:rFonts w:hint="eastAsia" w:ascii="仿宋" w:hAnsi="仿宋" w:eastAsia="仿宋" w:cs="仿宋"/>
                <w:b w:val="0"/>
                <w:bCs w:val="0"/>
                <w:color w:val="auto"/>
                <w:kern w:val="2"/>
                <w:sz w:val="21"/>
                <w:szCs w:val="21"/>
                <w:highlight w:val="none"/>
                <w:lang w:val="en-GB" w:eastAsia="zh-CN"/>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GB" w:eastAsia="zh-CN"/>
              </w:rPr>
              <w:t>4.未提供方案不得分。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应急方案</w:t>
            </w:r>
          </w:p>
        </w:tc>
        <w:tc>
          <w:tcPr>
            <w:tcW w:w="5232" w:type="dxa"/>
            <w:noWrap w:val="0"/>
            <w:vAlign w:val="top"/>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根据各供应商提供的应急方案（包括应急事件分类分级、应急事件响应流程、应急处置预案等）进行评审。</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1.方案内容完整、详细、表述清晰、科学合理、切实可行，优于或满足采购要求</w:t>
            </w:r>
            <w:r>
              <w:rPr>
                <w:rFonts w:hint="eastAsia" w:ascii="仿宋" w:hAnsi="仿宋" w:eastAsia="仿宋" w:cs="仿宋"/>
                <w:b w:val="0"/>
                <w:bCs w:val="0"/>
                <w:color w:val="auto"/>
                <w:kern w:val="2"/>
                <w:sz w:val="21"/>
                <w:szCs w:val="21"/>
                <w:highlight w:val="none"/>
                <w:lang w:val="en-US" w:eastAsia="zh-CN"/>
              </w:rPr>
              <w:t>,</w:t>
            </w:r>
            <w:r>
              <w:rPr>
                <w:rFonts w:hint="eastAsia" w:ascii="仿宋" w:hAnsi="仿宋" w:eastAsia="仿宋" w:cs="仿宋"/>
                <w:b w:val="0"/>
                <w:bCs w:val="0"/>
                <w:color w:val="auto"/>
                <w:kern w:val="2"/>
                <w:sz w:val="21"/>
                <w:szCs w:val="21"/>
                <w:highlight w:val="none"/>
                <w:lang w:val="en-GB" w:eastAsia="zh-CN"/>
              </w:rPr>
              <w:t>得6分；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2.方案内容基本满足采购要求</w:t>
            </w:r>
            <w:r>
              <w:rPr>
                <w:rFonts w:hint="eastAsia" w:ascii="仿宋" w:hAnsi="仿宋" w:eastAsia="仿宋" w:cs="仿宋"/>
                <w:b w:val="0"/>
                <w:bCs w:val="0"/>
                <w:color w:val="auto"/>
                <w:kern w:val="2"/>
                <w:sz w:val="21"/>
                <w:szCs w:val="21"/>
                <w:highlight w:val="none"/>
                <w:lang w:val="en-US" w:eastAsia="zh-CN"/>
              </w:rPr>
              <w:t>,</w:t>
            </w:r>
            <w:r>
              <w:rPr>
                <w:rFonts w:hint="eastAsia" w:ascii="仿宋" w:hAnsi="仿宋" w:eastAsia="仿宋" w:cs="仿宋"/>
                <w:b w:val="0"/>
                <w:bCs w:val="0"/>
                <w:color w:val="auto"/>
                <w:kern w:val="2"/>
                <w:sz w:val="21"/>
                <w:szCs w:val="21"/>
                <w:highlight w:val="none"/>
                <w:lang w:val="en-GB" w:eastAsia="zh-CN"/>
              </w:rPr>
              <w:t>得4分；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3.仅提供方案但无法满足采购需求</w:t>
            </w:r>
            <w:r>
              <w:rPr>
                <w:rFonts w:hint="eastAsia" w:ascii="仿宋" w:hAnsi="仿宋" w:eastAsia="仿宋" w:cs="仿宋"/>
                <w:b w:val="0"/>
                <w:bCs w:val="0"/>
                <w:color w:val="auto"/>
                <w:kern w:val="2"/>
                <w:sz w:val="21"/>
                <w:szCs w:val="21"/>
                <w:highlight w:val="none"/>
                <w:lang w:val="en-US" w:eastAsia="zh-CN"/>
              </w:rPr>
              <w:t>,</w:t>
            </w:r>
            <w:r>
              <w:rPr>
                <w:rFonts w:hint="eastAsia" w:ascii="仿宋" w:hAnsi="仿宋" w:eastAsia="仿宋" w:cs="仿宋"/>
                <w:b w:val="0"/>
                <w:bCs w:val="0"/>
                <w:color w:val="auto"/>
                <w:kern w:val="2"/>
                <w:sz w:val="21"/>
                <w:szCs w:val="21"/>
                <w:highlight w:val="none"/>
                <w:lang w:val="en-GB" w:eastAsia="zh-CN"/>
              </w:rPr>
              <w:t>得</w:t>
            </w:r>
            <w:r>
              <w:rPr>
                <w:rFonts w:hint="eastAsia" w:ascii="仿宋" w:hAnsi="仿宋" w:eastAsia="仿宋" w:cs="仿宋"/>
                <w:b w:val="0"/>
                <w:bCs w:val="0"/>
                <w:color w:val="auto"/>
                <w:kern w:val="2"/>
                <w:sz w:val="21"/>
                <w:szCs w:val="21"/>
                <w:highlight w:val="none"/>
                <w:lang w:val="en-US" w:eastAsia="zh-CN"/>
              </w:rPr>
              <w:t>2</w:t>
            </w:r>
            <w:r>
              <w:rPr>
                <w:rFonts w:hint="eastAsia" w:ascii="仿宋" w:hAnsi="仿宋" w:eastAsia="仿宋" w:cs="仿宋"/>
                <w:b w:val="0"/>
                <w:bCs w:val="0"/>
                <w:color w:val="auto"/>
                <w:kern w:val="2"/>
                <w:sz w:val="21"/>
                <w:szCs w:val="21"/>
                <w:highlight w:val="none"/>
                <w:lang w:val="en-GB" w:eastAsia="zh-CN"/>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GB" w:eastAsia="zh-CN"/>
              </w:rPr>
              <w:t>4.未提供方案不得分。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GB" w:eastAsia="zh-CN"/>
              </w:rPr>
              <w:t>售后服务方案</w:t>
            </w:r>
          </w:p>
        </w:tc>
        <w:tc>
          <w:tcPr>
            <w:tcW w:w="5232" w:type="dxa"/>
            <w:noWrap w:val="0"/>
            <w:vAlign w:val="top"/>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Hans"/>
              </w:rPr>
            </w:pPr>
            <w:r>
              <w:rPr>
                <w:rFonts w:hint="eastAsia" w:ascii="仿宋" w:hAnsi="仿宋" w:eastAsia="仿宋" w:cs="仿宋"/>
                <w:b w:val="0"/>
                <w:bCs w:val="0"/>
                <w:color w:val="auto"/>
                <w:kern w:val="2"/>
                <w:sz w:val="21"/>
                <w:szCs w:val="21"/>
                <w:highlight w:val="none"/>
                <w:lang w:val="en-GB" w:eastAsia="zh-Hans"/>
              </w:rPr>
              <w:t>根据</w:t>
            </w:r>
            <w:r>
              <w:rPr>
                <w:rFonts w:hint="eastAsia" w:ascii="仿宋" w:hAnsi="仿宋" w:eastAsia="仿宋" w:cs="仿宋"/>
                <w:b w:val="0"/>
                <w:bCs w:val="0"/>
                <w:color w:val="auto"/>
                <w:kern w:val="2"/>
                <w:sz w:val="21"/>
                <w:szCs w:val="21"/>
                <w:highlight w:val="none"/>
                <w:lang w:val="en-GB" w:eastAsia="zh-CN"/>
              </w:rPr>
              <w:t>各供应商</w:t>
            </w:r>
            <w:r>
              <w:rPr>
                <w:rFonts w:hint="eastAsia" w:ascii="仿宋" w:hAnsi="仿宋" w:eastAsia="仿宋" w:cs="仿宋"/>
                <w:b w:val="0"/>
                <w:bCs w:val="0"/>
                <w:color w:val="auto"/>
                <w:kern w:val="2"/>
                <w:sz w:val="21"/>
                <w:szCs w:val="21"/>
                <w:highlight w:val="none"/>
                <w:lang w:val="en-GB" w:eastAsia="zh-Hans"/>
              </w:rPr>
              <w:t>提供的售后服务方案进行评审，内容包括售后服务承诺及保障措施</w:t>
            </w:r>
            <w:r>
              <w:rPr>
                <w:rFonts w:hint="eastAsia" w:ascii="仿宋" w:hAnsi="仿宋" w:eastAsia="仿宋" w:cs="仿宋"/>
                <w:b w:val="0"/>
                <w:bCs w:val="0"/>
                <w:color w:val="auto"/>
                <w:kern w:val="2"/>
                <w:sz w:val="21"/>
                <w:szCs w:val="21"/>
                <w:highlight w:val="none"/>
                <w:lang w:val="en-GB" w:eastAsia="zh-CN"/>
              </w:rPr>
              <w:t>等</w:t>
            </w:r>
            <w:r>
              <w:rPr>
                <w:rFonts w:hint="eastAsia" w:ascii="仿宋" w:hAnsi="仿宋" w:eastAsia="仿宋" w:cs="仿宋"/>
                <w:b w:val="0"/>
                <w:bCs w:val="0"/>
                <w:color w:val="auto"/>
                <w:kern w:val="2"/>
                <w:sz w:val="21"/>
                <w:szCs w:val="21"/>
                <w:highlight w:val="none"/>
                <w:lang w:val="en-GB" w:eastAsia="zh-Hans"/>
              </w:rPr>
              <w:t>：</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Hans"/>
              </w:rPr>
            </w:pPr>
            <w:r>
              <w:rPr>
                <w:rFonts w:hint="eastAsia" w:ascii="仿宋" w:hAnsi="仿宋" w:eastAsia="仿宋" w:cs="仿宋"/>
                <w:b w:val="0"/>
                <w:bCs w:val="0"/>
                <w:color w:val="auto"/>
                <w:kern w:val="2"/>
                <w:sz w:val="21"/>
                <w:szCs w:val="21"/>
                <w:highlight w:val="none"/>
                <w:lang w:val="en-GB" w:eastAsia="zh-Hans"/>
              </w:rPr>
              <w:t>1.售后服务方案最详细、针对性强、合理性高的</w:t>
            </w:r>
            <w:r>
              <w:rPr>
                <w:rFonts w:hint="eastAsia" w:ascii="仿宋" w:hAnsi="仿宋" w:eastAsia="仿宋" w:cs="仿宋"/>
                <w:b w:val="0"/>
                <w:bCs w:val="0"/>
                <w:color w:val="auto"/>
                <w:kern w:val="2"/>
                <w:sz w:val="21"/>
                <w:szCs w:val="21"/>
                <w:highlight w:val="none"/>
                <w:lang w:val="en-US" w:eastAsia="zh-CN"/>
              </w:rPr>
              <w:t>,</w:t>
            </w:r>
            <w:r>
              <w:rPr>
                <w:rFonts w:hint="eastAsia" w:ascii="仿宋" w:hAnsi="仿宋" w:eastAsia="仿宋" w:cs="仿宋"/>
                <w:b w:val="0"/>
                <w:bCs w:val="0"/>
                <w:color w:val="auto"/>
                <w:kern w:val="2"/>
                <w:sz w:val="21"/>
                <w:szCs w:val="21"/>
                <w:highlight w:val="none"/>
                <w:lang w:val="en-GB" w:eastAsia="zh-Hans"/>
              </w:rPr>
              <w:t>得</w:t>
            </w:r>
            <w:r>
              <w:rPr>
                <w:rFonts w:hint="eastAsia" w:ascii="仿宋" w:hAnsi="仿宋" w:eastAsia="仿宋" w:cs="仿宋"/>
                <w:b w:val="0"/>
                <w:bCs w:val="0"/>
                <w:color w:val="auto"/>
                <w:kern w:val="2"/>
                <w:sz w:val="21"/>
                <w:szCs w:val="21"/>
                <w:highlight w:val="none"/>
                <w:lang w:val="en-US" w:eastAsia="zh-CN"/>
              </w:rPr>
              <w:t>6</w:t>
            </w:r>
            <w:r>
              <w:rPr>
                <w:rFonts w:hint="eastAsia" w:ascii="仿宋" w:hAnsi="仿宋" w:eastAsia="仿宋" w:cs="仿宋"/>
                <w:b w:val="0"/>
                <w:bCs w:val="0"/>
                <w:color w:val="auto"/>
                <w:kern w:val="2"/>
                <w:sz w:val="21"/>
                <w:szCs w:val="21"/>
                <w:highlight w:val="none"/>
                <w:lang w:val="en-GB" w:eastAsia="zh-Hans"/>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Hans"/>
              </w:rPr>
            </w:pPr>
            <w:r>
              <w:rPr>
                <w:rFonts w:hint="eastAsia" w:ascii="仿宋" w:hAnsi="仿宋" w:eastAsia="仿宋" w:cs="仿宋"/>
                <w:b w:val="0"/>
                <w:bCs w:val="0"/>
                <w:color w:val="auto"/>
                <w:kern w:val="2"/>
                <w:sz w:val="21"/>
                <w:szCs w:val="21"/>
                <w:highlight w:val="none"/>
                <w:lang w:val="en-GB" w:eastAsia="zh-Hans"/>
              </w:rPr>
              <w:t>2.售后服务方案较详细，针对性较强、合理性较高的</w:t>
            </w:r>
            <w:r>
              <w:rPr>
                <w:rFonts w:hint="eastAsia" w:ascii="仿宋" w:hAnsi="仿宋" w:eastAsia="仿宋" w:cs="仿宋"/>
                <w:b w:val="0"/>
                <w:bCs w:val="0"/>
                <w:color w:val="auto"/>
                <w:kern w:val="2"/>
                <w:sz w:val="21"/>
                <w:szCs w:val="21"/>
                <w:highlight w:val="none"/>
                <w:lang w:val="en-US" w:eastAsia="zh-CN"/>
              </w:rPr>
              <w:t>,</w:t>
            </w:r>
            <w:r>
              <w:rPr>
                <w:rFonts w:hint="eastAsia" w:ascii="仿宋" w:hAnsi="仿宋" w:eastAsia="仿宋" w:cs="仿宋"/>
                <w:b w:val="0"/>
                <w:bCs w:val="0"/>
                <w:color w:val="auto"/>
                <w:kern w:val="2"/>
                <w:sz w:val="21"/>
                <w:szCs w:val="21"/>
                <w:highlight w:val="none"/>
                <w:lang w:val="en-GB" w:eastAsia="zh-Hans"/>
              </w:rPr>
              <w:t>得</w:t>
            </w:r>
            <w:r>
              <w:rPr>
                <w:rFonts w:hint="eastAsia" w:ascii="仿宋" w:hAnsi="仿宋" w:eastAsia="仿宋" w:cs="仿宋"/>
                <w:b w:val="0"/>
                <w:bCs w:val="0"/>
                <w:color w:val="auto"/>
                <w:kern w:val="2"/>
                <w:sz w:val="21"/>
                <w:szCs w:val="21"/>
                <w:highlight w:val="none"/>
                <w:lang w:val="en-US" w:eastAsia="zh-CN"/>
              </w:rPr>
              <w:t>4</w:t>
            </w:r>
            <w:r>
              <w:rPr>
                <w:rFonts w:hint="eastAsia" w:ascii="仿宋" w:hAnsi="仿宋" w:eastAsia="仿宋" w:cs="仿宋"/>
                <w:b w:val="0"/>
                <w:bCs w:val="0"/>
                <w:color w:val="auto"/>
                <w:kern w:val="2"/>
                <w:sz w:val="21"/>
                <w:szCs w:val="21"/>
                <w:highlight w:val="none"/>
                <w:lang w:val="en-GB" w:eastAsia="zh-Hans"/>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Hans"/>
              </w:rPr>
            </w:pPr>
            <w:r>
              <w:rPr>
                <w:rFonts w:hint="eastAsia" w:ascii="仿宋" w:hAnsi="仿宋" w:eastAsia="仿宋" w:cs="仿宋"/>
                <w:b w:val="0"/>
                <w:bCs w:val="0"/>
                <w:color w:val="auto"/>
                <w:kern w:val="2"/>
                <w:sz w:val="21"/>
                <w:szCs w:val="21"/>
                <w:highlight w:val="none"/>
                <w:lang w:val="en-GB" w:eastAsia="zh-Hans"/>
              </w:rPr>
              <w:t>3.售后服务方案详细程度一般，针对性、合理性一般的</w:t>
            </w:r>
            <w:r>
              <w:rPr>
                <w:rFonts w:hint="eastAsia" w:ascii="仿宋" w:hAnsi="仿宋" w:eastAsia="仿宋" w:cs="仿宋"/>
                <w:b w:val="0"/>
                <w:bCs w:val="0"/>
                <w:color w:val="auto"/>
                <w:kern w:val="2"/>
                <w:sz w:val="21"/>
                <w:szCs w:val="21"/>
                <w:highlight w:val="none"/>
                <w:lang w:val="en-US" w:eastAsia="zh-CN"/>
              </w:rPr>
              <w:t>,</w:t>
            </w:r>
            <w:r>
              <w:rPr>
                <w:rFonts w:hint="eastAsia" w:ascii="仿宋" w:hAnsi="仿宋" w:eastAsia="仿宋" w:cs="仿宋"/>
                <w:b w:val="0"/>
                <w:bCs w:val="0"/>
                <w:color w:val="auto"/>
                <w:kern w:val="2"/>
                <w:sz w:val="21"/>
                <w:szCs w:val="21"/>
                <w:highlight w:val="none"/>
                <w:lang w:val="en-GB" w:eastAsia="zh-Hans"/>
              </w:rPr>
              <w:t>得</w:t>
            </w:r>
            <w:r>
              <w:rPr>
                <w:rFonts w:hint="eastAsia" w:ascii="仿宋" w:hAnsi="仿宋" w:eastAsia="仿宋" w:cs="仿宋"/>
                <w:b w:val="0"/>
                <w:bCs w:val="0"/>
                <w:color w:val="auto"/>
                <w:kern w:val="2"/>
                <w:sz w:val="21"/>
                <w:szCs w:val="21"/>
                <w:highlight w:val="none"/>
                <w:lang w:val="en-US" w:eastAsia="zh-CN"/>
              </w:rPr>
              <w:t>2</w:t>
            </w:r>
            <w:r>
              <w:rPr>
                <w:rFonts w:hint="eastAsia" w:ascii="仿宋" w:hAnsi="仿宋" w:eastAsia="仿宋" w:cs="仿宋"/>
                <w:b w:val="0"/>
                <w:bCs w:val="0"/>
                <w:color w:val="auto"/>
                <w:kern w:val="2"/>
                <w:sz w:val="21"/>
                <w:szCs w:val="21"/>
                <w:highlight w:val="none"/>
                <w:lang w:val="en-GB" w:eastAsia="zh-Hans"/>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GB" w:eastAsia="zh-Hans"/>
              </w:rPr>
              <w:t>4.未提供方案不得分。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val="en-GB" w:eastAsia="zh-CN"/>
              </w:rPr>
              <w:t>同类业绩情况</w:t>
            </w:r>
          </w:p>
        </w:tc>
        <w:tc>
          <w:tcPr>
            <w:tcW w:w="5232"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供应商提供2021年1月1日至今承接过的同类项目业绩进行评审，每提供1份，得1分，本项最高得</w:t>
            </w:r>
            <w:r>
              <w:rPr>
                <w:rFonts w:hint="eastAsia" w:ascii="仿宋" w:hAnsi="仿宋" w:eastAsia="仿宋" w:cs="仿宋"/>
                <w:b w:val="0"/>
                <w:bCs w:val="0"/>
                <w:color w:val="auto"/>
                <w:kern w:val="2"/>
                <w:sz w:val="21"/>
                <w:szCs w:val="21"/>
                <w:highlight w:val="none"/>
                <w:lang w:val="en-US" w:eastAsia="zh-CN"/>
              </w:rPr>
              <w:t>6</w:t>
            </w:r>
            <w:r>
              <w:rPr>
                <w:rFonts w:hint="eastAsia" w:ascii="仿宋" w:hAnsi="仿宋" w:eastAsia="仿宋" w:cs="仿宋"/>
                <w:b w:val="0"/>
                <w:bCs w:val="0"/>
                <w:color w:val="auto"/>
                <w:kern w:val="2"/>
                <w:sz w:val="21"/>
                <w:szCs w:val="21"/>
                <w:highlight w:val="none"/>
                <w:lang w:val="en-GB" w:eastAsia="zh-CN"/>
              </w:rPr>
              <w:t>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GB" w:eastAsia="zh-CN"/>
              </w:rPr>
              <w:t>注：</w:t>
            </w:r>
            <w:r>
              <w:rPr>
                <w:rFonts w:hint="eastAsia" w:ascii="仿宋" w:hAnsi="仿宋" w:eastAsia="仿宋" w:cs="仿宋"/>
                <w:b w:val="0"/>
                <w:bCs w:val="0"/>
                <w:color w:val="auto"/>
                <w:kern w:val="2"/>
                <w:sz w:val="21"/>
                <w:szCs w:val="21"/>
                <w:highlight w:val="none"/>
              </w:rPr>
              <w:t>同类业绩证明文件是中标/成交通知书或合同关键页的复印件或扫描件（合同关键页是指包括：①能显示</w:t>
            </w:r>
            <w:r>
              <w:rPr>
                <w:rFonts w:hint="eastAsia" w:ascii="仿宋" w:hAnsi="仿宋" w:eastAsia="仿宋" w:cs="仿宋"/>
                <w:b w:val="0"/>
                <w:bCs w:val="0"/>
                <w:color w:val="auto"/>
                <w:kern w:val="2"/>
                <w:sz w:val="21"/>
                <w:szCs w:val="21"/>
                <w:highlight w:val="none"/>
                <w:lang w:eastAsia="zh-CN"/>
              </w:rPr>
              <w:t>合同标的</w:t>
            </w:r>
            <w:r>
              <w:rPr>
                <w:rFonts w:hint="eastAsia" w:ascii="仿宋" w:hAnsi="仿宋" w:eastAsia="仿宋" w:cs="仿宋"/>
                <w:b w:val="0"/>
                <w:bCs w:val="0"/>
                <w:color w:val="auto"/>
                <w:kern w:val="2"/>
                <w:sz w:val="21"/>
                <w:szCs w:val="21"/>
                <w:highlight w:val="none"/>
              </w:rPr>
              <w:t>相关信息；②签订合同双方的单位名称、合同项目名称；③签订合同双方的签章、盖章及签订日期）</w:t>
            </w:r>
            <w:r>
              <w:rPr>
                <w:rFonts w:hint="eastAsia" w:ascii="仿宋" w:hAnsi="仿宋" w:eastAsia="仿宋" w:cs="仿宋"/>
                <w:b w:val="0"/>
                <w:bCs w:val="0"/>
                <w:color w:val="auto"/>
                <w:kern w:val="2"/>
                <w:sz w:val="21"/>
                <w:szCs w:val="21"/>
                <w:highlight w:val="none"/>
                <w:lang w:eastAsia="zh-CN"/>
              </w:rPr>
              <w:t>；</w:t>
            </w:r>
            <w:r>
              <w:rPr>
                <w:rFonts w:hint="eastAsia" w:ascii="仿宋" w:hAnsi="仿宋" w:eastAsia="仿宋" w:cs="仿宋"/>
                <w:b w:val="0"/>
                <w:bCs w:val="0"/>
                <w:color w:val="auto"/>
                <w:kern w:val="2"/>
                <w:sz w:val="21"/>
                <w:szCs w:val="21"/>
                <w:highlight w:val="none"/>
                <w:lang w:val="en-GB" w:eastAsia="zh-CN"/>
              </w:rPr>
              <w:t>④同一项目不同年份的合同/协议按一份业绩计算。</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rPr>
              <w:t>无提供不得分。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val="en-GB" w:eastAsia="zh-CN"/>
              </w:rPr>
              <w:t>拟派项目负责人</w:t>
            </w:r>
          </w:p>
        </w:tc>
        <w:tc>
          <w:tcPr>
            <w:tcW w:w="5232"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根据供应商为本项目拟派出1名项目负责人的情况进行评审：</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具有国家工业和信息化部（原国家信息产业部）和人力资源和社会保障部颁发的信息系统项目管理师（高级）证书</w:t>
            </w:r>
            <w:r>
              <w:rPr>
                <w:rFonts w:hint="eastAsia" w:ascii="仿宋" w:hAnsi="仿宋" w:eastAsia="仿宋" w:cs="仿宋"/>
                <w:b w:val="0"/>
                <w:bCs w:val="0"/>
                <w:color w:val="auto"/>
                <w:kern w:val="2"/>
                <w:sz w:val="21"/>
                <w:szCs w:val="21"/>
                <w:highlight w:val="none"/>
                <w:lang w:val="en-US" w:eastAsia="zh-CN"/>
              </w:rPr>
              <w:t>,满足条件的</w:t>
            </w:r>
            <w:r>
              <w:rPr>
                <w:rFonts w:hint="eastAsia" w:ascii="仿宋" w:hAnsi="仿宋" w:eastAsia="仿宋" w:cs="仿宋"/>
                <w:b w:val="0"/>
                <w:bCs w:val="0"/>
                <w:color w:val="auto"/>
                <w:kern w:val="2"/>
                <w:sz w:val="21"/>
                <w:szCs w:val="21"/>
                <w:highlight w:val="none"/>
                <w:lang w:val="en-GB" w:eastAsia="zh-CN"/>
              </w:rPr>
              <w:t>得4分，无提供不得分。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GB" w:eastAsia="zh-CN"/>
              </w:rPr>
              <w:t>注：需提供该人员在比选前近3个月内任意一个月的社保证明材料（新成立公司则提供成立至今的社保缴交证明材料）以及相关证书复印件作为凭证，无提供或提供的材料不符合要求的不得分。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val="en-GB" w:eastAsia="zh-CN"/>
              </w:rPr>
              <w:t>拟派项目服务团队人员</w:t>
            </w:r>
          </w:p>
        </w:tc>
        <w:tc>
          <w:tcPr>
            <w:tcW w:w="5232"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根据本项目采购需求内容，要求供应商对本项目投入不少于4人的实施团队（不含项目负责人），其中：</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GB" w:eastAsia="zh-CN"/>
              </w:rPr>
            </w:pPr>
            <w:r>
              <w:rPr>
                <w:rFonts w:hint="eastAsia" w:ascii="仿宋" w:hAnsi="仿宋" w:eastAsia="仿宋" w:cs="仿宋"/>
                <w:b w:val="0"/>
                <w:bCs w:val="0"/>
                <w:color w:val="auto"/>
                <w:kern w:val="2"/>
                <w:sz w:val="21"/>
                <w:szCs w:val="21"/>
                <w:highlight w:val="none"/>
                <w:lang w:val="en-GB" w:eastAsia="zh-CN"/>
              </w:rPr>
              <w:t>技术负责人1人，要求具备国家工业和信息化部（原国家信息产业部）和人力资源和社会保障部颁发的中级或以上系统集成项目管理工程师证书，</w:t>
            </w:r>
            <w:r>
              <w:rPr>
                <w:rFonts w:hint="eastAsia" w:ascii="仿宋" w:hAnsi="仿宋" w:eastAsia="仿宋" w:cs="仿宋"/>
                <w:b w:val="0"/>
                <w:bCs w:val="0"/>
                <w:color w:val="auto"/>
                <w:kern w:val="2"/>
                <w:sz w:val="21"/>
                <w:szCs w:val="21"/>
                <w:highlight w:val="none"/>
                <w:lang w:val="en-US" w:eastAsia="zh-CN"/>
              </w:rPr>
              <w:t>满足条件的</w:t>
            </w:r>
            <w:r>
              <w:rPr>
                <w:rFonts w:hint="eastAsia" w:ascii="仿宋" w:hAnsi="仿宋" w:eastAsia="仿宋" w:cs="仿宋"/>
                <w:b w:val="0"/>
                <w:bCs w:val="0"/>
                <w:color w:val="auto"/>
                <w:kern w:val="2"/>
                <w:sz w:val="21"/>
                <w:szCs w:val="21"/>
                <w:highlight w:val="none"/>
                <w:lang w:val="en-GB" w:eastAsia="zh-CN"/>
              </w:rPr>
              <w:t>得2分。</w:t>
            </w:r>
          </w:p>
          <w:p>
            <w:pPr>
              <w:pStyle w:val="24"/>
              <w:keepNext w:val="0"/>
              <w:keepLines w:val="0"/>
              <w:widowControl/>
              <w:suppressLineNumbers w:val="0"/>
              <w:adjustRightInd/>
              <w:spacing w:before="0" w:beforeAutospacing="0" w:after="0" w:afterAutospacing="0"/>
              <w:ind w:left="0" w:right="0"/>
              <w:rPr>
                <w:rFonts w:hint="default"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GB" w:eastAsia="zh-CN"/>
              </w:rPr>
              <w:t>拟派技术人员3人。要求具备国家工业和信息化部（原国家信息产业部）和人力资源和社会保障部颁发的中级或以上网络工程师证书，每提供1项证书得2分，本项最高分</w:t>
            </w:r>
            <w:r>
              <w:rPr>
                <w:rFonts w:hint="eastAsia" w:ascii="仿宋" w:hAnsi="仿宋" w:eastAsia="仿宋" w:cs="仿宋"/>
                <w:b w:val="0"/>
                <w:bCs w:val="0"/>
                <w:color w:val="auto"/>
                <w:kern w:val="2"/>
                <w:sz w:val="21"/>
                <w:szCs w:val="21"/>
                <w:highlight w:val="none"/>
                <w:lang w:val="en-US" w:eastAsia="zh-CN"/>
              </w:rPr>
              <w:t>6分。</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GB" w:eastAsia="zh-CN"/>
              </w:rPr>
              <w:t>注：①需提供该人员在比选当月前近3个月内任意一个月的社保证明材料（新成立公司则提供成立至今的社保缴交证明材料）以及相关证书复印件作为凭证；②以上人员不重复计分，同一人员按得分最高项计分。无提供或提供的材料不符合要求的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eastAsia="zh-CN"/>
              </w:rPr>
              <w:t>响应报价得分</w:t>
            </w:r>
          </w:p>
        </w:tc>
        <w:tc>
          <w:tcPr>
            <w:tcW w:w="0" w:type="auto"/>
            <w:vAlign w:val="top"/>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lang w:eastAsia="zh-CN"/>
              </w:rPr>
              <w:t>响应</w:t>
            </w:r>
            <w:r>
              <w:rPr>
                <w:rFonts w:hint="eastAsia" w:ascii="仿宋" w:hAnsi="仿宋" w:eastAsia="仿宋" w:cs="仿宋"/>
                <w:b w:val="0"/>
                <w:bCs w:val="0"/>
                <w:color w:val="auto"/>
                <w:kern w:val="2"/>
                <w:sz w:val="21"/>
                <w:szCs w:val="21"/>
                <w:highlight w:val="none"/>
              </w:rPr>
              <w:t>报价得分＝（</w:t>
            </w:r>
            <w:r>
              <w:rPr>
                <w:rFonts w:hint="eastAsia" w:ascii="仿宋" w:hAnsi="仿宋" w:eastAsia="仿宋" w:cs="仿宋"/>
                <w:b w:val="0"/>
                <w:bCs w:val="0"/>
                <w:color w:val="auto"/>
                <w:kern w:val="2"/>
                <w:sz w:val="21"/>
                <w:szCs w:val="21"/>
                <w:highlight w:val="none"/>
                <w:lang w:eastAsia="zh-CN"/>
              </w:rPr>
              <w:t>评审</w:t>
            </w:r>
            <w:r>
              <w:rPr>
                <w:rFonts w:hint="eastAsia" w:ascii="仿宋" w:hAnsi="仿宋" w:eastAsia="仿宋" w:cs="仿宋"/>
                <w:b w:val="0"/>
                <w:bCs w:val="0"/>
                <w:color w:val="auto"/>
                <w:kern w:val="2"/>
                <w:sz w:val="21"/>
                <w:szCs w:val="21"/>
                <w:highlight w:val="none"/>
              </w:rPr>
              <w:t>基准价/</w:t>
            </w:r>
            <w:r>
              <w:rPr>
                <w:rFonts w:hint="eastAsia" w:ascii="仿宋" w:hAnsi="仿宋" w:eastAsia="仿宋" w:cs="仿宋"/>
                <w:b w:val="0"/>
                <w:bCs w:val="0"/>
                <w:color w:val="auto"/>
                <w:kern w:val="2"/>
                <w:sz w:val="21"/>
                <w:szCs w:val="21"/>
                <w:highlight w:val="none"/>
                <w:lang w:eastAsia="zh-CN"/>
              </w:rPr>
              <w:t>响应</w:t>
            </w:r>
            <w:r>
              <w:rPr>
                <w:rFonts w:hint="eastAsia" w:ascii="仿宋" w:hAnsi="仿宋" w:eastAsia="仿宋" w:cs="仿宋"/>
                <w:b w:val="0"/>
                <w:bCs w:val="0"/>
                <w:color w:val="auto"/>
                <w:kern w:val="2"/>
                <w:sz w:val="21"/>
                <w:szCs w:val="21"/>
                <w:highlight w:val="none"/>
              </w:rPr>
              <w:t>报价）×价格分值</w:t>
            </w:r>
          </w:p>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rPr>
              <w:t>【注：满足</w:t>
            </w:r>
            <w:r>
              <w:rPr>
                <w:rFonts w:hint="eastAsia" w:ascii="仿宋" w:hAnsi="仿宋" w:eastAsia="仿宋" w:cs="仿宋"/>
                <w:b w:val="0"/>
                <w:bCs w:val="0"/>
                <w:color w:val="auto"/>
                <w:kern w:val="2"/>
                <w:sz w:val="21"/>
                <w:szCs w:val="21"/>
                <w:highlight w:val="none"/>
                <w:lang w:eastAsia="zh-CN"/>
              </w:rPr>
              <w:t>比选</w:t>
            </w:r>
            <w:r>
              <w:rPr>
                <w:rFonts w:hint="eastAsia" w:ascii="仿宋" w:hAnsi="仿宋" w:eastAsia="仿宋" w:cs="仿宋"/>
                <w:b w:val="0"/>
                <w:bCs w:val="0"/>
                <w:color w:val="auto"/>
                <w:kern w:val="2"/>
                <w:sz w:val="21"/>
                <w:szCs w:val="21"/>
                <w:highlight w:val="none"/>
              </w:rPr>
              <w:t>文件要求且</w:t>
            </w:r>
            <w:r>
              <w:rPr>
                <w:rFonts w:hint="eastAsia" w:ascii="仿宋" w:hAnsi="仿宋" w:eastAsia="仿宋" w:cs="仿宋"/>
                <w:b w:val="0"/>
                <w:bCs w:val="0"/>
                <w:color w:val="auto"/>
                <w:kern w:val="2"/>
                <w:sz w:val="21"/>
                <w:szCs w:val="21"/>
                <w:highlight w:val="none"/>
                <w:lang w:eastAsia="zh-CN"/>
              </w:rPr>
              <w:t>响应</w:t>
            </w:r>
            <w:r>
              <w:rPr>
                <w:rFonts w:hint="eastAsia" w:ascii="仿宋" w:hAnsi="仿宋" w:eastAsia="仿宋" w:cs="仿宋"/>
                <w:b w:val="0"/>
                <w:bCs w:val="0"/>
                <w:color w:val="auto"/>
                <w:kern w:val="2"/>
                <w:sz w:val="21"/>
                <w:szCs w:val="21"/>
                <w:highlight w:val="none"/>
              </w:rPr>
              <w:t>价格最低的</w:t>
            </w:r>
            <w:r>
              <w:rPr>
                <w:rFonts w:hint="eastAsia" w:ascii="仿宋" w:hAnsi="仿宋" w:eastAsia="仿宋" w:cs="仿宋"/>
                <w:b w:val="0"/>
                <w:bCs w:val="0"/>
                <w:color w:val="auto"/>
                <w:kern w:val="2"/>
                <w:sz w:val="21"/>
                <w:szCs w:val="21"/>
                <w:highlight w:val="none"/>
                <w:lang w:eastAsia="zh-CN"/>
              </w:rPr>
              <w:t>响应</w:t>
            </w:r>
            <w:r>
              <w:rPr>
                <w:rFonts w:hint="eastAsia" w:ascii="仿宋" w:hAnsi="仿宋" w:eastAsia="仿宋" w:cs="仿宋"/>
                <w:b w:val="0"/>
                <w:bCs w:val="0"/>
                <w:color w:val="auto"/>
                <w:kern w:val="2"/>
                <w:sz w:val="21"/>
                <w:szCs w:val="21"/>
                <w:highlight w:val="none"/>
              </w:rPr>
              <w:t>报价为</w:t>
            </w:r>
            <w:r>
              <w:rPr>
                <w:rFonts w:hint="eastAsia" w:ascii="仿宋" w:hAnsi="仿宋" w:eastAsia="仿宋" w:cs="仿宋"/>
                <w:b w:val="0"/>
                <w:bCs w:val="0"/>
                <w:color w:val="auto"/>
                <w:kern w:val="2"/>
                <w:sz w:val="21"/>
                <w:szCs w:val="21"/>
                <w:highlight w:val="none"/>
                <w:lang w:eastAsia="zh-CN"/>
              </w:rPr>
              <w:t>评审</w:t>
            </w:r>
            <w:r>
              <w:rPr>
                <w:rFonts w:hint="eastAsia" w:ascii="仿宋" w:hAnsi="仿宋" w:eastAsia="仿宋" w:cs="仿宋"/>
                <w:b w:val="0"/>
                <w:bCs w:val="0"/>
                <w:color w:val="auto"/>
                <w:kern w:val="2"/>
                <w:sz w:val="21"/>
                <w:szCs w:val="21"/>
                <w:highlight w:val="none"/>
              </w:rPr>
              <w:t>基准价。】最低报价不是</w:t>
            </w:r>
            <w:r>
              <w:rPr>
                <w:rFonts w:hint="eastAsia" w:ascii="仿宋" w:hAnsi="仿宋" w:eastAsia="仿宋" w:cs="仿宋"/>
                <w:b w:val="0"/>
                <w:bCs w:val="0"/>
                <w:color w:val="auto"/>
                <w:kern w:val="2"/>
                <w:sz w:val="21"/>
                <w:szCs w:val="21"/>
                <w:highlight w:val="none"/>
                <w:lang w:eastAsia="zh-CN"/>
              </w:rPr>
              <w:t>成交</w:t>
            </w:r>
            <w:r>
              <w:rPr>
                <w:rFonts w:hint="eastAsia" w:ascii="仿宋" w:hAnsi="仿宋" w:eastAsia="仿宋" w:cs="仿宋"/>
                <w:b w:val="0"/>
                <w:bCs w:val="0"/>
                <w:color w:val="auto"/>
                <w:kern w:val="2"/>
                <w:sz w:val="21"/>
                <w:szCs w:val="21"/>
                <w:highlight w:val="none"/>
              </w:rPr>
              <w:t>的唯一依据。因落实政府采购政策进行价格调整的，以调整后的价格计算</w:t>
            </w:r>
            <w:r>
              <w:rPr>
                <w:rFonts w:hint="eastAsia" w:ascii="仿宋" w:hAnsi="仿宋" w:eastAsia="仿宋" w:cs="仿宋"/>
                <w:b w:val="0"/>
                <w:bCs w:val="0"/>
                <w:color w:val="auto"/>
                <w:kern w:val="2"/>
                <w:sz w:val="21"/>
                <w:szCs w:val="21"/>
                <w:highlight w:val="none"/>
                <w:lang w:eastAsia="zh-CN"/>
              </w:rPr>
              <w:t>评审</w:t>
            </w:r>
            <w:r>
              <w:rPr>
                <w:rFonts w:hint="eastAsia" w:ascii="仿宋" w:hAnsi="仿宋" w:eastAsia="仿宋" w:cs="仿宋"/>
                <w:b w:val="0"/>
                <w:bCs w:val="0"/>
                <w:color w:val="auto"/>
                <w:kern w:val="2"/>
                <w:sz w:val="21"/>
                <w:szCs w:val="21"/>
                <w:highlight w:val="none"/>
              </w:rPr>
              <w:t>基准价和</w:t>
            </w:r>
            <w:r>
              <w:rPr>
                <w:rFonts w:hint="eastAsia" w:ascii="仿宋" w:hAnsi="仿宋" w:eastAsia="仿宋" w:cs="仿宋"/>
                <w:b w:val="0"/>
                <w:bCs w:val="0"/>
                <w:color w:val="auto"/>
                <w:kern w:val="2"/>
                <w:sz w:val="21"/>
                <w:szCs w:val="21"/>
                <w:highlight w:val="none"/>
                <w:lang w:eastAsia="zh-CN"/>
              </w:rPr>
              <w:t>响应</w:t>
            </w:r>
            <w:r>
              <w:rPr>
                <w:rFonts w:hint="eastAsia" w:ascii="仿宋" w:hAnsi="仿宋" w:eastAsia="仿宋" w:cs="仿宋"/>
                <w:b w:val="0"/>
                <w:bCs w:val="0"/>
                <w:color w:val="auto"/>
                <w:kern w:val="2"/>
                <w:sz w:val="21"/>
                <w:szCs w:val="21"/>
                <w:highlight w:val="none"/>
              </w:rPr>
              <w:t>报价。</w:t>
            </w:r>
          </w:p>
        </w:tc>
        <w:tc>
          <w:tcPr>
            <w:tcW w:w="0" w:type="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3 资格性文件</w:t>
      </w:r>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7"/>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5"/>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5"/>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5"/>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5"/>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25"/>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25"/>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5"/>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25"/>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540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336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438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745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745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643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643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rPr>
        <w:t>本项目是专门面向中小企业采购的项目，供应商应为中小微企业。（提供《中小企业声明函》,具体格式文件见比选文件P49中小企业声明函，未按要求提供声明函的将导致响应无效）。本项目中小企业划分标准所属行业为：软件和信息技术服务业</w:t>
      </w:r>
      <w:r>
        <w:rPr>
          <w:rFonts w:hint="eastAsia" w:ascii="仿宋" w:hAnsi="仿宋" w:eastAsia="仿宋" w:cs="仿宋"/>
          <w:strike w:val="0"/>
          <w:color w:val="auto"/>
          <w:sz w:val="24"/>
          <w:highlight w:val="none"/>
          <w:lang w:eastAsia="zh-CN"/>
        </w:rPr>
        <w:t>。</w:t>
      </w:r>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2"/>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lang w:val="en-US" w:eastAsia="zh-CN"/>
        </w:rPr>
        <w:t>4.1.1</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2诚信响应承诺书。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lang w:val="en-US" w:eastAsia="zh-CN"/>
        </w:rPr>
        <w:t>4.1.3.1</w:t>
      </w: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pStyle w:val="7"/>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4.1.3.2</w:t>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keepNext w:val="0"/>
              <w:keepLines w:val="0"/>
              <w:suppressLineNumbers w:val="0"/>
              <w:spacing w:before="0" w:beforeAutospacing="0" w:after="12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tc>
        <w:tc>
          <w:tcPr>
            <w:tcW w:w="736"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43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03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3651"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736"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4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0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4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0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w:t>
            </w:r>
            <w:r>
              <w:rPr>
                <w:rFonts w:hint="eastAsia" w:ascii="仿宋" w:hAnsi="仿宋" w:eastAsia="仿宋" w:cs="仿宋"/>
                <w:color w:val="auto"/>
                <w:szCs w:val="21"/>
                <w:highlight w:val="none"/>
                <w:lang w:eastAsia="zh-CN"/>
              </w:rPr>
              <w:t>商务</w:t>
            </w:r>
            <w:r>
              <w:rPr>
                <w:rFonts w:hint="eastAsia" w:ascii="仿宋" w:hAnsi="仿宋" w:eastAsia="仿宋" w:cs="仿宋"/>
                <w:color w:val="auto"/>
                <w:szCs w:val="21"/>
                <w:highlight w:val="none"/>
              </w:rPr>
              <w:t>条款要求</w:t>
            </w:r>
          </w:p>
        </w:tc>
        <w:tc>
          <w:tcPr>
            <w:tcW w:w="1381"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、合格的货物、工程和服务要求</w:t>
            </w:r>
          </w:p>
        </w:tc>
        <w:tc>
          <w:tcPr>
            <w:tcW w:w="1381"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的各项须知、规约要求和责任义务</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报价内容均涵盖报价要求之一切费用和伴随服务</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同意按本项目要求缴付相关款项</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以任何形式对我方响应文件内容的真实性和有效性进行审查、验证</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pPr>
              <w:pStyle w:val="15"/>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满足对服务的各项要求</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650" w:type="dxa"/>
            <w:gridSpan w:val="3"/>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pStyle w:val="27"/>
              <w:keepNext w:val="0"/>
              <w:keepLines w:val="0"/>
              <w:suppressLineNumbers w:val="0"/>
              <w:spacing w:before="0" w:beforeAutospacing="0" w:after="0" w:afterAutospacing="0"/>
              <w:rPr>
                <w:rFonts w:hint="eastAsia" w:ascii="仿宋" w:hAnsi="仿宋" w:eastAsia="仿宋" w:cs="仿宋"/>
                <w:color w:val="auto"/>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7"/>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p>
    <w:p>
      <w:pPr>
        <w:pStyle w:val="11"/>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要求响应表（单页填写）</w:t>
      </w:r>
    </w:p>
    <w:p>
      <w:pPr>
        <w:pStyle w:val="11"/>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8"/>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keepNext w:val="0"/>
              <w:keepLines w:val="0"/>
              <w:suppressLineNumbers w:val="0"/>
              <w:spacing w:before="0" w:beforeAutospacing="0" w:after="0" w:afterAutospacing="0"/>
              <w:ind w:left="0" w:right="0"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897"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color w:val="auto"/>
                <w:sz w:val="21"/>
                <w:szCs w:val="21"/>
                <w:highlight w:val="none"/>
                <w:lang w:val="en-US" w:eastAsia="zh-CN"/>
              </w:rPr>
            </w:pPr>
          </w:p>
        </w:tc>
        <w:tc>
          <w:tcPr>
            <w:tcW w:w="170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87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912"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775"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14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897"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 w:val="21"/>
                <w:szCs w:val="21"/>
                <w:highlight w:val="none"/>
                <w:lang w:val="en-US" w:eastAsia="zh-CN"/>
              </w:rPr>
            </w:pPr>
          </w:p>
        </w:tc>
        <w:tc>
          <w:tcPr>
            <w:tcW w:w="170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87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912"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775"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14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 w:val="24"/>
                <w:highlight w:val="none"/>
              </w:rPr>
            </w:pPr>
          </w:p>
        </w:tc>
        <w:tc>
          <w:tcPr>
            <w:tcW w:w="1897"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1"/>
                <w:szCs w:val="21"/>
                <w:highlight w:val="none"/>
              </w:rPr>
            </w:pPr>
          </w:p>
        </w:tc>
        <w:tc>
          <w:tcPr>
            <w:tcW w:w="170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87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912"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7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1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897"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70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87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912"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7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1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11"/>
        <w:adjustRightInd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11"/>
        <w:adjustRightInd w:val="0"/>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8"/>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2641"/>
        <w:gridCol w:w="1764"/>
        <w:gridCol w:w="780"/>
        <w:gridCol w:w="1065"/>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hint="default"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2641"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64"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8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065"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hint="default"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hint="default"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val="en-US" w:eastAsia="zh-CN"/>
              </w:rPr>
            </w:pP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7"/>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7"/>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7"/>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pPr>
              <w:pStyle w:val="28"/>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pPr>
        <w:adjustRightInd w:val="0"/>
        <w:snapToGrid w:val="0"/>
        <w:spacing w:line="300" w:lineRule="auto"/>
        <w:rPr>
          <w:rFonts w:hint="eastAsia" w:ascii="仿宋" w:hAnsi="仿宋" w:eastAsia="仿宋" w:cs="仿宋"/>
          <w:color w:val="auto"/>
          <w:sz w:val="24"/>
          <w:highlight w:val="none"/>
        </w:rPr>
      </w:pP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w:t>
      </w:r>
      <w:r>
        <w:rPr>
          <w:rFonts w:hint="eastAsia" w:ascii="仿宋" w:hAnsi="仿宋" w:eastAsia="仿宋" w:cs="仿宋"/>
          <w:color w:val="auto"/>
          <w:sz w:val="24"/>
          <w:szCs w:val="24"/>
          <w:highlight w:val="none"/>
          <w:lang w:eastAsia="zh-CN"/>
        </w:rPr>
        <w:t>无效</w:t>
      </w:r>
      <w:r>
        <w:rPr>
          <w:rFonts w:hint="eastAsia" w:ascii="仿宋" w:hAnsi="仿宋" w:eastAsia="仿宋" w:cs="仿宋"/>
          <w:color w:val="auto"/>
          <w:sz w:val="24"/>
          <w:szCs w:val="24"/>
          <w:highlight w:val="none"/>
        </w:rPr>
        <w:t>处理。</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报价保留两位小数。中文大写金额用汉字，如壹、贰、叁、肆、伍、陆、柒、捌、玖、拾、佰、仟、万、亿、元、角、分、零、整（正）等。小写：1234567.89元，大写：壹佰贰拾叁万肆仟伍佰陆拾柒元捌角玖分。</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文件的必要文件，是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文件的组成部分。</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文件另有规定外，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文件内不得含有任何对本报价进行价格折扣的说明或资料，否则为无效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要求，合同履行期限超过</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规定的期限为无效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报价要求详见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要求，本项目不接受有选</w:t>
      </w:r>
      <w:r>
        <w:rPr>
          <w:rFonts w:hint="eastAsia" w:ascii="仿宋" w:hAnsi="仿宋" w:eastAsia="仿宋" w:cs="仿宋"/>
          <w:color w:val="auto"/>
          <w:sz w:val="24"/>
          <w:szCs w:val="24"/>
          <w:highlight w:val="none"/>
          <w:lang w:eastAsia="zh-CN"/>
        </w:rPr>
        <w:t>择性地响应</w:t>
      </w:r>
      <w:r>
        <w:rPr>
          <w:rFonts w:hint="eastAsia" w:ascii="仿宋" w:hAnsi="仿宋" w:eastAsia="仿宋" w:cs="仿宋"/>
          <w:color w:val="auto"/>
          <w:sz w:val="24"/>
          <w:szCs w:val="24"/>
          <w:highlight w:val="none"/>
        </w:rPr>
        <w:t>报价。</w:t>
      </w:r>
    </w:p>
    <w:p>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autoSpaceDE w:val="0"/>
        <w:autoSpaceDN w:val="0"/>
        <w:bidi w:val="0"/>
        <w:adjustRightInd w:val="0"/>
        <w:snapToGrid w:val="0"/>
        <w:spacing w:line="312" w:lineRule="auto"/>
        <w:ind w:firstLine="480" w:firstLineChars="200"/>
        <w:textAlignment w:val="auto"/>
        <w:rPr>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color w:val="auto"/>
          <w:highlight w:val="none"/>
        </w:rPr>
      </w:pPr>
    </w:p>
    <w:p>
      <w:pPr>
        <w:rPr>
          <w:b/>
          <w:bCs/>
          <w:color w:val="auto"/>
          <w:highlight w:val="none"/>
        </w:rPr>
      </w:pPr>
    </w:p>
    <w:p>
      <w:pPr>
        <w:rPr>
          <w:color w:val="auto"/>
          <w:highlight w:val="none"/>
        </w:rPr>
      </w:pPr>
    </w:p>
    <w:p>
      <w:pPr>
        <w:rPr>
          <w:color w:val="auto"/>
          <w:highlight w:val="none"/>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7.定标部分</w:t>
      </w:r>
    </w:p>
    <w:p>
      <w:pPr>
        <w:pStyle w:val="2"/>
        <w:numPr>
          <w:ilvl w:val="2"/>
          <w:numId w:val="0"/>
        </w:numPr>
        <w:spacing w:line="360" w:lineRule="auto"/>
        <w:ind w:leftChars="0"/>
        <w:jc w:val="center"/>
        <w:outlineLvl w:val="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定标因素表</w:t>
      </w:r>
    </w:p>
    <w:p>
      <w:pPr>
        <w:numPr>
          <w:ilvl w:val="0"/>
          <w:numId w:val="0"/>
        </w:numPr>
        <w:rPr>
          <w:rFonts w:hint="eastAsia" w:ascii="仿宋" w:hAnsi="仿宋" w:eastAsia="仿宋" w:cs="仿宋"/>
          <w:color w:val="auto"/>
          <w:sz w:val="24"/>
          <w:szCs w:val="24"/>
          <w:highlight w:val="none"/>
          <w:lang w:val="en-US" w:eastAsia="zh-CN"/>
        </w:rPr>
      </w:pPr>
    </w:p>
    <w:tbl>
      <w:tblPr>
        <w:tblStyle w:val="18"/>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11"/>
        <w:gridCol w:w="1778"/>
        <w:gridCol w:w="2424"/>
        <w:gridCol w:w="168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序号</w:t>
            </w:r>
          </w:p>
        </w:tc>
        <w:tc>
          <w:tcPr>
            <w:tcW w:w="3389" w:type="dxa"/>
            <w:gridSpan w:val="2"/>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定标因素</w:t>
            </w:r>
          </w:p>
        </w:tc>
        <w:tc>
          <w:tcPr>
            <w:tcW w:w="2424"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lang w:eastAsia="zh-CN"/>
              </w:rPr>
              <w:t>响应供应商</w:t>
            </w:r>
            <w:r>
              <w:rPr>
                <w:rFonts w:hint="eastAsia" w:ascii="仿宋" w:hAnsi="仿宋" w:eastAsia="仿宋" w:cs="仿宋"/>
                <w:b/>
                <w:bCs/>
                <w:color w:val="auto"/>
                <w:spacing w:val="0"/>
                <w:sz w:val="24"/>
                <w:szCs w:val="24"/>
                <w:highlight w:val="none"/>
                <w:lang w:val="en-US" w:eastAsia="zh-CN"/>
              </w:rPr>
              <w:t>响应</w:t>
            </w:r>
            <w:r>
              <w:rPr>
                <w:rFonts w:hint="eastAsia" w:ascii="仿宋" w:hAnsi="仿宋" w:eastAsia="仿宋" w:cs="仿宋"/>
                <w:b/>
                <w:bCs/>
                <w:color w:val="auto"/>
                <w:spacing w:val="0"/>
                <w:sz w:val="24"/>
                <w:szCs w:val="24"/>
                <w:highlight w:val="none"/>
              </w:rPr>
              <w:t>情况</w:t>
            </w:r>
          </w:p>
        </w:tc>
        <w:tc>
          <w:tcPr>
            <w:tcW w:w="1681"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证明材料所在页码</w:t>
            </w:r>
          </w:p>
        </w:tc>
        <w:tc>
          <w:tcPr>
            <w:tcW w:w="1050"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企业实力</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自行提交材料</w:t>
            </w:r>
          </w:p>
        </w:tc>
        <w:tc>
          <w:tcPr>
            <w:tcW w:w="2424"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681"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2</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企业信誉</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自行提交材料</w:t>
            </w:r>
          </w:p>
        </w:tc>
        <w:tc>
          <w:tcPr>
            <w:tcW w:w="2424"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681"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响应文件响应情况</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按响应文件响应内容提供，提交汇总表</w:t>
            </w:r>
          </w:p>
        </w:tc>
        <w:tc>
          <w:tcPr>
            <w:tcW w:w="2424" w:type="dxa"/>
            <w:noWrap w:val="0"/>
            <w:vAlign w:val="center"/>
          </w:tcPr>
          <w:p>
            <w:pPr>
              <w:adjustRightInd w:val="0"/>
              <w:snapToGrid w:val="0"/>
              <w:spacing w:line="360" w:lineRule="auto"/>
              <w:jc w:val="both"/>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响应</w:t>
            </w:r>
            <w:r>
              <w:rPr>
                <w:rFonts w:hint="eastAsia" w:ascii="仿宋" w:hAnsi="仿宋" w:eastAsia="仿宋" w:cs="仿宋"/>
                <w:color w:val="auto"/>
                <w:spacing w:val="0"/>
                <w:sz w:val="24"/>
                <w:szCs w:val="24"/>
                <w:highlight w:val="none"/>
              </w:rPr>
              <w:t>文件需求内容负偏离:</w:t>
            </w:r>
            <w:r>
              <w:rPr>
                <w:rFonts w:hint="eastAsia" w:ascii="仿宋" w:hAnsi="仿宋" w:eastAsia="仿宋" w:cs="仿宋"/>
                <w:color w:val="auto"/>
                <w:spacing w:val="0"/>
                <w:sz w:val="24"/>
                <w:szCs w:val="24"/>
                <w:highlight w:val="none"/>
                <w:u w:val="single"/>
                <w:lang w:val="en-US" w:eastAsia="zh-CN"/>
              </w:rPr>
              <w:t xml:space="preserve">    </w:t>
            </w:r>
            <w:r>
              <w:rPr>
                <w:rFonts w:hint="eastAsia" w:ascii="仿宋" w:hAnsi="仿宋" w:eastAsia="仿宋" w:cs="仿宋"/>
                <w:color w:val="auto"/>
                <w:spacing w:val="0"/>
                <w:sz w:val="24"/>
                <w:szCs w:val="24"/>
                <w:highlight w:val="none"/>
              </w:rPr>
              <w:t>条</w:t>
            </w:r>
          </w:p>
        </w:tc>
        <w:tc>
          <w:tcPr>
            <w:tcW w:w="1681"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4</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响应报价</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按响应文件内容提供</w:t>
            </w:r>
          </w:p>
        </w:tc>
        <w:tc>
          <w:tcPr>
            <w:tcW w:w="2424"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681"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5</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拟派团队管理能力与水平</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按响应文件内容提供</w:t>
            </w:r>
          </w:p>
        </w:tc>
        <w:tc>
          <w:tcPr>
            <w:tcW w:w="2424"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681"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778"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2424"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681"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bookmarkEnd w:id="0"/>
      <w:bookmarkEnd w:id="1"/>
    </w:tbl>
    <w:p>
      <w:pPr>
        <w:rPr>
          <w:color w:val="auto"/>
          <w:highlight w:val="none"/>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E49C1"/>
    <w:multiLevelType w:val="singleLevel"/>
    <w:tmpl w:val="832E49C1"/>
    <w:lvl w:ilvl="0" w:tentative="0">
      <w:start w:val="1"/>
      <w:numFmt w:val="decimal"/>
      <w:lvlText w:val="%1."/>
      <w:lvlJc w:val="left"/>
      <w:pPr>
        <w:tabs>
          <w:tab w:val="left" w:pos="312"/>
        </w:tabs>
      </w:pPr>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C57B1A6D"/>
    <w:multiLevelType w:val="singleLevel"/>
    <w:tmpl w:val="C57B1A6D"/>
    <w:lvl w:ilvl="0" w:tentative="0">
      <w:start w:val="15"/>
      <w:numFmt w:val="chineseCounting"/>
      <w:suff w:val="nothing"/>
      <w:lvlText w:val="%1、"/>
      <w:lvlJc w:val="left"/>
      <w:rPr>
        <w:rFonts w:hint="eastAsia"/>
      </w:rPr>
    </w:lvl>
  </w:abstractNum>
  <w:abstractNum w:abstractNumId="3">
    <w:nsid w:val="2A94068F"/>
    <w:multiLevelType w:val="singleLevel"/>
    <w:tmpl w:val="2A94068F"/>
    <w:lvl w:ilvl="0" w:tentative="0">
      <w:start w:val="1"/>
      <w:numFmt w:val="decimal"/>
      <w:lvlText w:val="%1."/>
      <w:lvlJc w:val="left"/>
      <w:pPr>
        <w:tabs>
          <w:tab w:val="left" w:pos="312"/>
        </w:tabs>
      </w:pPr>
    </w:lvl>
  </w:abstractNum>
  <w:abstractNum w:abstractNumId="4">
    <w:nsid w:val="35EF008B"/>
    <w:multiLevelType w:val="singleLevel"/>
    <w:tmpl w:val="35EF008B"/>
    <w:lvl w:ilvl="0" w:tentative="0">
      <w:start w:val="5"/>
      <w:numFmt w:val="chineseCounting"/>
      <w:suff w:val="nothing"/>
      <w:lvlText w:val="%1、"/>
      <w:lvlJc w:val="left"/>
      <w:rPr>
        <w:rFonts w:hint="eastAsia"/>
      </w:rPr>
    </w:lvl>
  </w:abstractNum>
  <w:abstractNum w:abstractNumId="5">
    <w:nsid w:val="569C8C25"/>
    <w:multiLevelType w:val="singleLevel"/>
    <w:tmpl w:val="569C8C25"/>
    <w:lvl w:ilvl="0" w:tentative="0">
      <w:start w:val="1"/>
      <w:numFmt w:val="chineseCounting"/>
      <w:suff w:val="nothing"/>
      <w:lvlText w:val="%1、"/>
      <w:lvlJc w:val="left"/>
    </w:lvl>
  </w:abstractNum>
  <w:abstractNum w:abstractNumId="6">
    <w:nsid w:val="6B4F91DC"/>
    <w:multiLevelType w:val="singleLevel"/>
    <w:tmpl w:val="6B4F91DC"/>
    <w:lvl w:ilvl="0" w:tentative="0">
      <w:start w:val="1"/>
      <w:numFmt w:val="decimal"/>
      <w:lvlText w:val="%1."/>
      <w:lvlJc w:val="left"/>
      <w:pPr>
        <w:tabs>
          <w:tab w:val="left" w:pos="312"/>
        </w:tabs>
      </w:pPr>
    </w:lvl>
  </w:abstractNum>
  <w:abstractNum w:abstractNumId="7">
    <w:nsid w:val="70222339"/>
    <w:multiLevelType w:val="multilevel"/>
    <w:tmpl w:val="70222339"/>
    <w:lvl w:ilvl="0" w:tentative="0">
      <w:start w:val="1"/>
      <w:numFmt w:val="decimal"/>
      <w:pStyle w:val="3"/>
      <w:lvlText w:val="%1."/>
      <w:lvlJc w:val="left"/>
      <w:pPr>
        <w:ind w:left="0" w:firstLine="0"/>
      </w:pPr>
      <w:rPr>
        <w:rFonts w:ascii="宋体" w:hAnsi="宋体" w:eastAsia="宋体"/>
        <w:b/>
        <w:i w:val="0"/>
        <w:iCs w:val="0"/>
        <w:caps w:val="0"/>
        <w:smallCaps w:val="0"/>
        <w:strike w:val="0"/>
        <w:dstrike w:val="0"/>
        <w:vanish w:val="0"/>
        <w:color w:val="000000"/>
        <w:spacing w:val="0"/>
        <w:position w:val="0"/>
        <w:u w:val="none"/>
        <w:vertAlign w:val="baseline"/>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7"/>
  </w:num>
  <w:num w:numId="2">
    <w:abstractNumId w:val="5"/>
  </w:num>
  <w:num w:numId="3">
    <w:abstractNumId w:val="3"/>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1141F"/>
    <w:rsid w:val="1385127E"/>
    <w:rsid w:val="1BCE50FA"/>
    <w:rsid w:val="229A0425"/>
    <w:rsid w:val="22E91B4A"/>
    <w:rsid w:val="32901FBD"/>
    <w:rsid w:val="32C92BF5"/>
    <w:rsid w:val="33D666C7"/>
    <w:rsid w:val="391B116C"/>
    <w:rsid w:val="3AE723A6"/>
    <w:rsid w:val="3E9F6457"/>
    <w:rsid w:val="427A4980"/>
    <w:rsid w:val="44444030"/>
    <w:rsid w:val="480A2222"/>
    <w:rsid w:val="57DC0F43"/>
    <w:rsid w:val="60EB7F34"/>
    <w:rsid w:val="680F6F74"/>
    <w:rsid w:val="769C014D"/>
    <w:rsid w:val="79CA132A"/>
    <w:rsid w:val="7C7B3BA7"/>
    <w:rsid w:val="7CD05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val="0"/>
      <w:numPr>
        <w:ilvl w:val="0"/>
        <w:numId w:val="1"/>
      </w:numPr>
      <w:topLinePunct/>
      <w:spacing w:before="20" w:after="20" w:line="360" w:lineRule="auto"/>
      <w:jc w:val="both"/>
      <w:outlineLvl w:val="0"/>
    </w:pPr>
    <w:rPr>
      <w:rFonts w:ascii="Calibri" w:hAnsi="Calibri" w:eastAsia="宋体" w:cs="Times New Roman"/>
      <w:b/>
      <w:bCs/>
      <w:sz w:val="21"/>
      <w:szCs w:val="4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eastAsia="Verdana"/>
    </w:rPr>
  </w:style>
  <w:style w:type="paragraph" w:customStyle="1" w:styleId="6">
    <w:name w:val="样式 正文文本 + 宋体 首行缩进:  0.74 厘米 行距: 1.5 倍行距"/>
    <w:basedOn w:val="7"/>
    <w:qFormat/>
    <w:uiPriority w:val="0"/>
    <w:rPr>
      <w:rFonts w:ascii="Calibri" w:hAnsi="Calibri"/>
      <w:sz w:val="24"/>
      <w:szCs w:val="22"/>
    </w:rPr>
  </w:style>
  <w:style w:type="paragraph" w:styleId="7">
    <w:name w:val="Body Text"/>
    <w:basedOn w:val="1"/>
    <w:next w:val="1"/>
    <w:qFormat/>
    <w:uiPriority w:val="0"/>
    <w:pPr>
      <w:spacing w:after="120"/>
    </w:pPr>
  </w:style>
  <w:style w:type="paragraph" w:styleId="8">
    <w:name w:val="caption"/>
    <w:basedOn w:val="1"/>
    <w:next w:val="1"/>
    <w:qFormat/>
    <w:uiPriority w:val="0"/>
    <w:rPr>
      <w:rFonts w:ascii="Cambria" w:hAnsi="Cambria" w:eastAsia="黑体" w:cs="Times New Roman"/>
      <w:sz w:val="20"/>
      <w:szCs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style>
  <w:style w:type="paragraph" w:styleId="15">
    <w:name w:val="index heading"/>
    <w:basedOn w:val="1"/>
    <w:next w:val="16"/>
    <w:qFormat/>
    <w:uiPriority w:val="0"/>
    <w:rPr>
      <w:szCs w:val="20"/>
    </w:rPr>
  </w:style>
  <w:style w:type="paragraph" w:styleId="16">
    <w:name w:val="index 1"/>
    <w:basedOn w:val="1"/>
    <w:next w:val="1"/>
    <w:qFormat/>
    <w:uiPriority w:val="0"/>
  </w:style>
  <w:style w:type="paragraph" w:styleId="17">
    <w:name w:val="List"/>
    <w:basedOn w:val="1"/>
    <w:qFormat/>
    <w:uiPriority w:val="0"/>
    <w:pPr>
      <w:keepNext w:val="0"/>
      <w:keepLines w:val="0"/>
      <w:widowControl w:val="0"/>
      <w:suppressLineNumbers w:val="0"/>
      <w:spacing w:before="0" w:beforeAutospacing="0" w:after="0" w:afterAutospacing="0"/>
      <w:ind w:left="0" w:right="0" w:firstLine="0" w:firstLineChars="0"/>
      <w:contextualSpacing/>
      <w:jc w:val="both"/>
    </w:pPr>
    <w:rPr>
      <w:rFonts w:hint="default" w:ascii="Times New Roman" w:hAnsi="Times New Roman" w:eastAsia="宋体" w:cs="Times New Roman"/>
      <w:kern w:val="2"/>
      <w:sz w:val="21"/>
      <w:szCs w:val="21"/>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2">
    <w:name w:val="列出段落1"/>
    <w:basedOn w:val="1"/>
    <w:qFormat/>
    <w:uiPriority w:val="99"/>
    <w:pPr>
      <w:ind w:firstLine="420" w:firstLineChars="200"/>
    </w:pPr>
  </w:style>
  <w:style w:type="paragraph" w:styleId="23">
    <w:name w:val="List Paragraph"/>
    <w:basedOn w:val="1"/>
    <w:qFormat/>
    <w:uiPriority w:val="34"/>
    <w:pPr>
      <w:ind w:firstLine="420"/>
    </w:pPr>
  </w:style>
  <w:style w:type="paragraph" w:customStyle="1" w:styleId="24">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5">
    <w:name w:val="null3"/>
    <w:qFormat/>
    <w:uiPriority w:val="0"/>
    <w:rPr>
      <w:rFonts w:hint="eastAsia" w:ascii="Calibri" w:hAnsi="Calibri" w:eastAsia="宋体" w:cs="Times New Roman"/>
      <w:lang w:val="en-US" w:eastAsia="zh-Hans"/>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题注4"/>
    <w:basedOn w:val="1"/>
    <w:next w:val="8"/>
    <w:qFormat/>
    <w:uiPriority w:val="0"/>
    <w:pPr>
      <w:ind w:left="-132" w:leftChars="-64" w:right="-105" w:rightChars="-50" w:hanging="2"/>
      <w:jc w:val="center"/>
    </w:pPr>
    <w:rPr>
      <w:b/>
      <w:color w:val="FF0000"/>
      <w:szCs w:val="21"/>
      <w:lang w:val="en-GB"/>
    </w:rPr>
  </w:style>
  <w:style w:type="paragraph" w:customStyle="1" w:styleId="28">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2025-05-22T00:41:00Z</dcterms:created>
  <dc:creator>Administrator.FY-202308300715</dc:creator>
  <cp:lastModifiedBy>Mao</cp:lastModifiedBy>
  <dcterms:modified xsi:type="dcterms:W3CDTF">2025-05-27T08:33:15Z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