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rPr>
          <w:rFonts w:hint="eastAsia" w:ascii="仿宋" w:hAnsi="仿宋" w:eastAsia="仿宋" w:cs="仿宋"/>
          <w:b/>
          <w:color w:val="auto"/>
          <w:sz w:val="72"/>
          <w:szCs w:val="72"/>
          <w:highlight w:val="none"/>
        </w:rPr>
      </w:pPr>
      <w:bookmarkStart w:id="0" w:name="OLE_LINK2"/>
      <w:r>
        <w:rPr>
          <w:rFonts w:hint="eastAsia" w:ascii="仿宋" w:hAnsi="仿宋" w:eastAsia="仿宋" w:cs="仿宋"/>
          <w:b/>
          <w:color w:val="auto"/>
          <w:sz w:val="72"/>
          <w:szCs w:val="72"/>
          <w:highlight w:val="none"/>
        </w:rPr>
        <w:t xml:space="preserve">  </w:t>
      </w: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ZCB-YN-2025027</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ab/>
      </w:r>
      <w:bookmarkStart w:id="1" w:name="OLE_LINK1"/>
      <w:bookmarkStart w:id="2" w:name="OLE_LINK4"/>
      <w:bookmarkStart w:id="3" w:name="OLE_LINK5"/>
      <w:r>
        <w:rPr>
          <w:rFonts w:hint="eastAsia" w:ascii="仿宋" w:hAnsi="仿宋" w:eastAsia="仿宋" w:cs="仿宋"/>
          <w:b/>
          <w:color w:val="auto"/>
          <w:sz w:val="28"/>
          <w:szCs w:val="28"/>
          <w:highlight w:val="none"/>
          <w:lang w:eastAsia="zh-CN"/>
        </w:rPr>
        <w:t>惠州市第一妇幼保健院</w:t>
      </w:r>
      <w:bookmarkEnd w:id="1"/>
      <w:bookmarkEnd w:id="2"/>
      <w:r>
        <w:rPr>
          <w:rFonts w:hint="eastAsia" w:ascii="仿宋" w:hAnsi="仿宋" w:eastAsia="仿宋" w:cs="仿宋"/>
          <w:b/>
          <w:color w:val="auto"/>
          <w:sz w:val="28"/>
          <w:szCs w:val="28"/>
          <w:highlight w:val="none"/>
          <w:lang w:eastAsia="zh-CN"/>
        </w:rPr>
        <w:t>2025年医学超声影像放射影像PACS系统接口开发服务</w:t>
      </w:r>
    </w:p>
    <w:bookmarkEnd w:id="3"/>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p>
    <w:p>
      <w:pPr>
        <w:spacing w:line="420" w:lineRule="exact"/>
        <w:ind w:firstLine="486"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惠州市第一妇幼保健院2025年医学超声影像放射影像PACS系统接口开发服务</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ZCB-YN-2025027</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惠州市第一妇幼保健院2025年医学超声影像放射影像PACS系统接口开发服务</w:t>
      </w:r>
    </w:p>
    <w:p>
      <w:pPr>
        <w:spacing w:line="420" w:lineRule="exact"/>
        <w:ind w:firstLine="510"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9"/>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64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971"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惠州市第一妇幼保健院2025年医学超声影像放射影像PACS系统接口开发服务</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90000.00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eastAsia="zh-CN"/>
              </w:rPr>
              <w:t>技术要求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ind w:firstLine="510" w:firstLineChars="210"/>
        <w:rPr>
          <w:rFonts w:hint="eastAsia" w:ascii="仿宋" w:hAnsi="仿宋" w:eastAsia="仿宋" w:cs="仿宋"/>
          <w:color w:val="auto"/>
          <w:sz w:val="24"/>
          <w:highlight w:val="none"/>
          <w:lang w:val="zh-CN"/>
        </w:rPr>
      </w:pPr>
    </w:p>
    <w:p>
      <w:pPr>
        <w:spacing w:line="420" w:lineRule="exact"/>
        <w:ind w:firstLine="510"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日起至</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日（上午08:00-12:00，下午14:30-17:30，法定节假日除外）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10"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分（北京时间）</w:t>
      </w:r>
    </w:p>
    <w:p>
      <w:pPr>
        <w:spacing w:line="420" w:lineRule="exact"/>
        <w:ind w:firstLine="510"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10"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15分</w:t>
      </w:r>
      <w:r>
        <w:rPr>
          <w:rFonts w:hint="eastAsia" w:ascii="仿宋" w:hAnsi="仿宋" w:eastAsia="仿宋" w:cs="仿宋"/>
          <w:color w:val="auto"/>
          <w:sz w:val="24"/>
          <w:highlight w:val="none"/>
        </w:rPr>
        <w:t>（北京时间）</w:t>
      </w:r>
    </w:p>
    <w:p>
      <w:pPr>
        <w:spacing w:line="420" w:lineRule="exact"/>
        <w:ind w:firstLine="510"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66"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22"/>
        <w:rPr>
          <w:rFonts w:hint="eastAsia"/>
          <w:color w:val="auto"/>
          <w:highlight w:val="none"/>
          <w:lang w:val="en-US" w:eastAsia="zh-CN"/>
        </w:rPr>
      </w:pPr>
    </w:p>
    <w:p>
      <w:pPr>
        <w:spacing w:line="420" w:lineRule="exact"/>
        <w:ind w:firstLine="3766"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66"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6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bookmarkStart w:id="37" w:name="_GoBack"/>
      <w:bookmarkEnd w:id="37"/>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6"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tabs>
          <w:tab w:val="left" w:pos="0"/>
        </w:tabs>
        <w:wordWrap w:val="0"/>
        <w:spacing w:line="360" w:lineRule="auto"/>
        <w:ind w:firstLine="486"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1.具备《政府采购法》第二十二条规定的条件,且提供以下证明文件：</w:t>
      </w:r>
    </w:p>
    <w:p>
      <w:pPr>
        <w:tabs>
          <w:tab w:val="left" w:pos="0"/>
        </w:tabs>
        <w:wordWrap w:val="0"/>
        <w:spacing w:line="360" w:lineRule="auto"/>
        <w:ind w:firstLine="486"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tabs>
          <w:tab w:val="left" w:pos="0"/>
        </w:tabs>
        <w:wordWrap w:val="0"/>
        <w:spacing w:line="360" w:lineRule="auto"/>
        <w:ind w:firstLine="486"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szCs w:val="24"/>
          <w:highlight w:val="none"/>
        </w:rPr>
        <w:t>供应商必须具有良好的商业信誉和健全的财务会计制度。可提供：①</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年至今任意一年经审计的审计报告复印件（包含审计报告中所涉及的财务报表和报表附注）；或②</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年度至今任意一年</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内部的财务报表复印件（新成立公司提供成立至今的月或季度财务报表复印件）；或③截至</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文件递交截止日</w:t>
      </w:r>
      <w:r>
        <w:rPr>
          <w:rFonts w:hint="eastAsia" w:ascii="仿宋" w:hAnsi="仿宋" w:eastAsia="仿宋" w:cs="仿宋"/>
          <w:color w:val="auto"/>
          <w:sz w:val="24"/>
          <w:szCs w:val="24"/>
          <w:highlight w:val="none"/>
          <w:lang w:eastAsia="zh-CN"/>
        </w:rPr>
        <w:t>12个月内银行</w:t>
      </w:r>
      <w:r>
        <w:rPr>
          <w:rFonts w:hint="eastAsia" w:ascii="仿宋" w:hAnsi="仿宋" w:eastAsia="仿宋" w:cs="仿宋"/>
          <w:color w:val="auto"/>
          <w:sz w:val="24"/>
          <w:szCs w:val="24"/>
          <w:highlight w:val="none"/>
        </w:rPr>
        <w:t>出具的资信证明（复印件）；</w:t>
      </w:r>
    </w:p>
    <w:p>
      <w:pPr>
        <w:tabs>
          <w:tab w:val="left" w:pos="0"/>
        </w:tabs>
        <w:wordWrap w:val="0"/>
        <w:spacing w:line="360" w:lineRule="auto"/>
        <w:ind w:firstLine="486"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（3）比选截止时间近12个月内任意一个月的依法缴纳税收证明材料</w:t>
      </w:r>
      <w:r>
        <w:rPr>
          <w:rFonts w:hint="eastAsia" w:ascii="仿宋" w:hAnsi="仿宋" w:eastAsia="仿宋" w:cs="仿宋"/>
          <w:b/>
          <w:bCs/>
          <w:color w:val="auto"/>
          <w:sz w:val="24"/>
          <w:highlight w:val="none"/>
        </w:rPr>
        <w:t>（如依法免税，则须提供相应文件证明其依法免税）；</w:t>
      </w:r>
    </w:p>
    <w:p>
      <w:pPr>
        <w:tabs>
          <w:tab w:val="left" w:pos="0"/>
        </w:tabs>
        <w:wordWrap w:val="0"/>
        <w:spacing w:line="360" w:lineRule="auto"/>
        <w:ind w:firstLine="486" w:firstLineChars="200"/>
        <w:jc w:val="lef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（4）比选截止时间近12个月内任意一个月的依法缴纳社会保险凭据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lang w:eastAsia="zh-CN"/>
        </w:rPr>
        <w:t>或书面声明。</w:t>
      </w:r>
    </w:p>
    <w:p>
      <w:pPr>
        <w:tabs>
          <w:tab w:val="left" w:pos="0"/>
        </w:tabs>
        <w:wordWrap w:val="0"/>
        <w:spacing w:line="360" w:lineRule="auto"/>
        <w:ind w:firstLine="486"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tabs>
          <w:tab w:val="left" w:pos="0"/>
        </w:tabs>
        <w:wordWrap w:val="0"/>
        <w:spacing w:line="360" w:lineRule="auto"/>
        <w:ind w:firstLine="486"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tabs>
          <w:tab w:val="left" w:pos="0"/>
        </w:tabs>
        <w:wordWrap w:val="0"/>
        <w:spacing w:line="360" w:lineRule="auto"/>
        <w:ind w:firstLine="486"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tabs>
          <w:tab w:val="left" w:pos="0"/>
        </w:tabs>
        <w:wordWrap w:val="0"/>
        <w:spacing w:line="360" w:lineRule="auto"/>
        <w:ind w:firstLine="486"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3.单位负责人为同一人或者存在直接控股、管理关系的不同供应商，不得参加同一包号</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lang w:val="zh-CN"/>
        </w:rPr>
        <w:t>或者未划分包号的同一采购项目。</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6"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4.为本采购项目提供整体设计、规范编制或者项目管理、监理、检测等服务的供应商，不得再参加本采购项目的采购活动。</w:t>
      </w:r>
      <w:r>
        <w:rPr>
          <w:rFonts w:hint="eastAsia" w:ascii="仿宋" w:hAnsi="仿宋" w:eastAsia="仿宋" w:cs="仿宋"/>
          <w:b/>
          <w:bCs/>
          <w:color w:val="auto"/>
          <w:sz w:val="24"/>
          <w:highlight w:val="none"/>
          <w:lang w:val="zh-CN"/>
        </w:rPr>
        <w:t>(供应商出具声明函)</w:t>
      </w:r>
    </w:p>
    <w:p>
      <w:pPr>
        <w:tabs>
          <w:tab w:val="left" w:pos="0"/>
        </w:tabs>
        <w:wordWrap w:val="0"/>
        <w:spacing w:line="360" w:lineRule="auto"/>
        <w:ind w:firstLine="486" w:firstLineChars="200"/>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本项目不接受联合体参加比选，不允许响应供应商对各比选项目进行分包或转包</w:t>
      </w:r>
      <w:r>
        <w:rPr>
          <w:rFonts w:hint="eastAsia" w:ascii="仿宋" w:hAnsi="仿宋" w:eastAsia="仿宋" w:cs="仿宋"/>
          <w:b/>
          <w:bCs/>
          <w:color w:val="auto"/>
          <w:sz w:val="24"/>
          <w:highlight w:val="none"/>
        </w:rPr>
        <w:t>(供应商出具声明函)</w:t>
      </w:r>
      <w:r>
        <w:rPr>
          <w:rFonts w:hint="eastAsia" w:ascii="仿宋" w:hAnsi="仿宋" w:eastAsia="仿宋" w:cs="仿宋"/>
          <w:color w:val="auto"/>
          <w:sz w:val="24"/>
          <w:highlight w:val="none"/>
          <w:lang w:eastAsia="zh-CN"/>
        </w:rPr>
        <w:t>。</w:t>
      </w:r>
    </w:p>
    <w:p>
      <w:pPr>
        <w:tabs>
          <w:tab w:val="left" w:pos="0"/>
        </w:tabs>
        <w:wordWrap w:val="0"/>
        <w:spacing w:line="360" w:lineRule="auto"/>
        <w:ind w:firstLine="486" w:firstLineChars="200"/>
        <w:jc w:val="left"/>
        <w:rPr>
          <w:rFonts w:hint="eastAsia" w:ascii="仿宋" w:hAnsi="仿宋" w:eastAsia="宋体" w:cs="仿宋"/>
          <w:b w:val="0"/>
          <w:bCs w:val="0"/>
          <w:strike w:val="0"/>
          <w:color w:val="auto"/>
          <w:sz w:val="24"/>
          <w:highlight w:val="none"/>
          <w:lang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lang w:eastAsia="zh-CN"/>
        </w:rPr>
        <w:t>本项目是专门面向中小企业采购的项目，供应商应为中小微企业。（提供《中小企业声明函》,具体格式文件见比选文件P48中小企业声明函，未按要求提供声明函的将导致响应无效）。本项目中小企业划分标准所属行业为：软件和信息技术服务行业。</w:t>
      </w:r>
    </w:p>
    <w:p>
      <w:pPr>
        <w:tabs>
          <w:tab w:val="left" w:pos="0"/>
        </w:tabs>
        <w:wordWrap w:val="0"/>
        <w:spacing w:line="360" w:lineRule="auto"/>
        <w:ind w:firstLine="486"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autoSpaceDE w:val="0"/>
        <w:autoSpaceDN w:val="0"/>
        <w:spacing w:line="360" w:lineRule="auto"/>
        <w:ind w:firstLine="486" w:firstLineChars="200"/>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响应供应商必须满足以上资格要求，如出现对任意一条不满足的，资格性审查将不通过。</w:t>
      </w:r>
    </w:p>
    <w:p>
      <w:pPr>
        <w:autoSpaceDE w:val="0"/>
        <w:autoSpaceDN w:val="0"/>
        <w:spacing w:line="360" w:lineRule="auto"/>
        <w:ind w:firstLine="486"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6"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6"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6"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6"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autoSpaceDE w:val="0"/>
        <w:autoSpaceDN w:val="0"/>
        <w:spacing w:line="440" w:lineRule="exact"/>
        <w:ind w:firstLine="486" w:firstLineChars="200"/>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（二）项目概况</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为满足医院信息化建设目标，实现与HIS系统申请单获取、检查状态回传、检查报告回传功能以及危急值报告短信提醒患者。</w:t>
      </w:r>
    </w:p>
    <w:p>
      <w:pPr>
        <w:numPr>
          <w:ilvl w:val="0"/>
          <w:numId w:val="3"/>
        </w:numPr>
        <w:autoSpaceDE w:val="0"/>
        <w:autoSpaceDN w:val="0"/>
        <w:spacing w:line="360" w:lineRule="auto"/>
        <w:ind w:firstLine="486"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项目内容：</w:t>
      </w:r>
    </w:p>
    <w:p>
      <w:pPr>
        <w:numPr>
          <w:ilvl w:val="0"/>
          <w:numId w:val="0"/>
        </w:numPr>
        <w:autoSpaceDE w:val="0"/>
        <w:autoSpaceDN w:val="0"/>
        <w:spacing w:line="360" w:lineRule="auto"/>
        <w:ind w:firstLine="486" w:firstLineChars="200"/>
        <w:rPr>
          <w:rFonts w:hint="default"/>
          <w:b w:val="0"/>
          <w:bCs w:val="0"/>
          <w:color w:val="auto"/>
          <w:highlight w:val="none"/>
          <w:lang w:val="en-US"/>
        </w:rPr>
      </w:pPr>
      <w:r>
        <w:rPr>
          <w:rFonts w:hint="eastAsia" w:ascii="仿宋" w:hAnsi="仿宋" w:eastAsia="仿宋" w:cs="仿宋"/>
          <w:b w:val="0"/>
          <w:bCs w:val="0"/>
          <w:color w:val="auto"/>
          <w:sz w:val="24"/>
          <w:highlight w:val="none"/>
          <w:lang w:val="en-US" w:eastAsia="zh-CN"/>
        </w:rPr>
        <w:t>1.服务内容</w:t>
      </w:r>
    </w:p>
    <w:tbl>
      <w:tblPr>
        <w:tblStyle w:val="19"/>
        <w:tblpPr w:leftFromText="180" w:rightFromText="180" w:vertAnchor="text" w:horzAnchor="page" w:tblpX="1671" w:tblpY="4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415"/>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765" w:type="dxa"/>
            <w:noWrap w:val="0"/>
            <w:vAlign w:val="center"/>
          </w:tcPr>
          <w:p>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15" w:type="dxa"/>
            <w:noWrap w:val="0"/>
            <w:vAlign w:val="center"/>
          </w:tcPr>
          <w:p>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模块名称</w:t>
            </w:r>
          </w:p>
        </w:tc>
        <w:tc>
          <w:tcPr>
            <w:tcW w:w="5303" w:type="dxa"/>
            <w:noWrap w:val="0"/>
            <w:vAlign w:val="center"/>
          </w:tcPr>
          <w:p>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65" w:type="dxa"/>
            <w:noWrap w:val="0"/>
            <w:vAlign w:val="center"/>
          </w:tcPr>
          <w:p>
            <w:pPr>
              <w:pStyle w:val="1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415" w:type="dxa"/>
            <w:noWrap w:val="0"/>
            <w:vAlign w:val="center"/>
          </w:tcPr>
          <w:p>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HIS 接口服务</w:t>
            </w:r>
          </w:p>
        </w:tc>
        <w:tc>
          <w:tcPr>
            <w:tcW w:w="5303" w:type="dxa"/>
            <w:noWrap w:val="0"/>
            <w:vAlign w:val="center"/>
          </w:tcPr>
          <w:p>
            <w:pPr>
              <w:pStyle w:val="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获取申请单信息、回传检查状态、回传检查报告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65" w:type="dxa"/>
            <w:noWrap w:val="0"/>
            <w:vAlign w:val="center"/>
          </w:tcPr>
          <w:p>
            <w:pPr>
              <w:pStyle w:val="1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415" w:type="dxa"/>
            <w:noWrap w:val="0"/>
            <w:vAlign w:val="center"/>
          </w:tcPr>
          <w:p>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体检系统接口服务</w:t>
            </w:r>
          </w:p>
        </w:tc>
        <w:tc>
          <w:tcPr>
            <w:tcW w:w="5303" w:type="dxa"/>
            <w:noWrap w:val="0"/>
            <w:vAlign w:val="center"/>
          </w:tcPr>
          <w:p>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获取申请单信息、回传检查状态、回传检查报告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65" w:type="dxa"/>
            <w:noWrap w:val="0"/>
            <w:vAlign w:val="center"/>
          </w:tcPr>
          <w:p>
            <w:pPr>
              <w:pStyle w:val="17"/>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415" w:type="dxa"/>
            <w:noWrap w:val="0"/>
            <w:vAlign w:val="center"/>
          </w:tcPr>
          <w:p>
            <w:pPr>
              <w:pStyle w:val="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危急值短信接口服务</w:t>
            </w:r>
          </w:p>
        </w:tc>
        <w:tc>
          <w:tcPr>
            <w:tcW w:w="5303" w:type="dxa"/>
            <w:noWrap w:val="0"/>
            <w:vAlign w:val="center"/>
          </w:tcPr>
          <w:p>
            <w:pPr>
              <w:pStyle w:val="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发送危急值短信</w:t>
            </w:r>
          </w:p>
        </w:tc>
      </w:tr>
    </w:tbl>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服务要求</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lang w:val="zh-CN" w:eastAsia="zh-CN"/>
        </w:rPr>
        <w:t>）HIS接口服务</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①接口功能实现</w:t>
      </w:r>
    </w:p>
    <w:p>
      <w:pPr>
        <w:numPr>
          <w:ilvl w:val="0"/>
          <w:numId w:val="0"/>
        </w:numPr>
        <w:autoSpaceDE w:val="0"/>
        <w:autoSpaceDN w:val="0"/>
        <w:spacing w:line="360" w:lineRule="auto"/>
        <w:ind w:firstLine="486"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a.</w:t>
      </w:r>
      <w:r>
        <w:rPr>
          <w:rFonts w:hint="eastAsia" w:ascii="仿宋" w:hAnsi="仿宋" w:eastAsia="仿宋" w:cs="仿宋"/>
          <w:b w:val="0"/>
          <w:bCs w:val="0"/>
          <w:color w:val="auto"/>
          <w:sz w:val="24"/>
          <w:highlight w:val="none"/>
          <w:lang w:val="zh-CN" w:eastAsia="zh-CN"/>
        </w:rPr>
        <w:t>供应商需开发以下接口功能：通过患者唯一号获取检查申请单信息、检查状态更新、检查报告结果回传/撤销</w:t>
      </w:r>
      <w:r>
        <w:rPr>
          <w:rFonts w:hint="eastAsia" w:ascii="仿宋" w:hAnsi="仿宋" w:eastAsia="仿宋" w:cs="仿宋"/>
          <w:b/>
          <w:bCs/>
          <w:color w:val="auto"/>
          <w:sz w:val="24"/>
          <w:highlight w:val="none"/>
          <w:lang w:val="en-US" w:eastAsia="zh-CN"/>
        </w:rPr>
        <w:t>（响应时需提供关键功能点截图或承诺函作为佐证）</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b.</w:t>
      </w:r>
      <w:r>
        <w:rPr>
          <w:rFonts w:hint="eastAsia" w:ascii="仿宋" w:hAnsi="仿宋" w:eastAsia="仿宋" w:cs="仿宋"/>
          <w:b w:val="0"/>
          <w:bCs w:val="0"/>
          <w:color w:val="auto"/>
          <w:sz w:val="24"/>
          <w:highlight w:val="none"/>
          <w:lang w:val="zh-CN" w:eastAsia="zh-CN"/>
        </w:rPr>
        <w:t>每个接口需具备明确的输入参数和输出格式，确保数据的准确传递和解析。</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②接口性能与稳定性</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a.</w:t>
      </w:r>
      <w:r>
        <w:rPr>
          <w:rFonts w:hint="eastAsia" w:ascii="仿宋" w:hAnsi="仿宋" w:eastAsia="仿宋" w:cs="仿宋"/>
          <w:b w:val="0"/>
          <w:bCs w:val="0"/>
          <w:color w:val="auto"/>
          <w:sz w:val="24"/>
          <w:highlight w:val="none"/>
          <w:lang w:val="zh-CN" w:eastAsia="zh-CN"/>
        </w:rPr>
        <w:t>供应商需确保接口的高可用性和稳定性，避免因接口故障导致的业务中断</w:t>
      </w:r>
      <w:r>
        <w:rPr>
          <w:rFonts w:hint="eastAsia" w:ascii="仿宋" w:hAnsi="仿宋" w:eastAsia="仿宋" w:cs="仿宋"/>
          <w:b/>
          <w:bCs/>
          <w:color w:val="auto"/>
          <w:sz w:val="24"/>
          <w:highlight w:val="none"/>
          <w:lang w:val="en-US" w:eastAsia="zh-CN"/>
        </w:rPr>
        <w:t>（响应时需提供关键功能点截图或承诺函作为佐证）</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b.</w:t>
      </w:r>
      <w:r>
        <w:rPr>
          <w:rFonts w:hint="eastAsia" w:ascii="仿宋" w:hAnsi="仿宋" w:eastAsia="仿宋" w:cs="仿宋"/>
          <w:b w:val="0"/>
          <w:bCs w:val="0"/>
          <w:color w:val="auto"/>
          <w:sz w:val="24"/>
          <w:highlight w:val="none"/>
          <w:lang w:val="zh-CN" w:eastAsia="zh-CN"/>
        </w:rPr>
        <w:t>供应商需对接口进行性能测试，包括响应时间、并发量等指标，确保接口能够满足采购人的业务需求。</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）体检系统接口服务</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①接口功能实现</w:t>
      </w:r>
    </w:p>
    <w:p>
      <w:pPr>
        <w:numPr>
          <w:ilvl w:val="0"/>
          <w:numId w:val="0"/>
        </w:numPr>
        <w:autoSpaceDE w:val="0"/>
        <w:autoSpaceDN w:val="0"/>
        <w:spacing w:line="360" w:lineRule="auto"/>
        <w:ind w:firstLine="486"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a.</w:t>
      </w:r>
      <w:r>
        <w:rPr>
          <w:rFonts w:hint="eastAsia" w:ascii="仿宋" w:hAnsi="仿宋" w:eastAsia="仿宋" w:cs="仿宋"/>
          <w:b w:val="0"/>
          <w:bCs w:val="0"/>
          <w:color w:val="auto"/>
          <w:sz w:val="24"/>
          <w:highlight w:val="none"/>
          <w:lang w:val="zh-CN" w:eastAsia="zh-CN"/>
        </w:rPr>
        <w:t>供应商需开发以下接口功能：通过申请单号获取申请单信息、申请单状态更新、报告结果回传/撤销</w:t>
      </w:r>
      <w:r>
        <w:rPr>
          <w:rFonts w:hint="eastAsia" w:ascii="仿宋" w:hAnsi="仿宋" w:eastAsia="仿宋" w:cs="仿宋"/>
          <w:b/>
          <w:bCs/>
          <w:color w:val="auto"/>
          <w:sz w:val="24"/>
          <w:highlight w:val="none"/>
          <w:lang w:val="en-US" w:eastAsia="zh-CN"/>
        </w:rPr>
        <w:t>（响应时需提供关键功能点截图或承诺函作为佐证）</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b.</w:t>
      </w:r>
      <w:r>
        <w:rPr>
          <w:rFonts w:hint="eastAsia" w:ascii="仿宋" w:hAnsi="仿宋" w:eastAsia="仿宋" w:cs="仿宋"/>
          <w:b w:val="0"/>
          <w:bCs w:val="0"/>
          <w:color w:val="auto"/>
          <w:sz w:val="24"/>
          <w:highlight w:val="none"/>
          <w:lang w:val="zh-CN" w:eastAsia="zh-CN"/>
        </w:rPr>
        <w:t>每个接口需具备明确的输入参数和输出格式，确保数据的准确传递和解析。</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②接口性能与稳定性</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a.</w:t>
      </w:r>
      <w:r>
        <w:rPr>
          <w:rFonts w:hint="eastAsia" w:ascii="仿宋" w:hAnsi="仿宋" w:eastAsia="仿宋" w:cs="仿宋"/>
          <w:b w:val="0"/>
          <w:bCs w:val="0"/>
          <w:color w:val="auto"/>
          <w:sz w:val="24"/>
          <w:highlight w:val="none"/>
          <w:lang w:val="zh-CN" w:eastAsia="zh-CN"/>
        </w:rPr>
        <w:t>供应商需确保接口的高可用性和稳定性，避免因接口故障导致的业务中断。</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b.</w:t>
      </w:r>
      <w:r>
        <w:rPr>
          <w:rFonts w:hint="eastAsia" w:ascii="仿宋" w:hAnsi="仿宋" w:eastAsia="仿宋" w:cs="仿宋"/>
          <w:b w:val="0"/>
          <w:bCs w:val="0"/>
          <w:color w:val="auto"/>
          <w:sz w:val="24"/>
          <w:highlight w:val="none"/>
          <w:lang w:val="zh-CN" w:eastAsia="zh-CN"/>
        </w:rPr>
        <w:t>供应商需对接口进行性能测试，包括响应时间、并发量等指标，确保接口能够满足采购人的业务需求。</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lang w:val="zh-CN" w:eastAsia="zh-CN"/>
        </w:rPr>
        <w:t>）危急值短信接口服务</w:t>
      </w:r>
    </w:p>
    <w:p>
      <w:pPr>
        <w:numPr>
          <w:ilvl w:val="0"/>
          <w:numId w:val="0"/>
        </w:numPr>
        <w:autoSpaceDE w:val="0"/>
        <w:autoSpaceDN w:val="0"/>
        <w:spacing w:line="360" w:lineRule="auto"/>
        <w:ind w:firstLine="486" w:firstLineChars="200"/>
        <w:rPr>
          <w:rFonts w:hint="eastAsia" w:ascii="仿宋" w:hAnsi="仿宋" w:eastAsia="仿宋" w:cs="仿宋"/>
          <w:b/>
          <w:bCs/>
          <w:color w:val="auto"/>
          <w:sz w:val="24"/>
          <w:highlight w:val="none"/>
          <w:lang w:val="zh-CN" w:eastAsia="zh-CN"/>
        </w:rPr>
      </w:pPr>
      <w:r>
        <w:rPr>
          <w:rFonts w:hint="eastAsia" w:ascii="仿宋" w:hAnsi="仿宋" w:eastAsia="仿宋" w:cs="仿宋"/>
          <w:b w:val="0"/>
          <w:bCs w:val="0"/>
          <w:color w:val="auto"/>
          <w:sz w:val="24"/>
          <w:highlight w:val="none"/>
          <w:lang w:val="zh-CN" w:eastAsia="zh-CN"/>
        </w:rPr>
        <w:t>危急的患者，医生审核后触发危机值接口，通过院内短信平台给患者发短信</w:t>
      </w:r>
      <w:r>
        <w:rPr>
          <w:rFonts w:hint="eastAsia" w:ascii="仿宋" w:hAnsi="仿宋" w:eastAsia="仿宋" w:cs="仿宋"/>
          <w:b/>
          <w:bCs/>
          <w:color w:val="auto"/>
          <w:sz w:val="24"/>
          <w:highlight w:val="none"/>
          <w:lang w:val="en-US" w:eastAsia="zh-CN"/>
        </w:rPr>
        <w:t>（响应时需提供关键功能点截图或承诺函作为佐证）</w:t>
      </w:r>
      <w:r>
        <w:rPr>
          <w:rFonts w:hint="eastAsia" w:ascii="仿宋" w:hAnsi="仿宋" w:eastAsia="仿宋" w:cs="仿宋"/>
          <w:b/>
          <w:bCs/>
          <w:color w:val="auto"/>
          <w:sz w:val="24"/>
          <w:highlight w:val="none"/>
          <w:lang w:val="zh-CN" w:eastAsia="zh-CN"/>
        </w:rPr>
        <w:t>。</w:t>
      </w:r>
    </w:p>
    <w:p>
      <w:pPr>
        <w:numPr>
          <w:ilvl w:val="0"/>
          <w:numId w:val="0"/>
        </w:numPr>
        <w:autoSpaceDE w:val="0"/>
        <w:autoSpaceDN w:val="0"/>
        <w:spacing w:line="360" w:lineRule="auto"/>
        <w:ind w:firstLine="486"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default" w:ascii="仿宋" w:hAnsi="仿宋" w:eastAsia="仿宋" w:cs="仿宋"/>
          <w:color w:val="auto"/>
          <w:sz w:val="24"/>
          <w:highlight w:val="none"/>
          <w:lang w:val="en-US" w:eastAsia="zh-CN"/>
        </w:rPr>
        <w:t>团队要求</w:t>
      </w:r>
    </w:p>
    <w:p>
      <w:pPr>
        <w:numPr>
          <w:ilvl w:val="0"/>
          <w:numId w:val="0"/>
        </w:numPr>
        <w:autoSpaceDE w:val="0"/>
        <w:autoSpaceDN w:val="0"/>
        <w:spacing w:line="360" w:lineRule="auto"/>
        <w:ind w:firstLine="486"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w:t>
      </w:r>
      <w:r>
        <w:rPr>
          <w:rFonts w:hint="default" w:ascii="仿宋" w:hAnsi="仿宋" w:eastAsia="仿宋" w:cs="仿宋"/>
          <w:color w:val="auto"/>
          <w:sz w:val="24"/>
          <w:highlight w:val="none"/>
          <w:lang w:val="en-US" w:eastAsia="zh-CN"/>
        </w:rPr>
        <w:t>拟派项目经理（1名），</w:t>
      </w:r>
      <w:r>
        <w:rPr>
          <w:rFonts w:hint="default" w:ascii="仿宋" w:hAnsi="仿宋" w:eastAsia="仿宋" w:cs="仿宋"/>
          <w:strike w:val="0"/>
          <w:dstrike w:val="0"/>
          <w:color w:val="auto"/>
          <w:sz w:val="24"/>
          <w:highlight w:val="none"/>
          <w:lang w:val="en-US" w:eastAsia="zh-CN"/>
        </w:rPr>
        <w:t>具有计算机相关专业</w:t>
      </w:r>
      <w:r>
        <w:rPr>
          <w:rFonts w:hint="eastAsia" w:ascii="仿宋" w:hAnsi="仿宋" w:eastAsia="仿宋" w:cs="仿宋"/>
          <w:strike w:val="0"/>
          <w:dstrike w:val="0"/>
          <w:color w:val="auto"/>
          <w:sz w:val="24"/>
          <w:highlight w:val="none"/>
          <w:lang w:val="en-US" w:eastAsia="zh-CN"/>
        </w:rPr>
        <w:t>学</w:t>
      </w:r>
      <w:r>
        <w:rPr>
          <w:rFonts w:hint="default" w:ascii="仿宋" w:hAnsi="仿宋" w:eastAsia="仿宋" w:cs="仿宋"/>
          <w:strike w:val="0"/>
          <w:dstrike w:val="0"/>
          <w:color w:val="auto"/>
          <w:sz w:val="24"/>
          <w:highlight w:val="none"/>
          <w:lang w:val="en-US" w:eastAsia="zh-CN"/>
        </w:rPr>
        <w:t>历</w:t>
      </w:r>
      <w:r>
        <w:rPr>
          <w:rFonts w:hint="default" w:ascii="仿宋" w:hAnsi="仿宋" w:eastAsia="仿宋" w:cs="仿宋"/>
          <w:color w:val="auto"/>
          <w:sz w:val="24"/>
          <w:highlight w:val="none"/>
          <w:lang w:val="en-US" w:eastAsia="zh-CN"/>
        </w:rPr>
        <w:t>，有相关项目实施经验。</w:t>
      </w:r>
    </w:p>
    <w:p>
      <w:pPr>
        <w:numPr>
          <w:ilvl w:val="0"/>
          <w:numId w:val="0"/>
        </w:numPr>
        <w:autoSpaceDE w:val="0"/>
        <w:autoSpaceDN w:val="0"/>
        <w:spacing w:line="360" w:lineRule="auto"/>
        <w:ind w:firstLine="486"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w:t>
      </w:r>
      <w:r>
        <w:rPr>
          <w:rFonts w:hint="default" w:ascii="仿宋" w:hAnsi="仿宋" w:eastAsia="仿宋" w:cs="仿宋"/>
          <w:color w:val="auto"/>
          <w:sz w:val="24"/>
          <w:highlight w:val="none"/>
          <w:lang w:val="en-US" w:eastAsia="zh-CN"/>
        </w:rPr>
        <w:t>拟派技术人员（</w:t>
      </w: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val="en-US" w:eastAsia="zh-CN"/>
        </w:rPr>
        <w:t>3名），</w:t>
      </w:r>
      <w:r>
        <w:rPr>
          <w:rFonts w:hint="eastAsia" w:ascii="仿宋" w:hAnsi="仿宋" w:eastAsia="仿宋" w:cs="仿宋"/>
          <w:color w:val="auto"/>
          <w:sz w:val="24"/>
          <w:highlight w:val="none"/>
          <w:lang w:val="en-US" w:eastAsia="zh-CN"/>
        </w:rPr>
        <w:t>具备</w:t>
      </w:r>
      <w:r>
        <w:rPr>
          <w:rFonts w:hint="default" w:ascii="仿宋" w:hAnsi="仿宋" w:eastAsia="仿宋" w:cs="仿宋"/>
          <w:color w:val="auto"/>
          <w:sz w:val="24"/>
          <w:highlight w:val="none"/>
          <w:lang w:val="en-US" w:eastAsia="zh-CN"/>
        </w:rPr>
        <w:t>计算机相关专业学历技术人员。</w:t>
      </w:r>
    </w:p>
    <w:p>
      <w:pPr>
        <w:numPr>
          <w:ilvl w:val="0"/>
          <w:numId w:val="0"/>
        </w:numPr>
        <w:autoSpaceDE w:val="0"/>
        <w:autoSpaceDN w:val="0"/>
        <w:spacing w:line="360" w:lineRule="auto"/>
        <w:ind w:firstLine="486"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w:t>
      </w:r>
      <w:r>
        <w:rPr>
          <w:rFonts w:hint="default" w:ascii="仿宋" w:hAnsi="仿宋" w:eastAsia="仿宋" w:cs="仿宋"/>
          <w:color w:val="auto"/>
          <w:sz w:val="24"/>
          <w:highlight w:val="none"/>
          <w:lang w:val="en-US" w:eastAsia="zh-CN"/>
        </w:rPr>
        <w:t>供应商应指派固定的运维</w:t>
      </w:r>
      <w:r>
        <w:rPr>
          <w:rFonts w:hint="eastAsia" w:ascii="仿宋" w:hAnsi="仿宋" w:eastAsia="仿宋" w:cs="仿宋"/>
          <w:color w:val="auto"/>
          <w:sz w:val="24"/>
          <w:highlight w:val="none"/>
          <w:lang w:val="en-US" w:eastAsia="zh-CN"/>
        </w:rPr>
        <w:t>技术</w:t>
      </w:r>
      <w:r>
        <w:rPr>
          <w:rFonts w:hint="default" w:ascii="仿宋" w:hAnsi="仿宋" w:eastAsia="仿宋" w:cs="仿宋"/>
          <w:color w:val="auto"/>
          <w:sz w:val="24"/>
          <w:highlight w:val="none"/>
          <w:lang w:val="en-US" w:eastAsia="zh-CN"/>
        </w:rPr>
        <w:t>人员进行服务，且该人员应当是供应商的正式工作人员。在服务期开始前提供</w:t>
      </w:r>
      <w:r>
        <w:rPr>
          <w:rFonts w:hint="eastAsia" w:ascii="仿宋" w:hAnsi="仿宋" w:eastAsia="仿宋" w:cs="仿宋"/>
          <w:color w:val="auto"/>
          <w:sz w:val="24"/>
          <w:highlight w:val="none"/>
          <w:lang w:val="en-US" w:eastAsia="zh-CN"/>
        </w:rPr>
        <w:t>技术</w:t>
      </w:r>
      <w:r>
        <w:rPr>
          <w:rFonts w:hint="default" w:ascii="仿宋" w:hAnsi="仿宋" w:eastAsia="仿宋" w:cs="仿宋"/>
          <w:color w:val="auto"/>
          <w:sz w:val="24"/>
          <w:highlight w:val="none"/>
          <w:lang w:val="en-US" w:eastAsia="zh-CN"/>
        </w:rPr>
        <w:t>人员档案备案。如无特殊原因不得更换运维</w:t>
      </w:r>
      <w:r>
        <w:rPr>
          <w:rFonts w:hint="eastAsia" w:ascii="仿宋" w:hAnsi="仿宋" w:eastAsia="仿宋" w:cs="仿宋"/>
          <w:color w:val="auto"/>
          <w:sz w:val="24"/>
          <w:highlight w:val="none"/>
          <w:lang w:val="en-US" w:eastAsia="zh-CN"/>
        </w:rPr>
        <w:t>技术</w:t>
      </w:r>
      <w:r>
        <w:rPr>
          <w:rFonts w:hint="default" w:ascii="仿宋" w:hAnsi="仿宋" w:eastAsia="仿宋" w:cs="仿宋"/>
          <w:color w:val="auto"/>
          <w:sz w:val="24"/>
          <w:highlight w:val="none"/>
          <w:lang w:val="en-US" w:eastAsia="zh-CN"/>
        </w:rPr>
        <w:t>人员，更换</w:t>
      </w:r>
      <w:r>
        <w:rPr>
          <w:rFonts w:hint="eastAsia" w:ascii="仿宋" w:hAnsi="仿宋" w:eastAsia="仿宋" w:cs="仿宋"/>
          <w:color w:val="auto"/>
          <w:sz w:val="24"/>
          <w:highlight w:val="none"/>
          <w:lang w:val="en-US" w:eastAsia="zh-CN"/>
        </w:rPr>
        <w:t>技术</w:t>
      </w:r>
      <w:r>
        <w:rPr>
          <w:rFonts w:hint="default" w:ascii="仿宋" w:hAnsi="仿宋" w:eastAsia="仿宋" w:cs="仿宋"/>
          <w:color w:val="auto"/>
          <w:sz w:val="24"/>
          <w:highlight w:val="none"/>
          <w:lang w:val="en-US" w:eastAsia="zh-CN"/>
        </w:rPr>
        <w:t>人员需提前一个月告知。</w:t>
      </w:r>
      <w:r>
        <w:rPr>
          <w:rFonts w:hint="eastAsia" w:ascii="仿宋" w:hAnsi="仿宋" w:eastAsia="仿宋" w:cs="仿宋"/>
          <w:color w:val="auto"/>
          <w:sz w:val="24"/>
          <w:highlight w:val="none"/>
          <w:lang w:val="en-US" w:eastAsia="zh-CN"/>
        </w:rPr>
        <w:t>需</w:t>
      </w:r>
      <w:r>
        <w:rPr>
          <w:rFonts w:hint="default" w:ascii="仿宋" w:hAnsi="仿宋" w:eastAsia="仿宋" w:cs="仿宋"/>
          <w:color w:val="auto"/>
          <w:sz w:val="24"/>
          <w:highlight w:val="none"/>
          <w:lang w:val="en-US" w:eastAsia="zh-CN"/>
        </w:rPr>
        <w:t>提供</w:t>
      </w:r>
      <w:r>
        <w:rPr>
          <w:rFonts w:hint="eastAsia" w:ascii="仿宋" w:hAnsi="仿宋" w:eastAsia="仿宋" w:cs="仿宋"/>
          <w:color w:val="auto"/>
          <w:sz w:val="24"/>
          <w:highlight w:val="none"/>
          <w:lang w:val="en-US" w:eastAsia="zh-CN"/>
        </w:rPr>
        <w:t>技术人员</w:t>
      </w:r>
      <w:r>
        <w:rPr>
          <w:rFonts w:hint="default" w:ascii="仿宋" w:hAnsi="仿宋" w:eastAsia="仿宋" w:cs="仿宋"/>
          <w:color w:val="auto"/>
          <w:sz w:val="24"/>
          <w:highlight w:val="none"/>
          <w:lang w:val="en-US" w:eastAsia="zh-CN"/>
        </w:rPr>
        <w:t>近半年内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color w:val="auto"/>
          <w:sz w:val="24"/>
          <w:highlight w:val="none"/>
          <w:lang w:eastAsia="zh-CN"/>
        </w:rPr>
        <w:t>，并由公司盖章。</w:t>
      </w:r>
      <w:r>
        <w:rPr>
          <w:rFonts w:hint="default" w:ascii="仿宋" w:hAnsi="仿宋" w:eastAsia="仿宋" w:cs="仿宋"/>
          <w:color w:val="auto"/>
          <w:sz w:val="24"/>
          <w:highlight w:val="none"/>
          <w:lang w:val="en-US" w:eastAsia="zh-CN"/>
        </w:rPr>
        <w:t>如发现外包人员，可终止合作或索赔。</w:t>
      </w:r>
    </w:p>
    <w:p>
      <w:pPr>
        <w:numPr>
          <w:ilvl w:val="0"/>
          <w:numId w:val="0"/>
        </w:numPr>
        <w:autoSpaceDE w:val="0"/>
        <w:autoSpaceDN w:val="0"/>
        <w:spacing w:line="360" w:lineRule="auto"/>
        <w:ind w:firstLine="486"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（四）商务要求</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报价要求：</w:t>
      </w:r>
    </w:p>
    <w:p>
      <w:pPr>
        <w:numPr>
          <w:ilvl w:val="0"/>
          <w:numId w:val="0"/>
        </w:numPr>
        <w:autoSpaceDE w:val="0"/>
        <w:autoSpaceDN w:val="0"/>
        <w:spacing w:line="360" w:lineRule="auto"/>
        <w:ind w:firstLine="729" w:firstLineChars="3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）报价方式为供应商以总价报价的方式进行报价，为整体项目包干价。</w:t>
      </w:r>
    </w:p>
    <w:p>
      <w:pPr>
        <w:numPr>
          <w:ilvl w:val="0"/>
          <w:numId w:val="0"/>
        </w:numPr>
        <w:autoSpaceDE w:val="0"/>
        <w:autoSpaceDN w:val="0"/>
        <w:spacing w:line="360" w:lineRule="auto"/>
        <w:ind w:firstLine="729" w:firstLineChars="3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）报价中应包括服务过程产生的但不限于人工、工具使用、各项税费及合同实施过程中的应预见和不可预见费用等完成合同规定责任和义务、达到合同目的的一切费用及企业利润。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）供应商应自行考虑本项目在实施期间的一切可能产生的费用。在合同执行过程中，采购人将不再另行支付与本项目相关的任何费用。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2.服务期限及质保服务期：</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（1）服务期限</w:t>
      </w:r>
      <w:r>
        <w:rPr>
          <w:rFonts w:hint="eastAsia" w:ascii="仿宋" w:hAnsi="仿宋" w:eastAsia="仿宋" w:cs="仿宋"/>
          <w:color w:val="auto"/>
          <w:sz w:val="24"/>
          <w:highlight w:val="none"/>
          <w:lang w:val="zh-CN" w:eastAsia="zh-CN"/>
        </w:rPr>
        <w:t>：</w:t>
      </w:r>
      <w:r>
        <w:rPr>
          <w:rFonts w:hint="eastAsia" w:ascii="仿宋" w:hAnsi="仿宋" w:eastAsia="仿宋" w:cs="仿宋"/>
          <w:strike w:val="0"/>
          <w:dstrike w:val="0"/>
          <w:color w:val="auto"/>
          <w:sz w:val="24"/>
          <w:highlight w:val="none"/>
          <w:lang w:val="zh-CN" w:eastAsia="zh-CN"/>
        </w:rPr>
        <w:t>成交供应商</w:t>
      </w:r>
      <w:r>
        <w:rPr>
          <w:rFonts w:hint="eastAsia" w:ascii="仿宋" w:hAnsi="仿宋" w:eastAsia="仿宋" w:cs="仿宋"/>
          <w:color w:val="auto"/>
          <w:sz w:val="24"/>
          <w:highlight w:val="none"/>
          <w:lang w:val="zh-CN" w:eastAsia="zh-CN"/>
        </w:rPr>
        <w:t>自合同签订后</w:t>
      </w:r>
      <w:r>
        <w:rPr>
          <w:rFonts w:hint="eastAsia" w:ascii="仿宋" w:hAnsi="仿宋" w:eastAsia="仿宋" w:cs="仿宋"/>
          <w:color w:val="auto"/>
          <w:sz w:val="24"/>
          <w:highlight w:val="none"/>
          <w:lang w:val="en-US" w:eastAsia="zh-CN"/>
        </w:rPr>
        <w:t>45个工作日</w:t>
      </w:r>
      <w:r>
        <w:rPr>
          <w:rFonts w:hint="eastAsia" w:ascii="仿宋" w:hAnsi="仿宋" w:eastAsia="仿宋" w:cs="仿宋"/>
          <w:color w:val="auto"/>
          <w:sz w:val="24"/>
          <w:highlight w:val="none"/>
          <w:lang w:val="zh-CN" w:eastAsia="zh-CN"/>
        </w:rPr>
        <w:t>内完成。</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）质保服务期限：项目验收后一年。</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（3）服务地点：惠州市第一妇幼保健院指定地点</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付款方式：</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）合同签订后20个工作日内，采购人支付本合同中费用总额的30%；</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）接口开发完成，验收后20个工作日内，采购人支付本合同中费用总额的</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val="zh-CN" w:eastAsia="zh-CN"/>
        </w:rPr>
        <w:t>0%；</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）支付方式采用银行转账方式。</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zh-CN" w:eastAsia="zh-CN"/>
        </w:rPr>
        <w:t>）供应商应向采购人出具合法有效完整的完税发票及凭证进行支付结算。</w:t>
      </w:r>
    </w:p>
    <w:p>
      <w:pPr>
        <w:numPr>
          <w:ilvl w:val="0"/>
          <w:numId w:val="0"/>
        </w:numPr>
        <w:autoSpaceDE w:val="0"/>
        <w:autoSpaceDN w:val="0"/>
        <w:spacing w:line="360" w:lineRule="auto"/>
        <w:ind w:firstLine="486"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r>
        <w:rPr>
          <w:rFonts w:hint="eastAsia" w:ascii="仿宋" w:hAnsi="仿宋" w:eastAsia="仿宋" w:cs="仿宋"/>
          <w:b w:val="0"/>
          <w:bCs w:val="0"/>
          <w:color w:val="auto"/>
          <w:sz w:val="24"/>
          <w:highlight w:val="none"/>
          <w:lang w:val="zh-CN" w:eastAsia="zh-CN"/>
        </w:rPr>
        <w:t>验收</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验收标准：验收的主要依据包括本项目的采购文件、响应文件、合同等。</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）在采购人的监督下，服务过程中的各项工作和文档，须达到采购文件中技术要求的标准。</w:t>
      </w:r>
    </w:p>
    <w:p>
      <w:pPr>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5.</w:t>
      </w:r>
      <w:r>
        <w:rPr>
          <w:rFonts w:hint="eastAsia" w:ascii="仿宋" w:hAnsi="仿宋" w:eastAsia="仿宋" w:cs="仿宋"/>
          <w:b w:val="0"/>
          <w:bCs w:val="0"/>
          <w:color w:val="auto"/>
          <w:sz w:val="24"/>
          <w:highlight w:val="none"/>
          <w:lang w:val="zh-CN" w:eastAsia="zh-CN"/>
        </w:rPr>
        <w:t>售后服务</w:t>
      </w:r>
    </w:p>
    <w:p>
      <w:pPr>
        <w:spacing w:line="360" w:lineRule="auto"/>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（1）接口上线调试验收合格后质保期壹年。</w:t>
      </w:r>
    </w:p>
    <w:p>
      <w:pPr>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（2）供应商负责</w:t>
      </w:r>
      <w:r>
        <w:rPr>
          <w:rFonts w:hint="eastAsia" w:ascii="仿宋" w:hAnsi="仿宋" w:eastAsia="仿宋" w:cs="仿宋"/>
          <w:color w:val="auto"/>
          <w:sz w:val="24"/>
          <w:szCs w:val="24"/>
          <w:highlight w:val="none"/>
        </w:rPr>
        <w:t>提供技术资料、操作手册；</w:t>
      </w:r>
    </w:p>
    <w:p>
      <w:pPr>
        <w:spacing w:line="360" w:lineRule="auto"/>
        <w:ind w:firstLine="486"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rPr>
        <w:t>）为采购人提供的服务方式包括远程服务、电话服务和上门服务三种服务方式，7×24小时技术响应，远程和电话均不能解决时，供应商在双方约定时间内到达现场进行技术支持服务。</w:t>
      </w:r>
    </w:p>
    <w:p>
      <w:pPr>
        <w:spacing w:line="360" w:lineRule="auto"/>
        <w:ind w:firstLine="486"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（4）系统上线</w:t>
      </w:r>
      <w:r>
        <w:rPr>
          <w:rFonts w:hint="eastAsia" w:ascii="仿宋" w:hAnsi="仿宋" w:eastAsia="仿宋" w:cs="仿宋"/>
          <w:color w:val="auto"/>
          <w:sz w:val="24"/>
          <w:highlight w:val="none"/>
          <w:lang w:val="zh-CN"/>
        </w:rPr>
        <w:t>后</w:t>
      </w:r>
      <w:r>
        <w:rPr>
          <w:rFonts w:hint="eastAsia" w:ascii="仿宋" w:hAnsi="仿宋" w:eastAsia="仿宋" w:cs="仿宋"/>
          <w:color w:val="auto"/>
          <w:sz w:val="24"/>
          <w:highlight w:val="none"/>
          <w:lang w:val="zh-CN" w:eastAsia="zh-CN"/>
        </w:rPr>
        <w:t>对</w:t>
      </w:r>
      <w:r>
        <w:rPr>
          <w:rFonts w:hint="eastAsia" w:ascii="仿宋" w:hAnsi="仿宋" w:eastAsia="仿宋" w:cs="仿宋"/>
          <w:color w:val="auto"/>
          <w:sz w:val="24"/>
          <w:highlight w:val="none"/>
          <w:lang w:val="zh-CN"/>
        </w:rPr>
        <w:t>使用科室提供操作及维护培训</w:t>
      </w:r>
      <w:r>
        <w:rPr>
          <w:rFonts w:hint="eastAsia" w:ascii="仿宋" w:hAnsi="仿宋" w:eastAsia="仿宋" w:cs="仿宋"/>
          <w:color w:val="auto"/>
          <w:sz w:val="24"/>
          <w:highlight w:val="none"/>
          <w:lang w:val="zh-CN" w:eastAsia="zh-CN"/>
        </w:rPr>
        <w:t>，提供技术咨询</w:t>
      </w:r>
      <w:r>
        <w:rPr>
          <w:rFonts w:hint="eastAsia" w:ascii="仿宋" w:hAnsi="仿宋" w:eastAsia="仿宋" w:cs="仿宋"/>
          <w:color w:val="auto"/>
          <w:sz w:val="24"/>
          <w:highlight w:val="none"/>
          <w:lang w:val="zh-CN"/>
        </w:rPr>
        <w:t>；</w:t>
      </w:r>
    </w:p>
    <w:p>
      <w:pPr>
        <w:spacing w:line="360" w:lineRule="auto"/>
        <w:ind w:firstLine="486"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（5）接采购人报故障应在</w:t>
      </w:r>
      <w:r>
        <w:rPr>
          <w:rFonts w:hint="eastAsia" w:ascii="仿宋" w:hAnsi="仿宋" w:eastAsia="仿宋" w:cs="仿宋"/>
          <w:color w:val="auto"/>
          <w:sz w:val="24"/>
          <w:highlight w:val="none"/>
          <w:lang w:val="zh-CN"/>
        </w:rPr>
        <w:t>30分钟</w:t>
      </w:r>
      <w:r>
        <w:rPr>
          <w:rFonts w:hint="eastAsia" w:ascii="仿宋" w:hAnsi="仿宋" w:eastAsia="仿宋" w:cs="仿宋"/>
          <w:color w:val="auto"/>
          <w:sz w:val="24"/>
          <w:highlight w:val="none"/>
          <w:lang w:val="zh-CN" w:eastAsia="zh-CN"/>
        </w:rPr>
        <w:t>内</w:t>
      </w:r>
      <w:r>
        <w:rPr>
          <w:rFonts w:hint="eastAsia" w:ascii="仿宋" w:hAnsi="仿宋" w:eastAsia="仿宋" w:cs="仿宋"/>
          <w:color w:val="auto"/>
          <w:sz w:val="24"/>
          <w:highlight w:val="none"/>
          <w:lang w:val="zh-CN"/>
        </w:rPr>
        <w:t>响应，并进行远程网络排查，2小时</w:t>
      </w:r>
      <w:r>
        <w:rPr>
          <w:rFonts w:hint="eastAsia" w:ascii="仿宋" w:hAnsi="仿宋" w:eastAsia="仿宋" w:cs="仿宋"/>
          <w:color w:val="auto"/>
          <w:sz w:val="24"/>
          <w:highlight w:val="none"/>
          <w:lang w:val="zh-CN" w:eastAsia="zh-CN"/>
        </w:rPr>
        <w:t>内</w:t>
      </w:r>
      <w:r>
        <w:rPr>
          <w:rFonts w:hint="eastAsia" w:ascii="仿宋" w:hAnsi="仿宋" w:eastAsia="仿宋" w:cs="仿宋"/>
          <w:color w:val="auto"/>
          <w:sz w:val="24"/>
          <w:highlight w:val="none"/>
          <w:lang w:val="zh-CN"/>
        </w:rPr>
        <w:t>到达现场维修</w:t>
      </w:r>
      <w:r>
        <w:rPr>
          <w:rFonts w:hint="eastAsia" w:ascii="仿宋" w:hAnsi="仿宋" w:eastAsia="仿宋" w:cs="仿宋"/>
          <w:color w:val="auto"/>
          <w:sz w:val="24"/>
          <w:highlight w:val="none"/>
          <w:lang w:val="zh-CN" w:eastAsia="zh-CN"/>
        </w:rPr>
        <w:t>。</w:t>
      </w:r>
    </w:p>
    <w:p>
      <w:pPr>
        <w:numPr>
          <w:ilvl w:val="0"/>
          <w:numId w:val="0"/>
        </w:numPr>
        <w:autoSpaceDE w:val="0"/>
        <w:autoSpaceDN w:val="0"/>
        <w:spacing w:line="360" w:lineRule="auto"/>
        <w:ind w:firstLine="486"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6.</w:t>
      </w:r>
      <w:r>
        <w:rPr>
          <w:rFonts w:hint="eastAsia" w:ascii="仿宋" w:hAnsi="仿宋" w:eastAsia="仿宋" w:cs="仿宋"/>
          <w:b w:val="0"/>
          <w:bCs w:val="0"/>
          <w:color w:val="auto"/>
          <w:sz w:val="24"/>
          <w:highlight w:val="none"/>
          <w:lang w:val="zh-CN" w:eastAsia="zh-CN"/>
        </w:rPr>
        <w:t>保密条款</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供应商必须严格保守对因本</w:t>
      </w:r>
      <w:r>
        <w:rPr>
          <w:rFonts w:hint="eastAsia" w:ascii="仿宋" w:hAnsi="仿宋" w:eastAsia="仿宋" w:cs="仿宋"/>
          <w:strike w:val="0"/>
          <w:dstrike w:val="0"/>
          <w:color w:val="auto"/>
          <w:sz w:val="24"/>
          <w:highlight w:val="none"/>
          <w:lang w:val="zh-CN" w:eastAsia="zh-CN"/>
        </w:rPr>
        <w:t>项目</w:t>
      </w:r>
      <w:r>
        <w:rPr>
          <w:rFonts w:hint="eastAsia" w:ascii="仿宋" w:hAnsi="仿宋" w:eastAsia="仿宋" w:cs="仿宋"/>
          <w:color w:val="auto"/>
          <w:sz w:val="24"/>
          <w:highlight w:val="none"/>
          <w:lang w:val="zh-CN" w:eastAsia="zh-CN"/>
        </w:rPr>
        <w:t>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）保密义务不因合同履行完毕或解除而终止，除非保密信息已经对外披露或者公众所知。</w:t>
      </w:r>
    </w:p>
    <w:p>
      <w:pPr>
        <w:numPr>
          <w:ilvl w:val="0"/>
          <w:numId w:val="0"/>
        </w:numPr>
        <w:autoSpaceDE w:val="0"/>
        <w:autoSpaceDN w:val="0"/>
        <w:spacing w:line="360" w:lineRule="auto"/>
        <w:ind w:firstLine="486"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w:t>
      </w:r>
      <w:r>
        <w:rPr>
          <w:rFonts w:hint="default" w:ascii="仿宋" w:hAnsi="仿宋" w:eastAsia="仿宋" w:cs="仿宋"/>
          <w:b w:val="0"/>
          <w:bCs w:val="0"/>
          <w:color w:val="auto"/>
          <w:sz w:val="24"/>
          <w:highlight w:val="none"/>
          <w:lang w:val="en-US" w:eastAsia="zh-CN"/>
        </w:rPr>
        <w:t>其它要求</w:t>
      </w:r>
    </w:p>
    <w:p>
      <w:pPr>
        <w:numPr>
          <w:ilvl w:val="0"/>
          <w:numId w:val="0"/>
        </w:numPr>
        <w:autoSpaceDE w:val="0"/>
        <w:autoSpaceDN w:val="0"/>
        <w:spacing w:line="360" w:lineRule="auto"/>
        <w:ind w:firstLine="486"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w:t>
      </w:r>
      <w:r>
        <w:rPr>
          <w:rFonts w:hint="default" w:ascii="仿宋" w:hAnsi="仿宋" w:eastAsia="仿宋" w:cs="仿宋"/>
          <w:color w:val="auto"/>
          <w:sz w:val="24"/>
          <w:highlight w:val="none"/>
          <w:lang w:val="en-US" w:eastAsia="zh-CN"/>
        </w:rPr>
        <w:t>培训要求：供应商提供详细的</w:t>
      </w:r>
      <w:r>
        <w:rPr>
          <w:rFonts w:hint="eastAsia" w:ascii="仿宋" w:hAnsi="仿宋" w:eastAsia="仿宋" w:cs="仿宋"/>
          <w:color w:val="auto"/>
          <w:sz w:val="24"/>
          <w:highlight w:val="none"/>
          <w:lang w:val="en-US" w:eastAsia="zh-CN"/>
        </w:rPr>
        <w:t>培训方案，包括但不限于</w:t>
      </w:r>
      <w:r>
        <w:rPr>
          <w:rFonts w:hint="default" w:ascii="仿宋" w:hAnsi="仿宋" w:eastAsia="仿宋" w:cs="仿宋"/>
          <w:color w:val="auto"/>
          <w:sz w:val="24"/>
          <w:highlight w:val="none"/>
          <w:lang w:val="en-US" w:eastAsia="zh-CN"/>
        </w:rPr>
        <w:t>培训计划、培训内容及列明培训时间、地点。因培训发生的所有费用应包含在总报价内。</w:t>
      </w:r>
    </w:p>
    <w:p>
      <w:pPr>
        <w:numPr>
          <w:ilvl w:val="0"/>
          <w:numId w:val="0"/>
        </w:numPr>
        <w:autoSpaceDE w:val="0"/>
        <w:autoSpaceDN w:val="0"/>
        <w:spacing w:line="360" w:lineRule="auto"/>
        <w:ind w:firstLine="426" w:firstLineChars="200"/>
        <w:rPr>
          <w:rFonts w:hint="default" w:ascii="仿宋" w:hAnsi="仿宋" w:eastAsia="仿宋" w:cs="仿宋"/>
          <w:color w:val="auto"/>
          <w:sz w:val="24"/>
          <w:highlight w:val="none"/>
          <w:lang w:val="en-US" w:eastAsia="zh-CN"/>
        </w:rPr>
      </w:pPr>
      <w:r>
        <w:rPr>
          <w:rFonts w:hint="eastAsia"/>
          <w:color w:val="auto"/>
          <w:highlight w:val="none"/>
          <w:lang w:eastAsia="zh-CN"/>
        </w:rPr>
        <w:t>②</w:t>
      </w:r>
      <w:r>
        <w:rPr>
          <w:rFonts w:hint="eastAsia" w:ascii="仿宋" w:hAnsi="仿宋" w:eastAsia="仿宋" w:cs="仿宋"/>
          <w:color w:val="auto"/>
          <w:sz w:val="24"/>
          <w:highlight w:val="none"/>
          <w:lang w:val="en-US" w:eastAsia="zh-CN"/>
        </w:rPr>
        <w:t>项目服务方案：</w:t>
      </w:r>
      <w:r>
        <w:rPr>
          <w:rFonts w:hint="default" w:ascii="仿宋" w:hAnsi="仿宋" w:eastAsia="仿宋" w:cs="仿宋"/>
          <w:color w:val="auto"/>
          <w:sz w:val="24"/>
          <w:highlight w:val="none"/>
          <w:lang w:val="en-US" w:eastAsia="zh-CN"/>
        </w:rPr>
        <w:t>要求供应商提供科学性、合理性、实施可行性、可靠性等的项目方案，包括但不限于实战培训方案、实施改善项目方案、认证指导方案、项目实施保障、预期成果；</w:t>
      </w:r>
    </w:p>
    <w:p>
      <w:pPr>
        <w:numPr>
          <w:ilvl w:val="0"/>
          <w:numId w:val="0"/>
        </w:numPr>
        <w:autoSpaceDE w:val="0"/>
        <w:autoSpaceDN w:val="0"/>
        <w:spacing w:line="360" w:lineRule="auto"/>
        <w:ind w:firstLine="486"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③售后服务方案：</w:t>
      </w:r>
      <w:r>
        <w:rPr>
          <w:rFonts w:hint="default" w:ascii="仿宋" w:hAnsi="仿宋" w:eastAsia="仿宋" w:cs="仿宋"/>
          <w:color w:val="auto"/>
          <w:sz w:val="24"/>
          <w:highlight w:val="none"/>
          <w:lang w:val="en-US" w:eastAsia="zh-CN"/>
        </w:rPr>
        <w:t>要求供应商提供制定</w:t>
      </w:r>
      <w:r>
        <w:rPr>
          <w:rFonts w:hint="eastAsia" w:ascii="仿宋" w:hAnsi="仿宋" w:eastAsia="仿宋" w:cs="仿宋"/>
          <w:color w:val="auto"/>
          <w:kern w:val="0"/>
          <w:sz w:val="24"/>
          <w:szCs w:val="24"/>
          <w:highlight w:val="none"/>
          <w:lang w:val="en-GB" w:eastAsia="zh-Hans" w:bidi="ar-SA"/>
        </w:rPr>
        <w:t>详细周全、科学合理、针对性强</w:t>
      </w:r>
      <w:r>
        <w:rPr>
          <w:rFonts w:hint="default" w:ascii="仿宋" w:hAnsi="仿宋" w:eastAsia="仿宋" w:cs="仿宋"/>
          <w:color w:val="auto"/>
          <w:sz w:val="24"/>
          <w:highlight w:val="none"/>
          <w:lang w:val="en-US" w:eastAsia="zh-CN"/>
        </w:rPr>
        <w:t>的</w:t>
      </w:r>
      <w:r>
        <w:rPr>
          <w:rFonts w:hint="eastAsia" w:ascii="仿宋" w:hAnsi="仿宋" w:eastAsia="仿宋" w:cs="仿宋"/>
          <w:color w:val="auto"/>
          <w:sz w:val="24"/>
          <w:highlight w:val="none"/>
          <w:lang w:val="en-US" w:eastAsia="zh-CN"/>
        </w:rPr>
        <w:t>售后服务方案，包括但不限于服务的方式、响应的时间及服务质量相关评价等。</w:t>
      </w:r>
    </w:p>
    <w:p>
      <w:pPr>
        <w:numPr>
          <w:ilvl w:val="0"/>
          <w:numId w:val="0"/>
        </w:numPr>
        <w:autoSpaceDE w:val="0"/>
        <w:autoSpaceDN w:val="0"/>
        <w:spacing w:line="360" w:lineRule="auto"/>
        <w:ind w:firstLine="486" w:firstLineChars="200"/>
        <w:rPr>
          <w:rFonts w:hint="default" w:ascii="仿宋" w:hAnsi="仿宋" w:eastAsia="仿宋" w:cs="仿宋"/>
          <w:strike/>
          <w:color w:val="auto"/>
          <w:sz w:val="24"/>
          <w:highlight w:val="none"/>
          <w:lang w:val="en-US" w:eastAsia="zh-CN"/>
        </w:rPr>
      </w:pPr>
      <w:r>
        <w:rPr>
          <w:rFonts w:hint="eastAsia" w:ascii="仿宋" w:hAnsi="仿宋" w:eastAsia="仿宋" w:cs="仿宋"/>
          <w:color w:val="auto"/>
          <w:sz w:val="24"/>
          <w:highlight w:val="none"/>
          <w:lang w:val="en-US" w:eastAsia="zh-CN"/>
        </w:rPr>
        <w:t>④</w:t>
      </w:r>
      <w:r>
        <w:rPr>
          <w:rFonts w:hint="default" w:ascii="仿宋" w:hAnsi="仿宋" w:eastAsia="仿宋" w:cs="仿宋"/>
          <w:strike w:val="0"/>
          <w:color w:val="auto"/>
          <w:sz w:val="24"/>
          <w:highlight w:val="none"/>
          <w:lang w:val="en-US" w:eastAsia="zh-CN"/>
        </w:rPr>
        <w:t>要求供应商提供质量保障方案，包括但不限于质量保障体系、质量保障措施、质量提升合理化建议等；</w:t>
      </w:r>
    </w:p>
    <w:p>
      <w:pPr>
        <w:numPr>
          <w:ilvl w:val="0"/>
          <w:numId w:val="0"/>
        </w:numPr>
        <w:autoSpaceDE w:val="0"/>
        <w:autoSpaceDN w:val="0"/>
        <w:spacing w:line="360" w:lineRule="auto"/>
        <w:ind w:firstLine="486" w:firstLineChars="200"/>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⑤</w:t>
      </w:r>
      <w:r>
        <w:rPr>
          <w:rFonts w:hint="default" w:ascii="仿宋" w:hAnsi="仿宋" w:eastAsia="仿宋" w:cs="仿宋"/>
          <w:color w:val="auto"/>
          <w:sz w:val="24"/>
          <w:highlight w:val="none"/>
          <w:lang w:val="en-US" w:eastAsia="zh-CN"/>
        </w:rPr>
        <w:t>要求供应商提供</w:t>
      </w:r>
      <w:r>
        <w:rPr>
          <w:rFonts w:hint="eastAsia" w:ascii="仿宋" w:hAnsi="仿宋" w:eastAsia="仿宋" w:cs="仿宋"/>
          <w:color w:val="auto"/>
          <w:sz w:val="24"/>
          <w:highlight w:val="none"/>
          <w:lang w:val="en-US" w:eastAsia="zh-CN"/>
        </w:rPr>
        <w:t>2022</w:t>
      </w:r>
      <w:r>
        <w:rPr>
          <w:rFonts w:hint="default" w:ascii="仿宋" w:hAnsi="仿宋" w:eastAsia="仿宋" w:cs="仿宋"/>
          <w:color w:val="auto"/>
          <w:sz w:val="24"/>
          <w:highlight w:val="none"/>
          <w:lang w:val="en-US" w:eastAsia="zh-CN"/>
        </w:rPr>
        <w:t>年1月1日至今（以合同签订时间为准）的同类项目业绩数量情况</w:t>
      </w:r>
      <w:r>
        <w:rPr>
          <w:rFonts w:hint="eastAsia" w:ascii="仿宋" w:hAnsi="仿宋" w:eastAsia="仿宋" w:cs="仿宋"/>
          <w:color w:val="auto"/>
          <w:sz w:val="24"/>
          <w:highlight w:val="none"/>
          <w:lang w:val="en-US" w:eastAsia="zh-CN"/>
        </w:rPr>
        <w:t>。</w:t>
      </w: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p>
    <w:p>
      <w:pPr>
        <w:spacing w:line="380" w:lineRule="exact"/>
        <w:jc w:val="both"/>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pStyle w:val="9"/>
        <w:rPr>
          <w:rFonts w:hint="eastAsia"/>
          <w:color w:val="auto"/>
          <w:highlight w:val="none"/>
        </w:rPr>
      </w:pPr>
    </w:p>
    <w:p>
      <w:pPr>
        <w:spacing w:line="380" w:lineRule="exact"/>
        <w:jc w:val="both"/>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ind w:left="0" w:leftChars="0" w:firstLine="0" w:firstLineChars="0"/>
        <w:rPr>
          <w:rFonts w:hint="eastAsia" w:ascii="仿宋" w:hAnsi="仿宋" w:eastAsia="仿宋" w:cs="仿宋"/>
          <w:b/>
          <w:color w:val="auto"/>
          <w:sz w:val="28"/>
          <w:szCs w:val="28"/>
          <w:highlight w:val="none"/>
        </w:rPr>
      </w:pPr>
    </w:p>
    <w:p>
      <w:pPr>
        <w:pStyle w:val="10"/>
        <w:rPr>
          <w:rFonts w:hint="eastAsia" w:ascii="仿宋" w:hAnsi="仿宋" w:eastAsia="仿宋" w:cs="仿宋"/>
          <w:b/>
          <w:color w:val="auto"/>
          <w:sz w:val="28"/>
          <w:szCs w:val="28"/>
          <w:highlight w:val="none"/>
        </w:rPr>
      </w:pPr>
    </w:p>
    <w:p>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是采购活动当事人之一，负责项目的整体规划、技术方案可行性设计论证与实施，作为合同采购方（用户）的主体承担质疑回复、履行合同、验收与评价等义务。</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9"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11"/>
        <w:adjustRightInd w:val="0"/>
        <w:snapToGrid w:val="0"/>
        <w:spacing w:line="360" w:lineRule="auto"/>
        <w:ind w:firstLine="729"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9"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（5）“成交供应商”是指经评审小组评审确定的对采购文件做出实质性响应，经采购人按照规定在评审小组推荐的成交候选人中确定的响应供应商。</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6"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6"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6"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6"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6"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6"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6"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6"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6"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时，提供由省级以上监狱管理局、戒毒管理局(含新疆生产建设兵团)出具的属于监狱企业的证明文件，不再提供《中小企业声明函》。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w:t>
      </w:r>
      <w:bookmarkStart w:id="4" w:name="_Toc14923_WPSOffice_Level1"/>
      <w:r>
        <w:rPr>
          <w:rFonts w:hint="eastAsia" w:ascii="仿宋" w:hAnsi="仿宋" w:eastAsia="仿宋" w:cs="仿宋"/>
          <w:b w:val="0"/>
          <w:bCs/>
          <w:color w:val="auto"/>
          <w:sz w:val="24"/>
          <w:szCs w:val="24"/>
          <w:highlight w:val="none"/>
        </w:rPr>
        <w:t>同小型、微型</w:t>
      </w:r>
      <w:bookmarkEnd w:id="4"/>
      <w:r>
        <w:rPr>
          <w:rFonts w:hint="eastAsia" w:ascii="仿宋" w:hAnsi="仿宋" w:eastAsia="仿宋" w:cs="仿宋"/>
          <w:b w:val="0"/>
          <w:bCs/>
          <w:color w:val="auto"/>
          <w:sz w:val="24"/>
          <w:szCs w:val="24"/>
          <w:highlight w:val="none"/>
        </w:rPr>
        <w:t>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6"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6"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者，须履行本项目下保密义务，不得将因本次项目获得的信息向第三人外传，不得将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6"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6"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6"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6"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6"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6"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响应供应商应完整、真实、准确的填写比选文件中规定的所有内容，对响应文件所提供的全部资料的真实性承担法律责任，并无条件接受我院</w:t>
      </w:r>
      <w:r>
        <w:rPr>
          <w:rFonts w:hint="eastAsia" w:ascii="仿宋" w:hAnsi="仿宋" w:eastAsia="仿宋" w:cs="仿宋"/>
          <w:color w:val="auto"/>
          <w:sz w:val="24"/>
          <w:szCs w:val="24"/>
          <w:highlight w:val="none"/>
          <w:lang w:eastAsia="zh-CN"/>
        </w:rPr>
        <w:t>招采</w:t>
      </w:r>
      <w:r>
        <w:rPr>
          <w:rFonts w:hint="eastAsia" w:ascii="仿宋" w:hAnsi="仿宋" w:eastAsia="仿宋" w:cs="仿宋"/>
          <w:color w:val="auto"/>
          <w:sz w:val="24"/>
          <w:szCs w:val="24"/>
          <w:highlight w:val="none"/>
          <w:lang w:val="en-US" w:eastAsia="zh-CN"/>
        </w:rPr>
        <w:t>部门</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6"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6"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6"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6"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6"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6"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6"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6"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6"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firstLine="486"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五、比选</w:t>
      </w:r>
    </w:p>
    <w:p>
      <w:pPr>
        <w:pStyle w:val="11"/>
        <w:adjustRightInd w:val="0"/>
        <w:snapToGrid w:val="0"/>
        <w:spacing w:line="360" w:lineRule="auto"/>
        <w:ind w:right="32" w:firstLine="486"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（一）比选前</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6"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6"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6"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11"/>
        <w:adjustRightInd w:val="0"/>
        <w:snapToGrid w:val="0"/>
        <w:spacing w:line="360" w:lineRule="auto"/>
        <w:ind w:firstLine="486"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6"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6"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。评审小组依据响应证明文件从商务评审、技术评审、价格评审等方面按公正、科学、客观、平等竞争的要求进行综合评审,按评审综合得分由高到低确定成交供应商。</w:t>
      </w:r>
    </w:p>
    <w:p>
      <w:pPr>
        <w:pStyle w:val="11"/>
        <w:adjustRightInd w:val="0"/>
        <w:snapToGrid w:val="0"/>
        <w:spacing w:line="360" w:lineRule="auto"/>
        <w:ind w:firstLine="486"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(二)评审步骤</w:t>
      </w:r>
    </w:p>
    <w:p>
      <w:pPr>
        <w:pStyle w:val="11"/>
        <w:adjustRightInd w:val="0"/>
        <w:snapToGrid w:val="0"/>
        <w:spacing w:line="360" w:lineRule="auto"/>
        <w:ind w:right="32" w:firstLine="465"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5"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5"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9"/>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keepNext w:val="0"/>
              <w:keepLines w:val="0"/>
              <w:suppressLineNumbers w:val="0"/>
              <w:autoSpaceDE w:val="0"/>
              <w:autoSpaceDN w:val="0"/>
              <w:adjustRightInd w:val="0"/>
              <w:snapToGrid w:val="0"/>
              <w:spacing w:before="0" w:beforeAutospacing="0" w:after="0" w:afterAutospacing="0"/>
              <w:ind w:left="0"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6"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63"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63"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63"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63"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3"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9"/>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keepNext w:val="0"/>
              <w:keepLines w:val="0"/>
              <w:suppressLineNumbers w:val="0"/>
              <w:spacing w:before="0" w:beforeAutospacing="0" w:after="0" w:afterAutospacing="0" w:line="380" w:lineRule="exact"/>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keepNext w:val="0"/>
              <w:keepLines w:val="0"/>
              <w:suppressLineNumbers w:val="0"/>
              <w:spacing w:before="0" w:beforeAutospacing="0" w:after="0" w:afterAutospacing="0" w:line="380" w:lineRule="exact"/>
              <w:ind w:left="-171" w:right="0"/>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本项目是专门面向中小企业采购的项目，供应商应为中小微企业。（提供《中小企业声明函》,具体格式文件见比选文件P</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中小企业声明函，未按要求提供声明函的将导致响应无效）。本项目中小企业划分标准所属行业为：</w:t>
            </w:r>
            <w:r>
              <w:rPr>
                <w:rFonts w:hint="eastAsia" w:ascii="仿宋" w:hAnsi="仿宋" w:eastAsia="仿宋" w:cs="仿宋"/>
                <w:color w:val="auto"/>
                <w:szCs w:val="21"/>
                <w:highlight w:val="none"/>
                <w:lang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Merge w:val="continue"/>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keepNext w:val="0"/>
              <w:keepLines w:val="0"/>
              <w:suppressLineNumbers w:val="0"/>
              <w:spacing w:before="0" w:beforeAutospacing="0" w:after="0" w:afterAutospacing="0"/>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6"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63"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63"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63"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63"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63"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63"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9"/>
        <w:tblW w:w="8729" w:type="dxa"/>
        <w:tblInd w:w="0" w:type="dxa"/>
        <w:tblLayout w:type="fixed"/>
        <w:tblCellMar>
          <w:top w:w="0" w:type="dxa"/>
          <w:left w:w="108" w:type="dxa"/>
          <w:bottom w:w="0" w:type="dxa"/>
          <w:right w:w="108" w:type="dxa"/>
        </w:tblCellMar>
      </w:tblPr>
      <w:tblGrid>
        <w:gridCol w:w="750"/>
        <w:gridCol w:w="1224"/>
        <w:gridCol w:w="1284"/>
        <w:gridCol w:w="547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技术响应程度</w:t>
            </w:r>
            <w:r>
              <w:rPr>
                <w:rFonts w:hint="eastAsia" w:ascii="仿宋" w:hAnsi="仿宋" w:eastAsia="仿宋" w:cs="仿宋"/>
                <w:color w:val="auto"/>
                <w:kern w:val="0"/>
                <w:sz w:val="24"/>
                <w:szCs w:val="24"/>
                <w:highlight w:val="none"/>
                <w:lang w:val="en-US" w:eastAsia="zh-CN"/>
              </w:rPr>
              <w:t>(带▲号条款）</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12</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完全满足采购人需求中带▲的重要技术参数的，得</w:t>
            </w: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lang w:eastAsia="zh-CN"/>
              </w:rPr>
              <w:t>分；一项不满足得</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分；两项不满足得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分；如此类推，每不满足一项带▲的重要技术参数的得分减少</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分，当达到</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项或以上时，视为严重偏离本项不得分。</w:t>
            </w:r>
          </w:p>
          <w:p>
            <w:pPr>
              <w:pStyle w:val="7"/>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注：在每项带“▲”号的技术条款中，若要求提供佐证材料的则应按要求提供，未按采购文件要求提供证明材料的技术参数，以响应文件格式技术和服务要求响应表为准。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技术响应程度(非▲号条款）</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pStyle w:val="7"/>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技术参数要求中不带▲号的一般技术参数，得6分；有一项不带▲号条款负偏离，得5分；有二项不带▲号条款负偏离，得4分；有三项不带▲号条款负偏离，得3分；以此类推，当不带▲号条款负偏离达到6项（含）以上时，视为严重偏离此评分项不得分。采购文件未要求提供证明材料的技术参数，以响应文件格式技术要求响应表为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质量保障措施</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rPr>
              <w:t>根据各响应供应商所提供的质量保障措施方案（包括但不限于以下内容：①</w:t>
            </w:r>
            <w:r>
              <w:rPr>
                <w:rFonts w:hint="eastAsia" w:ascii="仿宋" w:hAnsi="仿宋" w:eastAsia="仿宋" w:cs="仿宋"/>
                <w:color w:val="auto"/>
                <w:kern w:val="0"/>
                <w:sz w:val="24"/>
                <w:szCs w:val="24"/>
                <w:highlight w:val="none"/>
                <w:lang w:val="en-GB" w:eastAsia="zh-CN" w:bidi="ar-SA"/>
              </w:rPr>
              <w:t>总体质量控制：评估质量控制方案是否全面，是否能够覆盖各种情况发生，确保服务期间对于问题处理、需求开发等每一部分都有严格的质量控制措施。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②项目进度控制：评估项目进度控制措施是否清晰，是否合理分配资源、明确关键节点，并能及时调整进度以确保规划内容按时完成。</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③服务过程中质量管理方案：评估服务过程中质量管理的方案是否详细，包括质量检查、验收、反馈和改进等环节的具体安排。</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④服务过程中质量管理制度：评估服务过程中质量管理制度的健全性，是否包含质量标准、检验方法、责任分配等方面的内容，以保证服务质量持续达标。</w:t>
            </w:r>
            <w:r>
              <w:rPr>
                <w:rFonts w:hint="eastAsia" w:ascii="仿宋" w:hAnsi="仿宋" w:eastAsia="仿宋" w:cs="仿宋"/>
                <w:color w:val="auto"/>
                <w:kern w:val="0"/>
                <w:sz w:val="24"/>
                <w:szCs w:val="24"/>
                <w:highlight w:val="none"/>
                <w:lang w:val="en-US" w:eastAsia="zh-CN"/>
              </w:rPr>
              <w:t>）进行评价：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GB" w:eastAsia="zh-CN" w:bidi="ar-SA"/>
              </w:rPr>
              <w:t>提供完整且详细的保障措施，得10分；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提供清晰的保障措施，但不够详细，得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en-GB" w:eastAsia="zh-CN" w:bidi="ar-SA"/>
              </w:rPr>
              <w:t>提供基础的保障措施，但内容简略，得</w:t>
            </w: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提供的保障措施不完整，模糊质量保障或不提供方案不得分。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eastAsia="zh-CN"/>
              </w:rPr>
              <w:t>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根据供应商提供的项目方案（包括但不限于实战培训方案、实施改善项目方案、项目实施保障、预期成果等）进行评分：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1.方案合理性、完整性强，具备可行性，完全满足且优于采购需求的得10分；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2.方案合理性、完整性较强，比较具备可行性，完全满足采购需求的得7分；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3.方案合理性、完整性较差，不具备可行性，不能完全满足采购需求的得3分；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4.未提供实施方案得0分。</w:t>
            </w:r>
          </w:p>
        </w:tc>
      </w:tr>
      <w:tr>
        <w:tblPrEx>
          <w:tblCellMar>
            <w:top w:w="0" w:type="dxa"/>
            <w:left w:w="108" w:type="dxa"/>
            <w:bottom w:w="0" w:type="dxa"/>
            <w:right w:w="108" w:type="dxa"/>
          </w:tblCellMar>
        </w:tblPrEx>
        <w:trPr>
          <w:trHeight w:val="7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Hans" w:bidi="ar-SA"/>
              </w:rPr>
            </w:pPr>
            <w:r>
              <w:rPr>
                <w:rFonts w:hint="eastAsia" w:ascii="仿宋" w:hAnsi="仿宋" w:eastAsia="仿宋" w:cs="仿宋"/>
                <w:color w:val="auto"/>
                <w:kern w:val="0"/>
                <w:sz w:val="24"/>
                <w:szCs w:val="24"/>
                <w:highlight w:val="none"/>
                <w:lang w:val="en-US" w:eastAsia="zh-Hans" w:bidi="ar-SA"/>
              </w:rPr>
              <w:t>综合实力</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14</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4"/>
              </w:numPr>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US" w:eastAsia="zh-CN" w:bidi="ar-SA"/>
              </w:rPr>
              <w:t>供应商拥</w:t>
            </w:r>
            <w:r>
              <w:rPr>
                <w:rFonts w:hint="eastAsia" w:ascii="仿宋" w:hAnsi="仿宋" w:eastAsia="仿宋" w:cs="仿宋"/>
                <w:color w:val="auto"/>
                <w:kern w:val="0"/>
                <w:sz w:val="24"/>
                <w:szCs w:val="24"/>
                <w:highlight w:val="none"/>
                <w:u w:val="none"/>
                <w:lang w:val="en-GB" w:eastAsia="zh-CN" w:bidi="ar-SA"/>
              </w:rPr>
              <w:t>有软件著作权或授权，得</w:t>
            </w:r>
            <w:r>
              <w:rPr>
                <w:rFonts w:hint="eastAsia" w:ascii="仿宋" w:hAnsi="仿宋" w:eastAsia="仿宋" w:cs="仿宋"/>
                <w:color w:val="auto"/>
                <w:kern w:val="0"/>
                <w:sz w:val="24"/>
                <w:szCs w:val="24"/>
                <w:highlight w:val="none"/>
                <w:u w:val="none"/>
                <w:lang w:val="en-US" w:eastAsia="zh-CN" w:bidi="ar-SA"/>
              </w:rPr>
              <w:t>5</w:t>
            </w:r>
            <w:r>
              <w:rPr>
                <w:rFonts w:hint="eastAsia" w:ascii="仿宋" w:hAnsi="仿宋" w:eastAsia="仿宋" w:cs="仿宋"/>
                <w:color w:val="auto"/>
                <w:kern w:val="0"/>
                <w:sz w:val="24"/>
                <w:szCs w:val="24"/>
                <w:highlight w:val="none"/>
                <w:u w:val="none"/>
                <w:lang w:val="en-GB" w:eastAsia="zh-CN" w:bidi="ar-SA"/>
              </w:rPr>
              <w:t>分。</w:t>
            </w:r>
          </w:p>
          <w:p>
            <w:pPr>
              <w:keepNext w:val="0"/>
              <w:keepLines w:val="0"/>
              <w:widowControl/>
              <w:numPr>
                <w:ilvl w:val="0"/>
                <w:numId w:val="0"/>
              </w:numPr>
              <w:suppressLineNumbers w:val="0"/>
              <w:spacing w:before="0" w:beforeAutospacing="0" w:after="0" w:afterAutospacing="0"/>
              <w:ind w:right="0" w:rightChars="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GB" w:eastAsia="zh-CN" w:bidi="ar-SA"/>
              </w:rPr>
              <w:t>注：需提供软件著作权证书或授权书复印件并加盖公章）</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US" w:eastAsia="zh-CN" w:bidi="ar-SA"/>
              </w:rPr>
              <w:t>2.供应商</w:t>
            </w:r>
            <w:r>
              <w:rPr>
                <w:rFonts w:hint="eastAsia" w:ascii="仿宋" w:hAnsi="仿宋" w:eastAsia="仿宋" w:cs="仿宋"/>
                <w:color w:val="auto"/>
                <w:kern w:val="0"/>
                <w:sz w:val="24"/>
                <w:szCs w:val="24"/>
                <w:highlight w:val="none"/>
                <w:u w:val="none"/>
                <w:lang w:val="en-GB" w:eastAsia="zh-CN" w:bidi="ar-SA"/>
              </w:rPr>
              <w:t>具备以下有效证书的，每提供一项，得</w:t>
            </w:r>
            <w:r>
              <w:rPr>
                <w:rFonts w:hint="eastAsia" w:ascii="仿宋" w:hAnsi="仿宋" w:eastAsia="仿宋" w:cs="仿宋"/>
                <w:color w:val="auto"/>
                <w:kern w:val="0"/>
                <w:sz w:val="24"/>
                <w:szCs w:val="24"/>
                <w:highlight w:val="none"/>
                <w:u w:val="none"/>
                <w:lang w:val="en-US" w:eastAsia="zh-CN" w:bidi="ar-SA"/>
              </w:rPr>
              <w:t>3</w:t>
            </w:r>
            <w:r>
              <w:rPr>
                <w:rFonts w:hint="eastAsia" w:ascii="仿宋" w:hAnsi="仿宋" w:eastAsia="仿宋" w:cs="仿宋"/>
                <w:color w:val="auto"/>
                <w:kern w:val="0"/>
                <w:sz w:val="24"/>
                <w:szCs w:val="24"/>
                <w:highlight w:val="none"/>
                <w:u w:val="none"/>
                <w:lang w:val="en-GB" w:eastAsia="zh-CN" w:bidi="ar-SA"/>
              </w:rPr>
              <w:t>分，最高得</w:t>
            </w:r>
            <w:r>
              <w:rPr>
                <w:rFonts w:hint="eastAsia" w:ascii="仿宋" w:hAnsi="仿宋" w:eastAsia="仿宋" w:cs="仿宋"/>
                <w:color w:val="auto"/>
                <w:kern w:val="0"/>
                <w:sz w:val="24"/>
                <w:szCs w:val="24"/>
                <w:highlight w:val="none"/>
                <w:u w:val="none"/>
                <w:lang w:val="en-US" w:eastAsia="zh-CN" w:bidi="ar-SA"/>
              </w:rPr>
              <w:t>9</w:t>
            </w:r>
            <w:r>
              <w:rPr>
                <w:rFonts w:hint="eastAsia" w:ascii="仿宋" w:hAnsi="仿宋" w:eastAsia="仿宋" w:cs="仿宋"/>
                <w:color w:val="auto"/>
                <w:kern w:val="0"/>
                <w:sz w:val="24"/>
                <w:szCs w:val="24"/>
                <w:highlight w:val="none"/>
                <w:u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（1）具有质量管理体系认证证书；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（2）具有环境管理体系认证证书；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（3）具有职业健康安全管理体系认证证书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注：</w:t>
            </w:r>
            <w:r>
              <w:rPr>
                <w:rFonts w:hint="eastAsia" w:ascii="仿宋" w:hAnsi="仿宋" w:eastAsia="仿宋" w:cs="仿宋"/>
                <w:color w:val="auto"/>
                <w:kern w:val="0"/>
                <w:sz w:val="24"/>
                <w:szCs w:val="24"/>
                <w:highlight w:val="none"/>
                <w:u w:val="none"/>
                <w:lang w:val="en-US" w:eastAsia="zh-CN" w:bidi="ar-SA"/>
              </w:rPr>
              <w:t>供应商</w:t>
            </w:r>
            <w:r>
              <w:rPr>
                <w:rFonts w:hint="eastAsia" w:ascii="仿宋" w:hAnsi="仿宋" w:eastAsia="仿宋" w:cs="仿宋"/>
                <w:color w:val="auto"/>
                <w:kern w:val="0"/>
                <w:sz w:val="24"/>
                <w:szCs w:val="24"/>
                <w:highlight w:val="none"/>
                <w:u w:val="none"/>
                <w:lang w:val="en-GB" w:eastAsia="zh-CN" w:bidi="ar-SA"/>
              </w:rPr>
              <w:t>提供证书复印件及在全国认证认可信息公共服务平台上对证书的查询结果截图为证明材料，并加盖</w:t>
            </w:r>
            <w:r>
              <w:rPr>
                <w:rFonts w:hint="eastAsia" w:ascii="仿宋" w:hAnsi="仿宋" w:eastAsia="仿宋" w:cs="仿宋"/>
                <w:color w:val="auto"/>
                <w:kern w:val="0"/>
                <w:sz w:val="24"/>
                <w:szCs w:val="24"/>
                <w:highlight w:val="none"/>
                <w:u w:val="none"/>
                <w:lang w:val="en-US" w:eastAsia="zh-CN" w:bidi="ar-SA"/>
              </w:rPr>
              <w:t>供应商</w:t>
            </w:r>
            <w:r>
              <w:rPr>
                <w:rFonts w:hint="eastAsia" w:ascii="仿宋" w:hAnsi="仿宋" w:eastAsia="仿宋" w:cs="仿宋"/>
                <w:color w:val="auto"/>
                <w:kern w:val="0"/>
                <w:sz w:val="24"/>
                <w:szCs w:val="24"/>
                <w:highlight w:val="none"/>
                <w:u w:val="none"/>
                <w:lang w:val="en-GB" w:eastAsia="zh-CN" w:bidi="ar-SA"/>
              </w:rPr>
              <w:t xml:space="preserve">公章，否则不得分。 </w:t>
            </w:r>
          </w:p>
        </w:tc>
      </w:tr>
      <w:tr>
        <w:tblPrEx>
          <w:tblCellMar>
            <w:top w:w="0" w:type="dxa"/>
            <w:left w:w="108" w:type="dxa"/>
            <w:bottom w:w="0" w:type="dxa"/>
            <w:right w:w="108" w:type="dxa"/>
          </w:tblCellMar>
        </w:tblPrEx>
        <w:trPr>
          <w:trHeight w:val="3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Hans" w:bidi="ar-SA"/>
              </w:rPr>
              <w:t>项目团队</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供应商</w:t>
            </w:r>
            <w:r>
              <w:rPr>
                <w:rFonts w:hint="default" w:ascii="仿宋" w:hAnsi="仿宋" w:eastAsia="仿宋" w:cs="仿宋"/>
                <w:color w:val="auto"/>
                <w:kern w:val="0"/>
                <w:sz w:val="24"/>
                <w:szCs w:val="24"/>
                <w:highlight w:val="none"/>
                <w:u w:val="none"/>
                <w:lang w:val="en-US" w:eastAsia="zh-CN" w:bidi="ar-SA"/>
              </w:rPr>
              <w:t>拟派项目服务团队</w:t>
            </w:r>
            <w:r>
              <w:rPr>
                <w:rFonts w:hint="eastAsia" w:ascii="仿宋" w:hAnsi="仿宋" w:eastAsia="仿宋" w:cs="仿宋"/>
                <w:color w:val="auto"/>
                <w:kern w:val="0"/>
                <w:sz w:val="24"/>
                <w:szCs w:val="24"/>
                <w:highlight w:val="none"/>
                <w:u w:val="none"/>
                <w:lang w:val="en-US" w:eastAsia="zh-CN" w:bidi="ar-SA"/>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1</w:t>
            </w:r>
            <w:r>
              <w:rPr>
                <w:rFonts w:hint="eastAsia" w:ascii="仿宋" w:hAnsi="仿宋" w:eastAsia="仿宋" w:cs="仿宋"/>
                <w:color w:val="auto"/>
                <w:kern w:val="0"/>
                <w:sz w:val="24"/>
                <w:szCs w:val="24"/>
                <w:highlight w:val="none"/>
                <w:u w:val="none"/>
                <w:lang w:val="en-US" w:eastAsia="zh-CN" w:bidi="ar-SA"/>
              </w:rPr>
              <w:t>.</w:t>
            </w:r>
            <w:r>
              <w:rPr>
                <w:rFonts w:hint="eastAsia" w:ascii="仿宋" w:hAnsi="仿宋" w:eastAsia="仿宋" w:cs="仿宋"/>
                <w:color w:val="auto"/>
                <w:kern w:val="0"/>
                <w:sz w:val="24"/>
                <w:szCs w:val="24"/>
                <w:highlight w:val="none"/>
                <w:u w:val="none"/>
                <w:lang w:val="en-GB" w:eastAsia="zh-CN" w:bidi="ar-SA"/>
              </w:rPr>
              <w:t>拟派本项目负责人（1人）：</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GB" w:eastAsia="zh-CN" w:bidi="ar-SA"/>
              </w:rPr>
              <w:t>（</w:t>
            </w:r>
            <w:r>
              <w:rPr>
                <w:rFonts w:hint="eastAsia" w:ascii="仿宋" w:hAnsi="仿宋" w:eastAsia="仿宋" w:cs="仿宋"/>
                <w:color w:val="auto"/>
                <w:kern w:val="0"/>
                <w:sz w:val="24"/>
                <w:szCs w:val="24"/>
                <w:highlight w:val="none"/>
                <w:u w:val="none"/>
                <w:lang w:val="en-US" w:eastAsia="zh-CN" w:bidi="ar-SA"/>
              </w:rPr>
              <w:t>1</w:t>
            </w:r>
            <w:r>
              <w:rPr>
                <w:rFonts w:hint="eastAsia" w:ascii="仿宋" w:hAnsi="仿宋" w:eastAsia="仿宋" w:cs="仿宋"/>
                <w:color w:val="auto"/>
                <w:kern w:val="0"/>
                <w:sz w:val="24"/>
                <w:szCs w:val="24"/>
                <w:highlight w:val="none"/>
                <w:u w:val="none"/>
                <w:lang w:val="en-GB" w:eastAsia="zh-CN" w:bidi="ar-SA"/>
              </w:rPr>
              <w:t>）具备本科（及以上）学历，得</w:t>
            </w:r>
            <w:r>
              <w:rPr>
                <w:rFonts w:hint="eastAsia" w:ascii="仿宋" w:hAnsi="仿宋" w:eastAsia="仿宋" w:cs="仿宋"/>
                <w:color w:val="auto"/>
                <w:kern w:val="0"/>
                <w:sz w:val="24"/>
                <w:szCs w:val="24"/>
                <w:highlight w:val="none"/>
                <w:u w:val="none"/>
                <w:lang w:val="en-US" w:eastAsia="zh-CN" w:bidi="ar-SA"/>
              </w:rPr>
              <w:t>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US" w:eastAsia="zh-CN" w:bidi="ar-SA"/>
              </w:rPr>
              <w:t>（2）</w:t>
            </w:r>
            <w:r>
              <w:rPr>
                <w:rFonts w:hint="eastAsia" w:ascii="仿宋" w:hAnsi="仿宋" w:eastAsia="仿宋" w:cs="仿宋"/>
                <w:color w:val="auto"/>
                <w:kern w:val="0"/>
                <w:sz w:val="24"/>
                <w:szCs w:val="24"/>
                <w:highlight w:val="none"/>
                <w:u w:val="none"/>
                <w:lang w:val="en-GB" w:eastAsia="zh-CN" w:bidi="ar-SA"/>
              </w:rPr>
              <w:t>具备人力资源和社会保障部门颁发的信息系统项目管理师或软件设计师，得</w:t>
            </w:r>
            <w:r>
              <w:rPr>
                <w:rFonts w:hint="eastAsia" w:ascii="仿宋" w:hAnsi="仿宋" w:eastAsia="仿宋" w:cs="仿宋"/>
                <w:color w:val="auto"/>
                <w:kern w:val="0"/>
                <w:sz w:val="24"/>
                <w:szCs w:val="24"/>
                <w:highlight w:val="none"/>
                <w:u w:val="none"/>
                <w:lang w:val="en-US" w:eastAsia="zh-CN" w:bidi="ar-SA"/>
              </w:rPr>
              <w:t>2</w:t>
            </w:r>
            <w:r>
              <w:rPr>
                <w:rFonts w:hint="eastAsia" w:ascii="仿宋" w:hAnsi="仿宋" w:eastAsia="仿宋" w:cs="仿宋"/>
                <w:color w:val="auto"/>
                <w:kern w:val="0"/>
                <w:sz w:val="24"/>
                <w:szCs w:val="24"/>
                <w:highlight w:val="none"/>
                <w:u w:val="none"/>
                <w:lang w:val="en-GB" w:eastAsia="zh-CN" w:bidi="ar-SA"/>
              </w:rPr>
              <w:t>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2</w:t>
            </w:r>
            <w:r>
              <w:rPr>
                <w:rFonts w:hint="eastAsia" w:ascii="仿宋" w:hAnsi="仿宋" w:eastAsia="仿宋" w:cs="仿宋"/>
                <w:color w:val="auto"/>
                <w:kern w:val="0"/>
                <w:sz w:val="24"/>
                <w:szCs w:val="24"/>
                <w:highlight w:val="none"/>
                <w:u w:val="none"/>
                <w:lang w:val="en-US" w:eastAsia="zh-CN" w:bidi="ar-SA"/>
              </w:rPr>
              <w:t>.</w:t>
            </w:r>
            <w:r>
              <w:rPr>
                <w:rFonts w:hint="eastAsia" w:ascii="仿宋" w:hAnsi="仿宋" w:eastAsia="仿宋" w:cs="仿宋"/>
                <w:color w:val="auto"/>
                <w:kern w:val="0"/>
                <w:sz w:val="24"/>
                <w:szCs w:val="24"/>
                <w:highlight w:val="none"/>
                <w:u w:val="none"/>
                <w:lang w:val="en-GB" w:eastAsia="zh-CN" w:bidi="ar-SA"/>
              </w:rPr>
              <w:t>项目团队成员（</w:t>
            </w:r>
            <w:r>
              <w:rPr>
                <w:rFonts w:hint="eastAsia" w:ascii="仿宋" w:hAnsi="仿宋" w:eastAsia="仿宋" w:cs="仿宋"/>
                <w:color w:val="auto"/>
                <w:kern w:val="0"/>
                <w:sz w:val="24"/>
                <w:szCs w:val="24"/>
                <w:highlight w:val="none"/>
                <w:u w:val="none"/>
                <w:lang w:val="en-US" w:eastAsia="zh-CN" w:bidi="ar-SA"/>
              </w:rPr>
              <w:t>1-3人</w:t>
            </w:r>
            <w:r>
              <w:rPr>
                <w:rFonts w:hint="eastAsia" w:ascii="仿宋" w:hAnsi="仿宋" w:eastAsia="仿宋" w:cs="仿宋"/>
                <w:color w:val="auto"/>
                <w:kern w:val="0"/>
                <w:sz w:val="24"/>
                <w:szCs w:val="24"/>
                <w:highlight w:val="none"/>
                <w:u w:val="none"/>
                <w:lang w:val="en-GB" w:eastAsia="zh-CN" w:bidi="ar-SA"/>
              </w:rPr>
              <w:t>）（不含项目负责人），本项最高得</w:t>
            </w:r>
            <w:r>
              <w:rPr>
                <w:rFonts w:hint="eastAsia" w:ascii="仿宋" w:hAnsi="仿宋" w:eastAsia="仿宋" w:cs="仿宋"/>
                <w:color w:val="auto"/>
                <w:kern w:val="0"/>
                <w:sz w:val="24"/>
                <w:szCs w:val="24"/>
                <w:highlight w:val="none"/>
                <w:u w:val="none"/>
                <w:lang w:val="en-US" w:eastAsia="zh-CN" w:bidi="ar-SA"/>
              </w:rPr>
              <w:t>6</w:t>
            </w:r>
            <w:r>
              <w:rPr>
                <w:rFonts w:hint="eastAsia" w:ascii="仿宋" w:hAnsi="仿宋" w:eastAsia="仿宋" w:cs="仿宋"/>
                <w:color w:val="auto"/>
                <w:kern w:val="0"/>
                <w:sz w:val="24"/>
                <w:szCs w:val="24"/>
                <w:highlight w:val="none"/>
                <w:u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GB" w:eastAsia="zh-CN" w:bidi="ar-SA"/>
              </w:rPr>
              <w:t>（</w:t>
            </w:r>
            <w:r>
              <w:rPr>
                <w:rFonts w:hint="eastAsia" w:ascii="仿宋" w:hAnsi="仿宋" w:eastAsia="仿宋" w:cs="仿宋"/>
                <w:color w:val="auto"/>
                <w:kern w:val="0"/>
                <w:sz w:val="24"/>
                <w:szCs w:val="24"/>
                <w:highlight w:val="none"/>
                <w:u w:val="none"/>
                <w:lang w:val="en-US" w:eastAsia="zh-CN" w:bidi="ar-SA"/>
              </w:rPr>
              <w:t>1</w:t>
            </w:r>
            <w:r>
              <w:rPr>
                <w:rFonts w:hint="eastAsia" w:ascii="仿宋" w:hAnsi="仿宋" w:eastAsia="仿宋" w:cs="仿宋"/>
                <w:color w:val="auto"/>
                <w:kern w:val="0"/>
                <w:sz w:val="24"/>
                <w:szCs w:val="24"/>
                <w:highlight w:val="none"/>
                <w:u w:val="none"/>
                <w:lang w:val="en-GB" w:eastAsia="zh-CN" w:bidi="ar-SA"/>
              </w:rPr>
              <w:t>）具备本科（及以上）学历，得</w:t>
            </w:r>
            <w:r>
              <w:rPr>
                <w:rFonts w:hint="eastAsia" w:ascii="仿宋" w:hAnsi="仿宋" w:eastAsia="仿宋" w:cs="仿宋"/>
                <w:color w:val="auto"/>
                <w:kern w:val="0"/>
                <w:sz w:val="24"/>
                <w:szCs w:val="24"/>
                <w:highlight w:val="none"/>
                <w:u w:val="none"/>
                <w:lang w:val="en-US" w:eastAsia="zh-CN" w:bidi="ar-SA"/>
              </w:rPr>
              <w:t>1分；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（2）</w:t>
            </w:r>
            <w:r>
              <w:rPr>
                <w:rFonts w:hint="eastAsia" w:ascii="仿宋" w:hAnsi="仿宋" w:eastAsia="仿宋" w:cs="仿宋"/>
                <w:color w:val="auto"/>
                <w:kern w:val="0"/>
                <w:sz w:val="24"/>
                <w:szCs w:val="24"/>
                <w:highlight w:val="none"/>
                <w:u w:val="none"/>
                <w:lang w:val="en-GB" w:eastAsia="zh-CN" w:bidi="ar-SA"/>
              </w:rPr>
              <w:t>具备人力资源和社会保障部门颁发的系统集成项目管理工程师或软件设计师或数据库系统工程师资质的，得</w:t>
            </w:r>
            <w:r>
              <w:rPr>
                <w:rFonts w:hint="eastAsia" w:ascii="仿宋" w:hAnsi="仿宋" w:eastAsia="仿宋" w:cs="仿宋"/>
                <w:color w:val="auto"/>
                <w:kern w:val="0"/>
                <w:sz w:val="24"/>
                <w:szCs w:val="24"/>
                <w:highlight w:val="none"/>
                <w:u w:val="none"/>
                <w:lang w:val="en-US" w:eastAsia="zh-CN" w:bidi="ar-SA"/>
              </w:rPr>
              <w:t>1分。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GB" w:eastAsia="zh-CN" w:bidi="ar-SA"/>
              </w:rPr>
              <w:t>注：响应供应商应提供团队人员比选截止时间半年缴纳的社保明细（若公司成立未到半年，按公司成立实际时间提供），并盖公章；提供职称证书复印件作为佐证材料等。无提供的不得分。</w:t>
            </w:r>
          </w:p>
        </w:tc>
      </w:tr>
      <w:tr>
        <w:tblPrEx>
          <w:tblCellMar>
            <w:top w:w="0" w:type="dxa"/>
            <w:left w:w="108" w:type="dxa"/>
            <w:bottom w:w="0" w:type="dxa"/>
            <w:right w:w="108" w:type="dxa"/>
          </w:tblCellMar>
        </w:tblPrEx>
        <w:trPr>
          <w:trHeight w:val="692"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对</w:t>
            </w:r>
            <w:r>
              <w:rPr>
                <w:rFonts w:hint="eastAsia" w:ascii="仿宋" w:hAnsi="仿宋" w:eastAsia="仿宋" w:cs="仿宋"/>
                <w:color w:val="auto"/>
                <w:kern w:val="0"/>
                <w:sz w:val="24"/>
                <w:szCs w:val="24"/>
                <w:highlight w:val="none"/>
                <w:u w:val="none"/>
                <w:lang w:val="en-US" w:eastAsia="zh-CN" w:bidi="ar-SA"/>
              </w:rPr>
              <w:t>供应商</w:t>
            </w:r>
            <w:r>
              <w:rPr>
                <w:rFonts w:hint="eastAsia" w:ascii="仿宋" w:hAnsi="仿宋" w:eastAsia="仿宋" w:cs="仿宋"/>
                <w:color w:val="auto"/>
                <w:kern w:val="0"/>
                <w:sz w:val="24"/>
                <w:szCs w:val="24"/>
                <w:highlight w:val="none"/>
                <w:u w:val="none"/>
                <w:lang w:val="en-GB" w:eastAsia="zh-CN" w:bidi="ar-SA"/>
              </w:rPr>
              <w:t>提供的售后服务方案（包括质保期、维护保养方案、应急维修时间、维修的及时性、安排的合理性等）是否完善具体，各阶段服务计划是否详尽进行综合评审：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Hans" w:bidi="ar-SA"/>
              </w:rPr>
            </w:pPr>
            <w:r>
              <w:rPr>
                <w:rFonts w:hint="eastAsia" w:ascii="仿宋" w:hAnsi="仿宋" w:eastAsia="仿宋" w:cs="仿宋"/>
                <w:color w:val="auto"/>
                <w:kern w:val="0"/>
                <w:sz w:val="24"/>
                <w:szCs w:val="24"/>
                <w:highlight w:val="none"/>
                <w:u w:val="none"/>
                <w:lang w:val="en-US" w:eastAsia="zh-CN" w:bidi="ar-SA"/>
              </w:rPr>
              <w:t>1.</w:t>
            </w:r>
            <w:r>
              <w:rPr>
                <w:rFonts w:hint="eastAsia" w:ascii="仿宋" w:hAnsi="仿宋" w:eastAsia="仿宋" w:cs="仿宋"/>
                <w:color w:val="auto"/>
                <w:kern w:val="0"/>
                <w:sz w:val="24"/>
                <w:szCs w:val="24"/>
                <w:highlight w:val="none"/>
                <w:u w:val="none"/>
                <w:lang w:val="en-GB" w:eastAsia="zh-Hans" w:bidi="ar-SA"/>
              </w:rPr>
              <w:t>方案详细周全、科学合理、针对性强的，得</w:t>
            </w:r>
            <w:r>
              <w:rPr>
                <w:rFonts w:hint="eastAsia" w:ascii="仿宋" w:hAnsi="仿宋" w:eastAsia="仿宋" w:cs="仿宋"/>
                <w:color w:val="auto"/>
                <w:kern w:val="0"/>
                <w:sz w:val="24"/>
                <w:szCs w:val="24"/>
                <w:highlight w:val="none"/>
                <w:u w:val="none"/>
                <w:lang w:val="en-US" w:eastAsia="zh-CN" w:bidi="ar-SA"/>
              </w:rPr>
              <w:t>6</w:t>
            </w:r>
            <w:r>
              <w:rPr>
                <w:rFonts w:hint="eastAsia" w:ascii="仿宋" w:hAnsi="仿宋" w:eastAsia="仿宋" w:cs="仿宋"/>
                <w:color w:val="auto"/>
                <w:kern w:val="0"/>
                <w:sz w:val="24"/>
                <w:szCs w:val="24"/>
                <w:highlight w:val="none"/>
                <w:u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Hans" w:bidi="ar-SA"/>
              </w:rPr>
            </w:pPr>
            <w:r>
              <w:rPr>
                <w:rFonts w:hint="eastAsia" w:ascii="仿宋" w:hAnsi="仿宋" w:eastAsia="仿宋" w:cs="仿宋"/>
                <w:color w:val="auto"/>
                <w:kern w:val="0"/>
                <w:sz w:val="24"/>
                <w:szCs w:val="24"/>
                <w:highlight w:val="none"/>
                <w:u w:val="none"/>
                <w:lang w:val="en-US" w:eastAsia="zh-CN" w:bidi="ar-SA"/>
              </w:rPr>
              <w:t>2.</w:t>
            </w:r>
            <w:r>
              <w:rPr>
                <w:rFonts w:hint="eastAsia" w:ascii="仿宋" w:hAnsi="仿宋" w:eastAsia="仿宋" w:cs="仿宋"/>
                <w:color w:val="auto"/>
                <w:kern w:val="0"/>
                <w:sz w:val="24"/>
                <w:szCs w:val="24"/>
                <w:highlight w:val="none"/>
                <w:u w:val="none"/>
                <w:lang w:val="en-GB" w:eastAsia="zh-Hans" w:bidi="ar-SA"/>
              </w:rPr>
              <w:t>方案基本合理、清晰可行的，得</w:t>
            </w:r>
            <w:r>
              <w:rPr>
                <w:rFonts w:hint="eastAsia" w:ascii="仿宋" w:hAnsi="仿宋" w:eastAsia="仿宋" w:cs="仿宋"/>
                <w:color w:val="auto"/>
                <w:kern w:val="0"/>
                <w:sz w:val="24"/>
                <w:szCs w:val="24"/>
                <w:highlight w:val="none"/>
                <w:u w:val="none"/>
                <w:lang w:val="en-US" w:eastAsia="zh-CN" w:bidi="ar-SA"/>
              </w:rPr>
              <w:t>4</w:t>
            </w:r>
            <w:r>
              <w:rPr>
                <w:rFonts w:hint="eastAsia" w:ascii="仿宋" w:hAnsi="仿宋" w:eastAsia="仿宋" w:cs="仿宋"/>
                <w:color w:val="auto"/>
                <w:kern w:val="0"/>
                <w:sz w:val="24"/>
                <w:szCs w:val="24"/>
                <w:highlight w:val="none"/>
                <w:u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Hans" w:bidi="ar-SA"/>
              </w:rPr>
            </w:pPr>
            <w:r>
              <w:rPr>
                <w:rFonts w:hint="eastAsia" w:ascii="仿宋" w:hAnsi="仿宋" w:eastAsia="仿宋" w:cs="仿宋"/>
                <w:color w:val="auto"/>
                <w:kern w:val="0"/>
                <w:sz w:val="24"/>
                <w:szCs w:val="24"/>
                <w:highlight w:val="none"/>
                <w:u w:val="none"/>
                <w:lang w:val="en-US" w:eastAsia="zh-CN" w:bidi="ar-SA"/>
              </w:rPr>
              <w:t>3.</w:t>
            </w:r>
            <w:r>
              <w:rPr>
                <w:rFonts w:hint="eastAsia" w:ascii="仿宋" w:hAnsi="仿宋" w:eastAsia="仿宋" w:cs="仿宋"/>
                <w:color w:val="auto"/>
                <w:kern w:val="0"/>
                <w:sz w:val="24"/>
                <w:szCs w:val="24"/>
                <w:highlight w:val="none"/>
                <w:u w:val="none"/>
                <w:lang w:val="en-GB" w:eastAsia="zh-Hans" w:bidi="ar-SA"/>
              </w:rPr>
              <w:t>方案较简略、针对性不强的，得2分；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Hans" w:bidi="ar-SA"/>
              </w:rPr>
            </w:pPr>
            <w:r>
              <w:rPr>
                <w:rFonts w:hint="eastAsia" w:ascii="仿宋" w:hAnsi="仿宋" w:eastAsia="仿宋" w:cs="仿宋"/>
                <w:color w:val="auto"/>
                <w:kern w:val="0"/>
                <w:sz w:val="24"/>
                <w:szCs w:val="24"/>
                <w:highlight w:val="none"/>
                <w:u w:val="none"/>
                <w:lang w:val="en-US" w:eastAsia="zh-CN" w:bidi="ar-SA"/>
              </w:rPr>
              <w:t>4.</w:t>
            </w:r>
            <w:r>
              <w:rPr>
                <w:rFonts w:hint="eastAsia" w:ascii="仿宋" w:hAnsi="仿宋" w:eastAsia="仿宋" w:cs="仿宋"/>
                <w:color w:val="auto"/>
                <w:kern w:val="0"/>
                <w:sz w:val="24"/>
                <w:szCs w:val="24"/>
                <w:highlight w:val="none"/>
                <w:u w:val="none"/>
                <w:lang w:val="en-GB" w:eastAsia="zh-Hans" w:bidi="ar-SA"/>
              </w:rPr>
              <w:t>未提供</w:t>
            </w:r>
            <w:r>
              <w:rPr>
                <w:rFonts w:hint="eastAsia" w:ascii="仿宋" w:hAnsi="仿宋" w:eastAsia="仿宋" w:cs="仿宋"/>
                <w:color w:val="auto"/>
                <w:kern w:val="0"/>
                <w:sz w:val="24"/>
                <w:szCs w:val="24"/>
                <w:highlight w:val="none"/>
                <w:u w:val="none"/>
                <w:lang w:val="en-GB" w:eastAsia="zh-CN" w:bidi="ar-SA"/>
              </w:rPr>
              <w:t>不得</w:t>
            </w:r>
            <w:r>
              <w:rPr>
                <w:rFonts w:hint="eastAsia" w:ascii="仿宋" w:hAnsi="仿宋" w:eastAsia="仿宋" w:cs="仿宋"/>
                <w:color w:val="auto"/>
                <w:kern w:val="0"/>
                <w:sz w:val="24"/>
                <w:szCs w:val="24"/>
                <w:highlight w:val="none"/>
                <w:u w:val="none"/>
                <w:lang w:val="en-GB" w:eastAsia="zh-Hans" w:bidi="ar-SA"/>
              </w:rPr>
              <w:t>分。</w:t>
            </w:r>
          </w:p>
        </w:tc>
      </w:tr>
      <w:tr>
        <w:tblPrEx>
          <w:tblCellMar>
            <w:top w:w="0" w:type="dxa"/>
            <w:left w:w="108" w:type="dxa"/>
            <w:bottom w:w="0" w:type="dxa"/>
            <w:right w:w="108" w:type="dxa"/>
          </w:tblCellMar>
        </w:tblPrEx>
        <w:trPr>
          <w:trHeight w:val="175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培训方案</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5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响应供应商能够针对本次项目提供出完善的培训体系及培训方案，能够为采购人提供专业的培训。</w:t>
            </w:r>
          </w:p>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1.培训方案详细，可操作性强，得6分；</w:t>
            </w:r>
          </w:p>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2.培训方案较详细，有一定的操作性，得4分；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3.培训方案较粗略，可操作性不强，得2分；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同类业绩</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w:t>
            </w:r>
            <w:r>
              <w:rPr>
                <w:rFonts w:hint="eastAsia" w:ascii="仿宋" w:hAnsi="仿宋" w:eastAsia="仿宋" w:cs="仿宋"/>
                <w:color w:val="auto"/>
                <w:kern w:val="0"/>
                <w:sz w:val="24"/>
                <w:szCs w:val="24"/>
                <w:highlight w:val="none"/>
                <w:lang w:eastAsia="zh-CN"/>
              </w:rPr>
              <w:t>2022</w:t>
            </w:r>
            <w:r>
              <w:rPr>
                <w:rFonts w:hint="eastAsia" w:ascii="仿宋" w:hAnsi="仿宋" w:eastAsia="仿宋" w:cs="仿宋"/>
                <w:color w:val="auto"/>
                <w:kern w:val="0"/>
                <w:sz w:val="24"/>
                <w:szCs w:val="24"/>
                <w:highlight w:val="none"/>
              </w:rPr>
              <w:t>年1月1日至今，各</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kern w:val="0"/>
                <w:sz w:val="24"/>
                <w:szCs w:val="24"/>
                <w:highlight w:val="none"/>
              </w:rPr>
              <w:t>每提供一份同类业绩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2 分，最多得</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 xml:space="preserve">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注：</w:t>
            </w:r>
            <w:r>
              <w:rPr>
                <w:rFonts w:hint="eastAsia" w:ascii="仿宋" w:hAnsi="仿宋" w:eastAsia="仿宋" w:cs="仿宋"/>
                <w:color w:val="auto"/>
                <w:kern w:val="0"/>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kern w:val="0"/>
                <w:sz w:val="24"/>
                <w:szCs w:val="24"/>
                <w:highlight w:val="none"/>
                <w:lang w:eastAsia="zh-CN"/>
              </w:rPr>
              <w:t>合同标的</w:t>
            </w:r>
            <w:r>
              <w:rPr>
                <w:rFonts w:hint="eastAsia" w:ascii="仿宋" w:hAnsi="仿宋" w:eastAsia="仿宋" w:cs="仿宋"/>
                <w:color w:val="auto"/>
                <w:kern w:val="0"/>
                <w:sz w:val="24"/>
                <w:szCs w:val="24"/>
                <w:highlight w:val="none"/>
              </w:rPr>
              <w:t>相关信息；②签订合同双方的单位名称、合同项目名称；③签订合同双方的签章、盖章及签订日期）</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无提供不得分。</w:t>
            </w:r>
          </w:p>
        </w:tc>
      </w:tr>
      <w:tr>
        <w:tblPrEx>
          <w:tblCellMar>
            <w:top w:w="0" w:type="dxa"/>
            <w:left w:w="108" w:type="dxa"/>
            <w:bottom w:w="0" w:type="dxa"/>
            <w:right w:w="108" w:type="dxa"/>
          </w:tblCellMar>
        </w:tblPrEx>
        <w:trPr>
          <w:trHeight w:val="6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4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center"/>
        <w:rPr>
          <w:rFonts w:hint="eastAsia" w:ascii="仿宋" w:hAnsi="仿宋" w:eastAsia="仿宋" w:cs="仿宋"/>
          <w:color w:val="auto"/>
          <w:kern w:val="0"/>
          <w:sz w:val="24"/>
          <w:szCs w:val="24"/>
          <w:highlight w:val="none"/>
        </w:rPr>
      </w:pPr>
    </w:p>
    <w:p>
      <w:pPr>
        <w:widowControl/>
        <w:jc w:val="left"/>
        <w:rPr>
          <w:rFonts w:hint="eastAsia" w:ascii="仿宋" w:hAnsi="仿宋" w:eastAsia="仿宋" w:cs="仿宋"/>
          <w:color w:val="auto"/>
          <w:kern w:val="0"/>
          <w:sz w:val="24"/>
          <w:highlight w:val="none"/>
        </w:rPr>
      </w:pPr>
    </w:p>
    <w:p>
      <w:pPr>
        <w:pStyle w:val="11"/>
        <w:adjustRightInd w:val="0"/>
        <w:snapToGrid w:val="0"/>
        <w:spacing w:line="360" w:lineRule="auto"/>
        <w:ind w:right="32" w:firstLine="463"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7.确定成交候选供应商</w:t>
      </w:r>
    </w:p>
    <w:p>
      <w:pPr>
        <w:autoSpaceDE w:val="0"/>
        <w:autoSpaceDN w:val="0"/>
        <w:adjustRightInd w:val="0"/>
        <w:snapToGrid w:val="0"/>
        <w:spacing w:line="360" w:lineRule="auto"/>
        <w:ind w:right="32" w:firstLine="463" w:firstLineChars="191"/>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且响应报价相同的，由评审小组采取随机抽取的方式确定。</w:t>
      </w:r>
    </w:p>
    <w:p>
      <w:pPr>
        <w:pStyle w:val="11"/>
        <w:adjustRightInd w:val="0"/>
        <w:snapToGrid w:val="0"/>
        <w:spacing w:line="360" w:lineRule="auto"/>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、公 示</w:t>
      </w:r>
    </w:p>
    <w:p>
      <w:pPr>
        <w:autoSpaceDE w:val="0"/>
        <w:autoSpaceDN w:val="0"/>
        <w:adjustRightInd w:val="0"/>
        <w:snapToGrid w:val="0"/>
        <w:spacing w:line="360" w:lineRule="auto"/>
        <w:ind w:right="32"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评审完成确定成交候选供应商后，采购人发布成交公告，并向成交供应商发出《成交通知书》。</w:t>
      </w:r>
    </w:p>
    <w:p>
      <w:pPr>
        <w:autoSpaceDE w:val="0"/>
        <w:autoSpaceDN w:val="0"/>
        <w:adjustRightInd w:val="0"/>
        <w:snapToGrid w:val="0"/>
        <w:spacing w:line="360" w:lineRule="auto"/>
        <w:ind w:right="32" w:firstLine="486"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6"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（二）对采购过程、成交结果的质疑和处理</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w:t>
      </w:r>
      <w:r>
        <w:rPr>
          <w:rFonts w:hint="eastAsia" w:ascii="仿宋" w:hAnsi="仿宋" w:eastAsia="仿宋" w:cs="仿宋"/>
          <w:strike w:val="0"/>
          <w:dstrike w:val="0"/>
          <w:color w:val="auto"/>
          <w:sz w:val="24"/>
          <w:highlight w:val="none"/>
          <w:lang w:val="en-US" w:eastAsia="zh-CN"/>
        </w:rPr>
        <w:t>响应</w:t>
      </w:r>
      <w:r>
        <w:rPr>
          <w:rFonts w:hint="eastAsia" w:ascii="仿宋" w:hAnsi="仿宋" w:eastAsia="仿宋" w:cs="仿宋"/>
          <w:strike w:val="0"/>
          <w:dstrike w:val="0"/>
          <w:color w:val="auto"/>
          <w:sz w:val="24"/>
          <w:highlight w:val="none"/>
        </w:rPr>
        <w:t>文件、评</w:t>
      </w:r>
      <w:r>
        <w:rPr>
          <w:rFonts w:hint="eastAsia" w:ascii="仿宋" w:hAnsi="仿宋" w:eastAsia="仿宋" w:cs="仿宋"/>
          <w:strike w:val="0"/>
          <w:dstrike w:val="0"/>
          <w:color w:val="auto"/>
          <w:sz w:val="24"/>
          <w:highlight w:val="none"/>
          <w:lang w:eastAsia="zh-CN"/>
        </w:rPr>
        <w:t>审</w:t>
      </w:r>
      <w:r>
        <w:rPr>
          <w:rFonts w:hint="eastAsia" w:ascii="仿宋" w:hAnsi="仿宋" w:eastAsia="仿宋" w:cs="仿宋"/>
          <w:strike w:val="0"/>
          <w:dstrike w:val="0"/>
          <w:color w:val="auto"/>
          <w:sz w:val="24"/>
          <w:highlight w:val="none"/>
        </w:rPr>
        <w:t>过程的结果</w:t>
      </w:r>
      <w:r>
        <w:rPr>
          <w:rFonts w:hint="eastAsia" w:ascii="仿宋" w:hAnsi="仿宋" w:eastAsia="仿宋" w:cs="仿宋"/>
          <w:color w:val="auto"/>
          <w:sz w:val="24"/>
          <w:highlight w:val="none"/>
        </w:rPr>
        <w:t>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6"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（三）供应商提出质疑应当提交质疑函和必要的证明材料(包括证明材料清单、证明文件及获取途径说明)。质疑函应当包括下列内容：</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pPr>
        <w:pStyle w:val="11"/>
        <w:adjustRightInd w:val="0"/>
        <w:snapToGrid w:val="0"/>
        <w:spacing w:line="360" w:lineRule="auto"/>
        <w:ind w:firstLine="486"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pPr>
        <w:pStyle w:val="11"/>
        <w:adjustRightInd w:val="0"/>
        <w:snapToGrid w:val="0"/>
        <w:spacing w:line="360" w:lineRule="auto"/>
        <w:ind w:firstLine="486"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6"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也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6"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6"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jc w:val="right"/>
        <w:rPr>
          <w:rFonts w:hint="eastAsia" w:ascii="仿宋" w:hAnsi="仿宋" w:eastAsia="仿宋" w:cs="仿宋"/>
          <w:color w:val="auto"/>
          <w:sz w:val="52"/>
          <w:highlight w:val="none"/>
        </w:rPr>
      </w:pPr>
      <w:r>
        <w:rPr>
          <w:rFonts w:hint="eastAsia" w:ascii="仿宋" w:hAnsi="仿宋" w:eastAsia="仿宋" w:cs="仿宋"/>
          <w:b/>
          <w:bCs/>
          <w:color w:val="auto"/>
          <w:sz w:val="24"/>
          <w:highlight w:val="none"/>
        </w:rPr>
        <w:t>合同编号：</w:t>
      </w:r>
    </w:p>
    <w:p>
      <w:pPr>
        <w:snapToGrid w:val="0"/>
        <w:spacing w:line="500" w:lineRule="exact"/>
        <w:jc w:val="center"/>
        <w:rPr>
          <w:rFonts w:hint="eastAsia" w:ascii="仿宋" w:hAnsi="仿宋" w:eastAsia="仿宋" w:cs="仿宋"/>
          <w:b/>
          <w:bCs/>
          <w:color w:val="auto"/>
          <w:sz w:val="48"/>
          <w:szCs w:val="48"/>
          <w:highlight w:val="none"/>
        </w:rPr>
      </w:pPr>
    </w:p>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tbl>
      <w:tblPr>
        <w:tblStyle w:val="19"/>
        <w:tblpPr w:leftFromText="180" w:rightFromText="180" w:vertAnchor="text" w:horzAnchor="page" w:tblpX="2875" w:tblpY="1610"/>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采购编号：</w:t>
            </w:r>
          </w:p>
          <w:p>
            <w:pPr>
              <w:pStyle w:val="11"/>
              <w:keepNext w:val="0"/>
              <w:keepLines w:val="0"/>
              <w:suppressLineNumbers w:val="0"/>
              <w:spacing w:before="0" w:beforeAutospacing="0" w:after="0" w:afterAutospacing="0" w:line="800" w:lineRule="exact"/>
              <w:ind w:left="0" w:right="0"/>
              <w:jc w:val="left"/>
              <w:rPr>
                <w:rFonts w:hint="default" w:hAnsi="宋体"/>
                <w:b/>
                <w:color w:val="auto"/>
                <w:sz w:val="30"/>
                <w:szCs w:val="30"/>
                <w:highlight w:val="none"/>
              </w:rPr>
            </w:pPr>
            <w:r>
              <w:rPr>
                <w:rFonts w:hint="eastAsia" w:hAnsi="宋体"/>
                <w:b/>
                <w:color w:val="auto"/>
                <w:sz w:val="30"/>
                <w:szCs w:val="30"/>
                <w:highlight w:val="none"/>
              </w:rPr>
              <w:t>项目名称：</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乙方：</w:t>
            </w:r>
          </w:p>
          <w:p>
            <w:pPr>
              <w:pStyle w:val="11"/>
              <w:keepNext w:val="0"/>
              <w:keepLines w:val="0"/>
              <w:suppressLineNumbers w:val="0"/>
              <w:spacing w:before="0" w:beforeAutospacing="0" w:after="0" w:afterAutospacing="0" w:line="800" w:lineRule="exact"/>
              <w:ind w:left="0" w:right="0"/>
              <w:jc w:val="left"/>
              <w:rPr>
                <w:rFonts w:hint="default" w:hAnsi="宋体" w:cs="Times New Roman"/>
                <w:b/>
                <w:bCs/>
                <w:color w:val="auto"/>
                <w:sz w:val="30"/>
                <w:szCs w:val="30"/>
                <w:highlight w:val="none"/>
              </w:rPr>
            </w:pPr>
            <w:r>
              <w:rPr>
                <w:rFonts w:hint="eastAsia" w:hAnsi="宋体" w:cs="Times New Roman"/>
                <w:b/>
                <w:bCs/>
                <w:color w:val="auto"/>
                <w:sz w:val="30"/>
                <w:szCs w:val="30"/>
                <w:highlight w:val="none"/>
              </w:rPr>
              <w:t>签订地点：惠州市第一妇幼保健院</w:t>
            </w:r>
          </w:p>
          <w:p>
            <w:pPr>
              <w:keepNext w:val="0"/>
              <w:keepLines w:val="0"/>
              <w:suppressLineNumbers w:val="0"/>
              <w:tabs>
                <w:tab w:val="left" w:pos="720"/>
              </w:tabs>
              <w:spacing w:before="0" w:beforeAutospacing="0" w:after="0" w:afterAutospacing="0" w:line="360" w:lineRule="auto"/>
              <w:ind w:left="0" w:right="0"/>
              <w:rPr>
                <w:rFonts w:hint="default" w:ascii="宋体"/>
                <w:b/>
                <w:color w:val="auto"/>
                <w:sz w:val="30"/>
                <w:szCs w:val="30"/>
                <w:highlight w:val="none"/>
              </w:rPr>
            </w:pPr>
          </w:p>
        </w:tc>
      </w:tr>
    </w:tbl>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6"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pPr>
        <w:pStyle w:val="24"/>
        <w:numPr>
          <w:ilvl w:val="0"/>
          <w:numId w:val="5"/>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4"/>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本合同甲方委托乙方承当</w:t>
      </w:r>
      <w:r>
        <w:rPr>
          <w:rFonts w:hint="eastAsia" w:ascii="宋体" w:hAnsi="宋体"/>
          <w:color w:val="auto"/>
          <w:sz w:val="24"/>
          <w:highlight w:val="none"/>
          <w:u w:val="single"/>
        </w:rPr>
        <w:t xml:space="preserve">                                </w:t>
      </w:r>
      <w:r>
        <w:rPr>
          <w:rFonts w:hint="eastAsia" w:ascii="宋体" w:hAnsi="宋体"/>
          <w:color w:val="auto"/>
          <w:sz w:val="24"/>
          <w:highlight w:val="none"/>
        </w:rPr>
        <w:t>项目，并支付研究开发经费和报酬，乙方接受委托并进行此项研究开发工作。</w:t>
      </w:r>
    </w:p>
    <w:tbl>
      <w:tblPr>
        <w:tblStyle w:val="19"/>
        <w:tblW w:w="4996" w:type="pct"/>
        <w:tblInd w:w="0" w:type="dxa"/>
        <w:tblLayout w:type="autofit"/>
        <w:tblCellMar>
          <w:top w:w="0" w:type="dxa"/>
          <w:left w:w="108" w:type="dxa"/>
          <w:bottom w:w="0" w:type="dxa"/>
          <w:right w:w="108" w:type="dxa"/>
        </w:tblCellMar>
      </w:tblPr>
      <w:tblGrid>
        <w:gridCol w:w="857"/>
        <w:gridCol w:w="1370"/>
        <w:gridCol w:w="2217"/>
        <w:gridCol w:w="832"/>
        <w:gridCol w:w="1321"/>
        <w:gridCol w:w="1924"/>
      </w:tblGrid>
      <w:tr>
        <w:tblPrEx>
          <w:tblCellMar>
            <w:top w:w="0" w:type="dxa"/>
            <w:left w:w="108" w:type="dxa"/>
            <w:bottom w:w="0" w:type="dxa"/>
            <w:right w:w="108" w:type="dxa"/>
          </w:tblCellMar>
        </w:tblPrEx>
        <w:trPr>
          <w:trHeight w:val="480" w:hRule="atLeast"/>
        </w:trPr>
        <w:tc>
          <w:tcPr>
            <w:tcW w:w="5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序号</w:t>
            </w:r>
          </w:p>
        </w:tc>
        <w:tc>
          <w:tcPr>
            <w:tcW w:w="804"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产品编码</w:t>
            </w:r>
          </w:p>
        </w:tc>
        <w:tc>
          <w:tcPr>
            <w:tcW w:w="1301"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项目名称</w:t>
            </w:r>
          </w:p>
        </w:tc>
        <w:tc>
          <w:tcPr>
            <w:tcW w:w="488"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数量</w:t>
            </w:r>
          </w:p>
        </w:tc>
        <w:tc>
          <w:tcPr>
            <w:tcW w:w="775"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单价（元）</w:t>
            </w:r>
          </w:p>
        </w:tc>
        <w:tc>
          <w:tcPr>
            <w:tcW w:w="1127" w:type="pct"/>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总金额（元）</w:t>
            </w:r>
          </w:p>
        </w:tc>
      </w:tr>
      <w:tr>
        <w:tblPrEx>
          <w:tblCellMar>
            <w:top w:w="0" w:type="dxa"/>
            <w:left w:w="108" w:type="dxa"/>
            <w:bottom w:w="0" w:type="dxa"/>
            <w:right w:w="108" w:type="dxa"/>
          </w:tblCellMar>
        </w:tblPrEx>
        <w:trPr>
          <w:trHeight w:val="630" w:hRule="atLeast"/>
        </w:trPr>
        <w:tc>
          <w:tcPr>
            <w:tcW w:w="503" w:type="pc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1</w:t>
            </w:r>
          </w:p>
        </w:tc>
        <w:tc>
          <w:tcPr>
            <w:tcW w:w="804" w:type="pct"/>
            <w:tcBorders>
              <w:top w:val="nil"/>
              <w:left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1301"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488"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 xml:space="preserve"> </w:t>
            </w:r>
          </w:p>
        </w:tc>
        <w:tc>
          <w:tcPr>
            <w:tcW w:w="775"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p>
        </w:tc>
        <w:tc>
          <w:tcPr>
            <w:tcW w:w="1127" w:type="pct"/>
            <w:tcBorders>
              <w:top w:val="nil"/>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olor w:val="auto"/>
                <w:sz w:val="24"/>
                <w:highlight w:val="none"/>
              </w:rPr>
            </w:pPr>
          </w:p>
        </w:tc>
      </w:tr>
      <w:tr>
        <w:tblPrEx>
          <w:tblCellMar>
            <w:top w:w="0" w:type="dxa"/>
            <w:left w:w="108" w:type="dxa"/>
            <w:bottom w:w="0" w:type="dxa"/>
            <w:right w:w="108" w:type="dxa"/>
          </w:tblCellMar>
        </w:tblPrEx>
        <w:trPr>
          <w:trHeight w:val="720"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olor w:val="auto"/>
                <w:sz w:val="24"/>
                <w:highlight w:val="none"/>
              </w:rPr>
            </w:pP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r>
              <w:rPr>
                <w:rFonts w:hint="eastAsia" w:ascii="宋体" w:hAnsi="宋体"/>
                <w:color w:val="auto"/>
                <w:sz w:val="24"/>
                <w:highlight w:val="none"/>
              </w:rPr>
              <w:t>发票名称：</w:t>
            </w: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p>
          <w:p>
            <w:pPr>
              <w:keepNext w:val="0"/>
              <w:keepLines w:val="0"/>
              <w:suppressLineNumbers w:val="0"/>
              <w:spacing w:before="0" w:beforeAutospacing="0" w:after="0" w:afterAutospacing="0"/>
              <w:ind w:left="0" w:right="0"/>
              <w:jc w:val="left"/>
              <w:rPr>
                <w:rFonts w:hint="default" w:ascii="宋体" w:hAnsi="宋体"/>
                <w:color w:val="auto"/>
                <w:sz w:val="24"/>
                <w:highlight w:val="none"/>
              </w:rPr>
            </w:pPr>
            <w:r>
              <w:rPr>
                <w:rFonts w:hint="eastAsia" w:ascii="宋体" w:hAnsi="宋体"/>
                <w:color w:val="auto"/>
                <w:sz w:val="24"/>
                <w:highlight w:val="none"/>
              </w:rPr>
              <w:t xml:space="preserve">合计：（大写）人民币        元整；¥         元                       </w:t>
            </w:r>
          </w:p>
        </w:tc>
      </w:tr>
    </w:tbl>
    <w:p>
      <w:pPr>
        <w:spacing w:line="360" w:lineRule="auto"/>
        <w:rPr>
          <w:rFonts w:ascii="宋体" w:hAnsi="宋体"/>
          <w:b/>
          <w:color w:val="auto"/>
          <w:sz w:val="24"/>
          <w:highlight w:val="none"/>
        </w:rPr>
      </w:pPr>
    </w:p>
    <w:p>
      <w:pPr>
        <w:spacing w:line="360" w:lineRule="auto"/>
        <w:ind w:firstLine="486"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6"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6" w:firstLineChars="200"/>
        <w:rPr>
          <w:rFonts w:hAnsi="宋体"/>
          <w:color w:val="auto"/>
          <w:sz w:val="24"/>
          <w:highlight w:val="none"/>
        </w:rPr>
      </w:pPr>
      <w:r>
        <w:rPr>
          <w:rFonts w:hint="eastAsia" w:ascii="宋体" w:hAnsi="宋体"/>
          <w:color w:val="auto"/>
          <w:sz w:val="24"/>
          <w:highlight w:val="none"/>
        </w:rPr>
        <w:t>合同总额包括乙方设计、安装、随机零配件、标配工具、运输保险、调试、培训、质保期服务、各项税费及合同实施过程中不可预见费用等。</w:t>
      </w:r>
    </w:p>
    <w:p>
      <w:pPr>
        <w:spacing w:line="360" w:lineRule="auto"/>
        <w:ind w:firstLine="486"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本合同项下所安装软件版本乙方提供自验收报告次日起为期</w:t>
      </w:r>
      <w:r>
        <w:rPr>
          <w:rFonts w:hint="eastAsia" w:ascii="宋体" w:hAnsi="宋体"/>
          <w:color w:val="auto"/>
          <w:sz w:val="24"/>
          <w:highlight w:val="none"/>
          <w:u w:val="single"/>
        </w:rPr>
        <w:t>壹年</w:t>
      </w:r>
      <w:r>
        <w:rPr>
          <w:rFonts w:hint="eastAsia" w:ascii="宋体" w:hAnsi="宋体"/>
          <w:color w:val="auto"/>
          <w:sz w:val="24"/>
          <w:highlight w:val="none"/>
        </w:rPr>
        <w:t>的纠错性维护。维护期内，乙方提供给甲方软件应用的支持和培训服务，包括</w:t>
      </w:r>
      <w:r>
        <w:rPr>
          <w:rFonts w:hint="eastAsia" w:ascii="宋体" w:hAnsi="宋体"/>
          <w:color w:val="auto"/>
          <w:sz w:val="24"/>
          <w:highlight w:val="none"/>
          <w:u w:val="single"/>
        </w:rPr>
        <w:t>软件400远程电话支持、用户培训、故障维护</w:t>
      </w:r>
      <w:r>
        <w:rPr>
          <w:rFonts w:hint="eastAsia" w:ascii="宋体" w:hAnsi="宋体"/>
          <w:color w:val="auto"/>
          <w:sz w:val="24"/>
          <w:highlight w:val="none"/>
        </w:rPr>
        <w:t>等，具体说明如下：</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1.乙方保障软件的正常运行，对软件中存在的缺陷进行升级和优化，确保软件的正常使用；</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2.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3.乙方负责软件操作的使用培训，培训对象为甲方的医生、护士、技术工程师、业务科室的关键用户。乙方同时向甲方提供使用说明文档。</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4.乙方提供7×24小时电话支持服务，解答甲方在产品使用、维护过程中遇到的问题，及时提出解决问题的建议和操作方法。</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5.若产品出现相关故障，在甲方报修后30分钟内，乙方予以远程支持或提供解决方案。若措施无效，乙方应立即启动更高级别的响应措施，包括但不限于派出客户服务工程师上门现场服务。</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6.软件运行过程中新发现的软件错误，乙方负责维护并及时改进，同时向甲方提供软件维护说明。</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7.系统在运行过程中，乙方不定期地向甲方提供科室软件建设建议方案。</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8.经甲方许可，乙方每季度进行一次定期现场巡检，对甲方应用软件的软硬件环境进行检查，发现系统稳定运行的隐患因素并及时排除。乙方向甲方出具系统巡检报告，内容包含巡检范围、结果及巡检建议。</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9.由甲方操作引起的系统问题，相同问题出现三次以上的，乙方将其排除在维护项目以外。</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10.本合同软件产品在维护期结束后，如需乙方继续向甲方提供软件维护服务，甲方需每年向乙方另行支付维护费用，金额为本合同软件部分的总金额的10%以内，乙方提供该年度本合同中软件产品的维护、技术支持等服务。</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11.如果甲方未来有新的功能需求则另行协商。</w:t>
      </w:r>
    </w:p>
    <w:p>
      <w:pPr>
        <w:spacing w:line="460" w:lineRule="exact"/>
        <w:ind w:firstLine="486" w:firstLineChars="200"/>
        <w:rPr>
          <w:rFonts w:ascii="宋体" w:hAnsi="宋体"/>
          <w:b/>
          <w:color w:val="auto"/>
          <w:sz w:val="24"/>
          <w:highlight w:val="none"/>
        </w:rPr>
      </w:pPr>
      <w:r>
        <w:rPr>
          <w:rFonts w:hint="eastAsia" w:ascii="宋体" w:hAnsi="宋体"/>
          <w:b/>
          <w:color w:val="auto"/>
          <w:sz w:val="24"/>
          <w:highlight w:val="none"/>
        </w:rPr>
        <w:t>四、交货期、交货方式和交货地点</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1.合同生效汇款后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2.甲方通知乙方实施之前，必须确认实施地点已经具备本合同下产品的安装所需达到的相关条件，如未经确认或场地未达到安装所需条件，导致乙方安装人员到达现场后又无法安装而产生的差旅、住宿等所有费用均由甲方承担。</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3.产品安转站点数量及地点：</w:t>
      </w:r>
    </w:p>
    <w:p>
      <w:pPr>
        <w:spacing w:line="360" w:lineRule="auto"/>
        <w:ind w:firstLine="486" w:firstLineChars="200"/>
        <w:rPr>
          <w:rFonts w:ascii="宋体" w:hAnsi="宋体"/>
          <w:color w:val="auto"/>
          <w:sz w:val="24"/>
          <w:highlight w:val="none"/>
        </w:rPr>
      </w:pPr>
      <w:r>
        <w:rPr>
          <w:rFonts w:hint="eastAsia" w:ascii="宋体" w:hAnsi="宋体"/>
          <w:b/>
          <w:color w:val="auto"/>
          <w:sz w:val="24"/>
          <w:highlight w:val="none"/>
        </w:rPr>
        <w:t>五、付款方式</w:t>
      </w:r>
    </w:p>
    <w:p>
      <w:pPr>
        <w:spacing w:line="360" w:lineRule="auto"/>
        <w:ind w:firstLine="486"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1.（支付工作安排以用户需求书为准。）</w:t>
      </w:r>
    </w:p>
    <w:p>
      <w:pPr>
        <w:spacing w:line="360" w:lineRule="auto"/>
        <w:ind w:firstLine="486" w:firstLineChars="200"/>
        <w:rPr>
          <w:rFonts w:ascii="宋体" w:hAnsi="宋体"/>
          <w:color w:val="auto"/>
          <w:sz w:val="24"/>
          <w:highlight w:val="none"/>
        </w:rPr>
      </w:pPr>
      <w:r>
        <w:rPr>
          <w:rFonts w:hint="eastAsia" w:ascii="宋体" w:hAnsi="宋体"/>
          <w:color w:val="auto"/>
          <w:sz w:val="24"/>
          <w:highlight w:val="none"/>
        </w:rPr>
        <w:t>2.支付方式采用银行转账支付。</w:t>
      </w:r>
    </w:p>
    <w:p>
      <w:pPr>
        <w:pStyle w:val="9"/>
        <w:ind w:firstLine="486" w:firstLineChars="200"/>
        <w:rPr>
          <w:rFonts w:ascii="宋体" w:hAnsi="宋体"/>
          <w:color w:val="auto"/>
          <w:sz w:val="24"/>
          <w:highlight w:val="none"/>
        </w:rPr>
      </w:pPr>
      <w:r>
        <w:rPr>
          <w:rFonts w:hint="eastAsia" w:ascii="宋体" w:hAnsi="宋体"/>
          <w:color w:val="auto"/>
          <w:sz w:val="24"/>
          <w:highlight w:val="none"/>
        </w:rPr>
        <w:t>乙方账户信息如下：</w:t>
      </w:r>
    </w:p>
    <w:p>
      <w:pPr>
        <w:pStyle w:val="9"/>
        <w:ind w:firstLine="486"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9"/>
        <w:ind w:firstLine="486" w:firstLineChars="200"/>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9"/>
        <w:ind w:firstLine="486" w:firstLineChars="200"/>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9"/>
        <w:ind w:firstLine="486" w:firstLineChars="200"/>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4.甲方不承担因财政资金不能及时到位给乙方造成的任何损失。</w:t>
      </w:r>
    </w:p>
    <w:p>
      <w:pPr>
        <w:spacing w:line="460" w:lineRule="exact"/>
        <w:ind w:firstLine="486" w:firstLineChars="200"/>
        <w:rPr>
          <w:rFonts w:ascii="宋体" w:hAnsi="宋体"/>
          <w:b/>
          <w:bCs/>
          <w:color w:val="auto"/>
          <w:sz w:val="24"/>
          <w:highlight w:val="none"/>
        </w:rPr>
      </w:pPr>
      <w:r>
        <w:rPr>
          <w:rFonts w:hint="eastAsia" w:ascii="宋体" w:hAnsi="宋体"/>
          <w:b/>
          <w:bCs/>
          <w:color w:val="auto"/>
          <w:sz w:val="24"/>
          <w:highlight w:val="none"/>
        </w:rPr>
        <w:t>六、质保期及售后服务要求</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1.质保期自验收合格次日起保修期为12个月。</w:t>
      </w:r>
    </w:p>
    <w:p>
      <w:pPr>
        <w:spacing w:line="460" w:lineRule="exact"/>
        <w:ind w:firstLine="486" w:firstLineChars="200"/>
        <w:rPr>
          <w:rFonts w:ascii="宋体" w:hAnsi="宋体"/>
          <w:b/>
          <w:bCs/>
          <w:color w:val="auto"/>
          <w:sz w:val="24"/>
          <w:highlight w:val="none"/>
        </w:rPr>
      </w:pPr>
      <w:r>
        <w:rPr>
          <w:rFonts w:hint="eastAsia" w:ascii="宋体" w:hAnsi="宋体"/>
          <w:color w:val="auto"/>
          <w:sz w:val="24"/>
          <w:highlight w:val="none"/>
        </w:rPr>
        <w:t>2.售后服务要求</w:t>
      </w:r>
    </w:p>
    <w:p>
      <w:pPr>
        <w:spacing w:line="460" w:lineRule="exact"/>
        <w:ind w:firstLine="486" w:firstLineChars="200"/>
        <w:rPr>
          <w:rFonts w:ascii="宋体" w:hAnsi="宋体"/>
          <w:b/>
          <w:bCs/>
          <w:color w:val="auto"/>
          <w:sz w:val="24"/>
          <w:highlight w:val="none"/>
        </w:rPr>
      </w:pPr>
      <w:r>
        <w:rPr>
          <w:rFonts w:hint="eastAsia" w:ascii="宋体" w:hAnsi="宋体"/>
          <w:b/>
          <w:bCs/>
          <w:color w:val="auto"/>
          <w:sz w:val="24"/>
          <w:highlight w:val="none"/>
        </w:rPr>
        <w:t>七、验收</w:t>
      </w:r>
    </w:p>
    <w:p>
      <w:pPr>
        <w:spacing w:line="460" w:lineRule="exact"/>
        <w:ind w:firstLine="486" w:firstLineChars="200"/>
        <w:rPr>
          <w:rFonts w:ascii="宋体" w:hAnsi="宋体"/>
          <w:color w:val="auto"/>
          <w:sz w:val="24"/>
          <w:highlight w:val="none"/>
        </w:rPr>
      </w:pPr>
      <w:bookmarkStart w:id="5" w:name="bookmark5"/>
      <w:r>
        <w:rPr>
          <w:rFonts w:hint="eastAsia" w:ascii="宋体" w:hAnsi="宋体"/>
          <w:color w:val="auto"/>
          <w:sz w:val="24"/>
          <w:highlight w:val="none"/>
        </w:rPr>
        <w:t>1、验收时间：安装后</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个工作日内完成验收。</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2、验收流程：</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①签订项目验收报告（详见附件一）</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② 甲方使用科室主任及信息科责任工程师、信息科主任签字确认</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③ 乙方工程师签字确认</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④甲方乙双方盖章确认。</w:t>
      </w:r>
    </w:p>
    <w:bookmarkEnd w:id="5"/>
    <w:p>
      <w:pPr>
        <w:tabs>
          <w:tab w:val="left" w:pos="900"/>
        </w:tabs>
        <w:spacing w:line="460" w:lineRule="exact"/>
        <w:ind w:firstLine="486"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1.乙方交付的货物、工程、提供的服务不符合采购文件、报价文件或本合同规定的，甲方有权拒收，并且乙方须向甲方支付本合同金额5%的违约金。</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3.甲方无正当理由拒收货物、接受服务，到期拒付货物、工程、提供服务款项的，甲方向乙方偿付本合同金额的5%的违约金。甲方逾期付款，则每日按本合同金额的3‰向乙方偿付违约金。</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6" w:firstLineChars="200"/>
        <w:rPr>
          <w:rFonts w:ascii="宋体"/>
          <w:b/>
          <w:color w:val="auto"/>
          <w:sz w:val="24"/>
          <w:highlight w:val="none"/>
        </w:rPr>
      </w:pPr>
      <w:r>
        <w:rPr>
          <w:rFonts w:hint="eastAsia" w:ascii="宋体" w:hAnsi="宋体"/>
          <w:b/>
          <w:color w:val="auto"/>
          <w:sz w:val="24"/>
          <w:highlight w:val="none"/>
        </w:rPr>
        <w:t>九、争议的解决</w:t>
      </w:r>
    </w:p>
    <w:p>
      <w:pPr>
        <w:tabs>
          <w:tab w:val="left" w:pos="824"/>
        </w:tabs>
        <w:spacing w:line="460" w:lineRule="exact"/>
        <w:ind w:firstLine="486" w:firstLineChars="200"/>
        <w:rPr>
          <w:rFonts w:ascii="宋体" w:hAnsi="宋体"/>
          <w:color w:val="auto"/>
          <w:sz w:val="24"/>
          <w:highlight w:val="none"/>
        </w:rPr>
      </w:pP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6" w:firstLineChars="200"/>
        <w:rPr>
          <w:color w:val="auto"/>
          <w:highlight w:val="none"/>
        </w:rPr>
      </w:pPr>
      <w:r>
        <w:rPr>
          <w:rFonts w:hint="eastAsia" w:ascii="宋体" w:hAnsi="宋体"/>
          <w:b/>
          <w:bCs/>
          <w:color w:val="auto"/>
          <w:sz w:val="24"/>
          <w:highlight w:val="none"/>
        </w:rPr>
        <w:t>十、保密条款</w:t>
      </w:r>
    </w:p>
    <w:p>
      <w:pPr>
        <w:pStyle w:val="11"/>
        <w:spacing w:line="360" w:lineRule="auto"/>
        <w:ind w:firstLine="486"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1.甲方和乙方承诺对合同相关资料保密，在未取得另一方同意之前，不得向第三方披露或为履行合同以外的目的使用这些资料。</w:t>
      </w:r>
    </w:p>
    <w:p>
      <w:pPr>
        <w:pStyle w:val="11"/>
        <w:spacing w:line="360" w:lineRule="auto"/>
        <w:ind w:firstLine="486"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2.乙方遵循相应职业道德对开发过程中涉及到甲方的有关数据机密进行严格保密。</w:t>
      </w:r>
    </w:p>
    <w:p>
      <w:pPr>
        <w:pStyle w:val="11"/>
        <w:spacing w:line="360" w:lineRule="auto"/>
        <w:ind w:firstLine="486"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3.一方在未得到另一方事先同意前，任何一方均不得发布、寄送与本合同有关之公告、新闻稿、通讯或通函〔除非法律或法规要求〕。</w:t>
      </w:r>
    </w:p>
    <w:p>
      <w:pPr>
        <w:pStyle w:val="11"/>
        <w:spacing w:line="360" w:lineRule="auto"/>
        <w:ind w:firstLine="486" w:firstLineChars="200"/>
        <w:outlineLvl w:val="0"/>
        <w:rPr>
          <w:rFonts w:hAnsi="宋体" w:cs="Times New Roman"/>
          <w:color w:val="auto"/>
          <w:sz w:val="24"/>
          <w:szCs w:val="24"/>
          <w:highlight w:val="none"/>
        </w:rPr>
      </w:pPr>
      <w:r>
        <w:rPr>
          <w:rFonts w:hint="eastAsia" w:hAnsi="宋体" w:cs="Times New Roman"/>
          <w:color w:val="auto"/>
          <w:sz w:val="24"/>
          <w:szCs w:val="24"/>
          <w:highlight w:val="none"/>
        </w:rPr>
        <w:t>4.合同终止后，该保密条款仍然有效。</w:t>
      </w:r>
    </w:p>
    <w:p>
      <w:pPr>
        <w:tabs>
          <w:tab w:val="left" w:pos="824"/>
        </w:tabs>
        <w:spacing w:line="460" w:lineRule="exact"/>
        <w:ind w:firstLine="486"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6"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6"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6"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6"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6"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6"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6" w:firstLineChars="200"/>
        <w:rPr>
          <w:rFonts w:ascii="宋体"/>
          <w:b/>
          <w:color w:val="auto"/>
          <w:sz w:val="24"/>
          <w:highlight w:val="none"/>
        </w:rPr>
      </w:pPr>
      <w:r>
        <w:rPr>
          <w:rFonts w:hint="eastAsia" w:ascii="宋体" w:hAnsi="宋体"/>
          <w:color w:val="auto"/>
          <w:sz w:val="24"/>
          <w:highlight w:val="none"/>
        </w:rPr>
        <w:t>1.本合同所有附件、采购文件、投标文件、中标通知书均为合同的有效组成部分，与本合同具有同等法律效力，乙方除按本合同约定的履行合同义务外，还应按其提供的投标文件中的承诺履行相关义务。</w:t>
      </w:r>
    </w:p>
    <w:p>
      <w:pPr>
        <w:spacing w:line="460" w:lineRule="exact"/>
        <w:ind w:firstLine="486"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6"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6"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spacing w:line="460" w:lineRule="exact"/>
        <w:ind w:firstLine="486" w:firstLineChars="200"/>
        <w:rPr>
          <w:rFonts w:ascii="宋体" w:hAnsi="宋体"/>
          <w:b/>
          <w:color w:val="auto"/>
          <w:sz w:val="24"/>
          <w:highlight w:val="none"/>
        </w:rPr>
      </w:pPr>
      <w:r>
        <w:rPr>
          <w:rFonts w:hint="eastAsia" w:ascii="宋体" w:hAnsi="宋体"/>
          <w:b/>
          <w:color w:val="auto"/>
          <w:sz w:val="24"/>
          <w:highlight w:val="none"/>
        </w:rPr>
        <w:t>十五、合同生效</w:t>
      </w:r>
    </w:p>
    <w:p>
      <w:pPr>
        <w:spacing w:line="460" w:lineRule="exact"/>
        <w:ind w:firstLine="486"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本合同在甲乙双方法人代表或其授权代表签字盖章后生效。</w:t>
      </w:r>
    </w:p>
    <w:p>
      <w:pPr>
        <w:spacing w:line="460" w:lineRule="exact"/>
        <w:ind w:firstLine="486" w:firstLineChars="200"/>
        <w:rPr>
          <w:rFonts w:ascii="宋体" w:hAnsi="宋体" w:cs="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left="5588" w:leftChars="228" w:hanging="5103"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firstLine="364" w:firstLineChars="150"/>
        <w:jc w:val="left"/>
        <w:rPr>
          <w:rFonts w:ascii="宋体"/>
          <w:color w:val="auto"/>
          <w:sz w:val="24"/>
          <w:highlight w:val="none"/>
        </w:rPr>
      </w:pPr>
      <w:r>
        <w:rPr>
          <w:rFonts w:hint="eastAsia" w:ascii="宋体"/>
          <w:color w:val="auto"/>
          <w:sz w:val="24"/>
          <w:highlight w:val="none"/>
        </w:rPr>
        <w:t>（20万及以上）法人代表或委托代表：    法人代表或委托代表：</w:t>
      </w:r>
    </w:p>
    <w:p>
      <w:pPr>
        <w:spacing w:line="460" w:lineRule="exact"/>
        <w:ind w:firstLine="486" w:firstLineChars="200"/>
        <w:rPr>
          <w:rFonts w:ascii="宋体" w:hAnsi="宋体" w:cs="宋体"/>
          <w:color w:val="auto"/>
          <w:sz w:val="24"/>
          <w:highlight w:val="none"/>
        </w:rPr>
      </w:pPr>
      <w:r>
        <w:rPr>
          <w:rFonts w:hint="eastAsia" w:ascii="宋体" w:hAnsi="宋体" w:cs="宋体"/>
          <w:color w:val="auto"/>
          <w:sz w:val="24"/>
          <w:highlight w:val="none"/>
        </w:rPr>
        <w:t>签约代表：                            签约代表：</w:t>
      </w:r>
    </w:p>
    <w:p>
      <w:pPr>
        <w:spacing w:line="460" w:lineRule="exact"/>
        <w:ind w:left="5588" w:leftChars="228" w:hanging="5103"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6" w:firstLineChars="200"/>
        <w:rPr>
          <w:rFonts w:ascii="宋体" w:hAnsi="宋体" w:cs="宋体"/>
          <w:color w:val="auto"/>
          <w:sz w:val="24"/>
          <w:highlight w:val="none"/>
        </w:rPr>
      </w:pPr>
      <w:r>
        <w:rPr>
          <w:rFonts w:hint="eastAsia" w:ascii="宋体" w:hAnsi="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6" w:firstLineChars="200"/>
        <w:rPr>
          <w:rFonts w:ascii="宋体" w:hAnsi="宋体" w:cs="宋体"/>
          <w:color w:val="auto"/>
          <w:sz w:val="24"/>
          <w:highlight w:val="none"/>
        </w:rPr>
      </w:pPr>
      <w:r>
        <w:rPr>
          <w:rFonts w:hint="eastAsia" w:ascii="宋体" w:hAnsi="宋体" w:cs="宋体"/>
          <w:color w:val="auto"/>
          <w:sz w:val="24"/>
          <w:highlight w:val="none"/>
        </w:rPr>
        <w:t>传真： 0752-7806733                   传真：</w:t>
      </w:r>
    </w:p>
    <w:p>
      <w:pPr>
        <w:spacing w:line="460" w:lineRule="exact"/>
        <w:ind w:firstLine="486"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3"/>
        <w:numPr>
          <w:ilvl w:val="0"/>
          <w:numId w:val="0"/>
        </w:numPr>
        <w:jc w:val="left"/>
        <w:rPr>
          <w:rFonts w:hint="eastAsia"/>
          <w:color w:val="auto"/>
          <w:sz w:val="28"/>
          <w:szCs w:val="30"/>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9"/>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4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2899" w:firstLineChars="130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甲方：</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default"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default"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5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47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default"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9"/>
        <w:rPr>
          <w:color w:val="auto"/>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bookmarkStart w:id="6" w:name="_Toc202251074"/>
      <w:bookmarkStart w:id="7" w:name="_Toc202816995"/>
      <w:bookmarkStart w:id="8" w:name="_Toc202251699"/>
      <w:bookmarkStart w:id="9" w:name="_Toc202820350"/>
      <w:bookmarkStart w:id="10" w:name="_Toc202252033"/>
      <w:bookmarkStart w:id="11" w:name="_Toc202819877"/>
      <w:bookmarkStart w:id="12" w:name="_Toc202254104"/>
      <w:r>
        <w:rPr>
          <w:color w:val="auto"/>
          <w:highlight w:val="none"/>
        </w:rPr>
        <w:br w:type="page"/>
      </w:r>
      <w:r>
        <w:rPr>
          <w:rFonts w:hint="eastAsia" w:ascii="仿宋" w:hAnsi="仿宋" w:eastAsia="仿宋" w:cs="仿宋"/>
          <w:b/>
          <w:bCs/>
          <w:color w:val="auto"/>
          <w:sz w:val="28"/>
          <w:highlight w:val="none"/>
        </w:rPr>
        <w:t xml:space="preserve">1 </w:t>
      </w:r>
      <w:bookmarkEnd w:id="6"/>
      <w:bookmarkEnd w:id="7"/>
      <w:bookmarkEnd w:id="8"/>
      <w:bookmarkEnd w:id="9"/>
      <w:bookmarkEnd w:id="10"/>
      <w:bookmarkEnd w:id="11"/>
      <w:bookmarkEnd w:id="12"/>
      <w:r>
        <w:rPr>
          <w:rFonts w:hint="eastAsia" w:ascii="仿宋" w:hAnsi="仿宋" w:eastAsia="仿宋" w:cs="仿宋"/>
          <w:b/>
          <w:bCs/>
          <w:color w:val="auto"/>
          <w:sz w:val="28"/>
          <w:highlight w:val="none"/>
        </w:rPr>
        <w:t>资格性/符合性自查表</w:t>
      </w:r>
    </w:p>
    <w:tbl>
      <w:tblPr>
        <w:tblStyle w:val="19"/>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52"/>
        <w:gridCol w:w="4264"/>
        <w:gridCol w:w="1849"/>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gridSpan w:val="2"/>
            <w:noWrap w:val="0"/>
            <w:vAlign w:val="top"/>
          </w:tcPr>
          <w:p>
            <w:pPr>
              <w:keepNext w:val="0"/>
              <w:keepLines w:val="0"/>
              <w:suppressLineNumbers w:val="0"/>
              <w:spacing w:before="0" w:beforeAutospacing="0" w:after="0" w:afterAutospacing="0"/>
              <w:ind w:left="0" w:right="0"/>
              <w:jc w:val="center"/>
              <w:rPr>
                <w:rFonts w:hint="eastAsia"/>
                <w:color w:val="auto"/>
                <w:highlight w:val="none"/>
              </w:rPr>
            </w:pPr>
            <w:r>
              <w:rPr>
                <w:rFonts w:hint="eastAsia" w:ascii="仿宋" w:hAnsi="仿宋" w:eastAsia="仿宋" w:cs="仿宋"/>
                <w:b/>
                <w:bCs/>
                <w:color w:val="auto"/>
                <w:szCs w:val="21"/>
                <w:highlight w:val="none"/>
              </w:rPr>
              <w:t>评审内容</w:t>
            </w:r>
          </w:p>
        </w:tc>
        <w:tc>
          <w:tcPr>
            <w:tcW w:w="426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46" w:type="dxa"/>
            <w:vMerge w:val="restart"/>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rPr>
              <w:t>资格性审查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本项目是专门面向中小企业采购的项目，供应商应为中小微企业。（提供《中小企业声明函》,具体格式文件见比选文件P4</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中小企业声明函，未按要求提供声明函的将导致响应无效）。本项目中小企业划分标准所属行业为：软件和信息技术服务业。</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46" w:type="dxa"/>
            <w:vMerge w:val="continue"/>
            <w:noWrap w:val="0"/>
            <w:vAlign w:val="center"/>
          </w:tcPr>
          <w:p>
            <w:pPr>
              <w:keepNext w:val="0"/>
              <w:keepLines w:val="0"/>
              <w:suppressLineNumbers w:val="0"/>
              <w:spacing w:before="0" w:beforeAutospacing="0" w:after="0" w:afterAutospacing="0"/>
              <w:ind w:left="0" w:right="0"/>
              <w:jc w:val="center"/>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264"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keepNext w:val="0"/>
              <w:keepLines w:val="0"/>
              <w:suppressLineNumbers w:val="0"/>
              <w:spacing w:before="0" w:beforeAutospacing="0" w:after="0" w:afterAutospacing="0" w:line="380" w:lineRule="exact"/>
              <w:ind w:left="40" w:leftChars="19" w:right="0"/>
              <w:jc w:val="center"/>
              <w:rPr>
                <w:rFonts w:hint="eastAsia"/>
                <w:color w:val="auto"/>
                <w:highlight w:val="none"/>
              </w:rPr>
            </w:pPr>
            <w:r>
              <w:rPr>
                <w:rFonts w:hint="eastAsia" w:ascii="仿宋" w:hAnsi="仿宋" w:eastAsia="仿宋" w:cs="仿宋"/>
                <w:color w:val="auto"/>
                <w:szCs w:val="21"/>
                <w:highlight w:val="none"/>
              </w:rPr>
              <w:t>符合性审查</w:t>
            </w: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264" w:type="dxa"/>
            <w:noWrap w:val="0"/>
            <w:vAlign w:val="center"/>
          </w:tcPr>
          <w:p>
            <w:pPr>
              <w:keepNext w:val="0"/>
              <w:keepLines w:val="0"/>
              <w:suppressLineNumbers w:val="0"/>
              <w:spacing w:before="0" w:beforeAutospacing="0" w:after="0" w:afterAutospacing="0" w:line="240" w:lineRule="auto"/>
              <w:ind w:left="40" w:leftChars="19"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49" w:type="dxa"/>
            <w:noWrap w:val="0"/>
            <w:vAlign w:val="center"/>
          </w:tcPr>
          <w:p>
            <w:pPr>
              <w:keepNext w:val="0"/>
              <w:keepLines w:val="0"/>
              <w:suppressLineNumbers w:val="0"/>
              <w:spacing w:before="0" w:beforeAutospacing="0" w:after="0" w:afterAutospacing="0"/>
              <w:ind w:left="-171"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keepNext w:val="0"/>
              <w:keepLines w:val="0"/>
              <w:suppressLineNumbers w:val="0"/>
              <w:spacing w:before="0" w:beforeAutospacing="0" w:after="0" w:afterAutospacing="0"/>
              <w:ind w:left="0" w:right="0"/>
              <w:rPr>
                <w:rFonts w:hint="eastAsia"/>
                <w:color w:val="auto"/>
                <w:highlight w:val="none"/>
              </w:rPr>
            </w:pPr>
          </w:p>
        </w:tc>
        <w:tc>
          <w:tcPr>
            <w:tcW w:w="1052" w:type="dxa"/>
            <w:noWrap w:val="0"/>
            <w:vAlign w:val="center"/>
          </w:tcPr>
          <w:p>
            <w:pPr>
              <w:keepNext w:val="0"/>
              <w:keepLines w:val="0"/>
              <w:suppressLineNumbers w:val="0"/>
              <w:spacing w:before="0" w:beforeAutospacing="0" w:after="0" w:afterAutospacing="0"/>
              <w:ind w:left="40" w:leftChars="19"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264" w:type="dxa"/>
            <w:noWrap w:val="0"/>
            <w:vAlign w:val="center"/>
          </w:tcPr>
          <w:p>
            <w:pPr>
              <w:keepNext w:val="0"/>
              <w:keepLines w:val="0"/>
              <w:suppressLineNumbers w:val="0"/>
              <w:tabs>
                <w:tab w:val="left" w:pos="2880"/>
              </w:tabs>
              <w:spacing w:before="0" w:beforeAutospacing="0" w:after="0" w:afterAutospacing="0" w:line="380" w:lineRule="exact"/>
              <w:ind w:left="0" w:right="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按有关法律、法规、规章和比选文件中规定的其他无效响应情形。</w:t>
            </w:r>
          </w:p>
        </w:tc>
        <w:tc>
          <w:tcPr>
            <w:tcW w:w="1849" w:type="dxa"/>
            <w:noWrap w:val="0"/>
            <w:vAlign w:val="center"/>
          </w:tcPr>
          <w:p>
            <w:pPr>
              <w:keepNext w:val="0"/>
              <w:keepLines w:val="0"/>
              <w:suppressLineNumbers w:val="0"/>
              <w:spacing w:before="0" w:beforeAutospacing="0" w:after="0" w:afterAutospacing="0"/>
              <w:ind w:left="-171" w:leftChars="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right="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9"/>
        <w:tblW w:w="8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536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23" w:type="dxa"/>
            <w:noWrap w:val="0"/>
            <w:vAlign w:val="center"/>
          </w:tcPr>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5"/>
              <w:keepNext w:val="0"/>
              <w:keepLines w:val="0"/>
              <w:widowControl/>
              <w:suppressLineNumbers w:val="0"/>
              <w:adjustRightInd/>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364"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60" w:type="dxa"/>
            <w:noWrap w:val="0"/>
            <w:vAlign w:val="center"/>
          </w:tcPr>
          <w:p>
            <w:pPr>
              <w:pStyle w:val="25"/>
              <w:keepNext w:val="0"/>
              <w:keepLines w:val="0"/>
              <w:widowControl/>
              <w:suppressLineNumbers w:val="0"/>
              <w:adjustRightInd/>
              <w:spacing w:before="0" w:beforeAutospacing="0" w:after="0" w:afterAutospacing="0"/>
              <w:ind w:left="0" w:right="0"/>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23"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技术响应程度(带▲号条款）</w:t>
            </w:r>
          </w:p>
        </w:tc>
        <w:tc>
          <w:tcPr>
            <w:tcW w:w="5364"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完全满足采购人需求中带▲的重要技术参数的，得12分；一项不满足得9分；两项不满足得6分；如此类推，每不满足一项带▲的重要技术参数的得分减少3分，当达到4项或以上时，视为严重偏离本项不得分。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注：在每项带“▲”号的技术条款中，若要求提供佐证材料的则应按要求提供，未按采购文件要求提供证明材料的技术参数，以响应文件格式技术和服务要求响应表为准。</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23"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技术响应程度(非▲号条款）</w:t>
            </w:r>
          </w:p>
        </w:tc>
        <w:tc>
          <w:tcPr>
            <w:tcW w:w="5364"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完全满足技术参数要求中不带▲号的一般技术参数，得6分；有一项不带▲号条款负偏离，得5分；有二项不带▲号条款负偏离，得4分；有三项不带▲号条款负偏离，得3分；以此类推，当不带▲号条款负偏离达到6项（含）以上时，视为严重偏离此评分项不得分。采购文件未要求提供证明材料的技术参数，以响应文件格式技术要求响应表为准。</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23"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质量保障措施</w:t>
            </w:r>
          </w:p>
        </w:tc>
        <w:tc>
          <w:tcPr>
            <w:tcW w:w="5364"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根据各响应供应商所提供的质量保障措施方案（包括但不限于以下内容：①</w:t>
            </w:r>
            <w:r>
              <w:rPr>
                <w:rFonts w:hint="eastAsia" w:ascii="仿宋" w:hAnsi="仿宋" w:eastAsia="仿宋" w:cs="仿宋"/>
                <w:color w:val="auto"/>
                <w:sz w:val="21"/>
                <w:szCs w:val="21"/>
                <w:highlight w:val="none"/>
                <w:lang w:val="en-GB" w:eastAsia="zh-CN"/>
              </w:rPr>
              <w:t>总体质量控制：评估质量控制方案是否全面，是否能够覆盖各种情况发生，确保服务期间对于问题处理、需求开发等每一部分都有严格的质量控制措施。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②项目进度控制：评估项目进度控制措施是否清晰，是否合理分配资源、明确关键节点，并能及时调整进度以确保规划内容按时完成。</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③服务过程中质量管理方案：评估服务过程中质量管理的方案是否详细，包括质量检查、验收、反馈和改进等环节的具体安排。</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④服务过程中质量管理制度：评估服务过程中质量管理制度的健全性，是否包含质量标准、检验方法、责任分配等方面的内容，以保证服务质量持续达标。</w:t>
            </w:r>
            <w:r>
              <w:rPr>
                <w:rFonts w:hint="eastAsia" w:ascii="仿宋" w:hAnsi="仿宋" w:eastAsia="仿宋" w:cs="仿宋"/>
                <w:color w:val="auto"/>
                <w:sz w:val="21"/>
                <w:szCs w:val="21"/>
                <w:highlight w:val="none"/>
                <w:lang w:val="en-US" w:eastAsia="zh-CN"/>
              </w:rPr>
              <w:t>）进行评价：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CN"/>
              </w:rPr>
              <w:t>提供完整且详细的保障措施，得10分；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提供清晰的保障措施，但不够详细，得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CN"/>
              </w:rPr>
              <w:t>提供基础的保障措施，但内容简略，得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CN"/>
              </w:rPr>
              <w:t>提供的保障措施不完整，模糊质量保障或不提供方案不得分。</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523"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项目服务方案</w:t>
            </w:r>
          </w:p>
        </w:tc>
        <w:tc>
          <w:tcPr>
            <w:tcW w:w="5364"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根据供应商提供的项目方案（包括但不限于实战培训方案、实施改善项目方案、项目实施保障、预期成果等）进行评分：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1.方案合理性、完整性强，具备可行性，完全满足且优于采购需求的得10分；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2.方案合理性、完整性较强，比较具备可行性，完全满足采购需求的得7分；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3.方案合理性、完整性较差，不具备可行性，不能完全满足采购需求的得3分；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4.未提供实施方案得0分。</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Hans"/>
              </w:rPr>
              <w:t>综合实力</w:t>
            </w:r>
          </w:p>
        </w:tc>
        <w:tc>
          <w:tcPr>
            <w:tcW w:w="5364"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供应商拥</w:t>
            </w:r>
            <w:r>
              <w:rPr>
                <w:rFonts w:hint="eastAsia" w:ascii="仿宋" w:hAnsi="仿宋" w:eastAsia="仿宋" w:cs="仿宋"/>
                <w:color w:val="auto"/>
                <w:sz w:val="21"/>
                <w:szCs w:val="21"/>
                <w:highlight w:val="none"/>
                <w:lang w:val="en-GB" w:eastAsia="zh-CN"/>
              </w:rPr>
              <w:t>有软件著作权或授权，得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注：需提供软件著作权证书或授权书复印件并加盖公章）</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2.供应商</w:t>
            </w:r>
            <w:r>
              <w:rPr>
                <w:rFonts w:hint="eastAsia" w:ascii="仿宋" w:hAnsi="仿宋" w:eastAsia="仿宋" w:cs="仿宋"/>
                <w:color w:val="auto"/>
                <w:sz w:val="21"/>
                <w:szCs w:val="21"/>
                <w:highlight w:val="none"/>
                <w:lang w:val="en-GB" w:eastAsia="zh-CN"/>
              </w:rPr>
              <w:t>具备以下有效证书的，每提供一项，得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CN"/>
              </w:rPr>
              <w:t>分，最高得</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（1）具有质量管理体系认证证书；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（2）具有环境管理体系认证证书；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（3）具有职业健康安全管理体系认证证书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注：</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GB" w:eastAsia="zh-CN"/>
              </w:rPr>
              <w:t>提供证书复印件及在全国认证认可信息公共服务平台上对证书的查询结果截图为证明材料，并加盖</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GB" w:eastAsia="zh-CN"/>
              </w:rPr>
              <w:t xml:space="preserve">公章，否则不得分。 </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Hans"/>
              </w:rPr>
              <w:t>项目团队</w:t>
            </w:r>
          </w:p>
        </w:tc>
        <w:tc>
          <w:tcPr>
            <w:tcW w:w="5364" w:type="dxa"/>
            <w:noWrap w:val="0"/>
            <w:vAlign w:val="top"/>
          </w:tcPr>
          <w:p>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w:t>
            </w:r>
            <w:r>
              <w:rPr>
                <w:rFonts w:hint="default" w:ascii="仿宋" w:hAnsi="仿宋" w:eastAsia="仿宋" w:cs="仿宋"/>
                <w:color w:val="auto"/>
                <w:sz w:val="21"/>
                <w:szCs w:val="21"/>
                <w:highlight w:val="none"/>
                <w:lang w:val="en-US" w:eastAsia="zh-CN"/>
              </w:rPr>
              <w:t>拟派项目服务团队</w:t>
            </w:r>
            <w:r>
              <w:rPr>
                <w:rFonts w:hint="eastAsia" w:ascii="仿宋" w:hAnsi="仿宋" w:eastAsia="仿宋" w:cs="仿宋"/>
                <w:color w:val="auto"/>
                <w:sz w:val="21"/>
                <w:szCs w:val="21"/>
                <w:highlight w:val="none"/>
                <w:lang w:val="en-US" w:eastAsia="zh-CN"/>
              </w:rPr>
              <w:t>：</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1</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GB" w:eastAsia="zh-CN"/>
              </w:rPr>
              <w:t>拟派本项目负责人（1人）：</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CN"/>
              </w:rPr>
              <w:t>）具备本科（及以上）学历，得</w:t>
            </w:r>
            <w:r>
              <w:rPr>
                <w:rFonts w:hint="eastAsia" w:ascii="仿宋" w:hAnsi="仿宋" w:eastAsia="仿宋" w:cs="仿宋"/>
                <w:color w:val="auto"/>
                <w:sz w:val="21"/>
                <w:szCs w:val="21"/>
                <w:highlight w:val="none"/>
                <w:lang w:val="en-US" w:eastAsia="zh-CN"/>
              </w:rPr>
              <w:t>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具备人力资源和社会保障部门颁发的信息系统项目管理师或软件设计师，得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GB" w:eastAsia="zh-CN"/>
              </w:rPr>
              <w:t>项目团队成员（1-3人）（不含项目负责人），本项最高得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GB" w:eastAsia="zh-CN"/>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CN"/>
              </w:rPr>
              <w:t>）具备本科（及以上）学历，得</w:t>
            </w:r>
            <w:r>
              <w:rPr>
                <w:rFonts w:hint="eastAsia" w:ascii="仿宋" w:hAnsi="仿宋" w:eastAsia="仿宋" w:cs="仿宋"/>
                <w:color w:val="auto"/>
                <w:sz w:val="21"/>
                <w:szCs w:val="21"/>
                <w:highlight w:val="none"/>
                <w:lang w:val="en-US" w:eastAsia="zh-CN"/>
              </w:rPr>
              <w:t>1分；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CN"/>
              </w:rPr>
              <w:t>具备人力资源和社会保障部门颁发的系统集成项目管理工程师或软件设计师或数据库系统工程师资质的，得</w:t>
            </w:r>
            <w:r>
              <w:rPr>
                <w:rFonts w:hint="eastAsia" w:ascii="仿宋" w:hAnsi="仿宋" w:eastAsia="仿宋" w:cs="仿宋"/>
                <w:color w:val="auto"/>
                <w:sz w:val="21"/>
                <w:szCs w:val="21"/>
                <w:highlight w:val="none"/>
                <w:lang w:val="en-US" w:eastAsia="zh-CN"/>
              </w:rPr>
              <w:t>1分。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GB" w:eastAsia="zh-CN"/>
              </w:rPr>
              <w:t>注：响应供应商应提供团队人员比选截止时间半年缴纳的社保明细（若公司成立未到半年，按公司成立实际时间提供），并盖公章；提供职称证书复印件作为佐证材料等。无提供的不得分。</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售后服务方案</w:t>
            </w:r>
          </w:p>
        </w:tc>
        <w:tc>
          <w:tcPr>
            <w:tcW w:w="5364"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eastAsia="zh-CN"/>
              </w:rPr>
              <w:t>对</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GB" w:eastAsia="zh-CN"/>
              </w:rPr>
              <w:t>提供的售后服务方案（包括质保期、维护保养方案、应急维修时间、维修的及时性、安排的合理性等）是否完善具体，各阶段服务计划是否详尽进行综合评审：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en-GB" w:eastAsia="zh-Hans"/>
              </w:rPr>
              <w:t>方案详细周全、科学合理、针对性强的，得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GB" w:eastAsia="zh-Hans"/>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GB" w:eastAsia="zh-Hans"/>
              </w:rPr>
              <w:t>方案基本合理、清晰可行的，得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Hans"/>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GB" w:eastAsia="zh-Hans"/>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GB" w:eastAsia="zh-Hans"/>
              </w:rPr>
              <w:t>方案较简略、针对性不强的，得2分；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GB" w:eastAsia="zh-Hans"/>
              </w:rPr>
              <w:t>未提供</w:t>
            </w:r>
            <w:r>
              <w:rPr>
                <w:rFonts w:hint="eastAsia" w:ascii="仿宋" w:hAnsi="仿宋" w:eastAsia="仿宋" w:cs="仿宋"/>
                <w:color w:val="auto"/>
                <w:sz w:val="21"/>
                <w:szCs w:val="21"/>
                <w:highlight w:val="none"/>
                <w:lang w:val="en-GB" w:eastAsia="zh-CN"/>
              </w:rPr>
              <w:t>不得</w:t>
            </w:r>
            <w:r>
              <w:rPr>
                <w:rFonts w:hint="eastAsia" w:ascii="仿宋" w:hAnsi="仿宋" w:eastAsia="仿宋" w:cs="仿宋"/>
                <w:color w:val="auto"/>
                <w:sz w:val="21"/>
                <w:szCs w:val="21"/>
                <w:highlight w:val="none"/>
                <w:lang w:val="en-GB" w:eastAsia="zh-Hans"/>
              </w:rPr>
              <w:t>分。</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培训方案</w:t>
            </w:r>
          </w:p>
        </w:tc>
        <w:tc>
          <w:tcPr>
            <w:tcW w:w="5364"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响应供应商能够针对本次项目提供出完善的培训体系及培训方案，能够为采购人提供专业的培训。</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1.培训方案详细，可操作性强，得6分；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2.培训方案较详细，有一定的操作性，得4分；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3.培训方案较粗略，可操作性不强，得2分；</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同类业绩</w:t>
            </w:r>
          </w:p>
        </w:tc>
        <w:tc>
          <w:tcPr>
            <w:tcW w:w="5364"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自2022年1月1日至今，各响应供应商每提供一份同类业绩，得 2 分，最多得6分。 </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同类业绩证明文件是中标/成交通知书或合同关键页的复印件或扫描件（合同关键页是指包括：①能显示合同标的相关信息；②签订合同双方的单位名称、合同项目名称；③签订合同双方的签章、盖章及签订日期）。无提供不得分。</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23"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响应报价得分</w:t>
            </w:r>
          </w:p>
        </w:tc>
        <w:tc>
          <w:tcPr>
            <w:tcW w:w="5364" w:type="dxa"/>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响应报价得分＝（评审基准价/响应报价）×价格分值</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【注：满足比选文件要求且响应价格最低的响应报价为评审基准价。】最低报价不是成交的唯一依据。因落实政府采购政策进行价格调整的，以调整后的价格计算评审基准价和响应报价。</w:t>
            </w:r>
          </w:p>
        </w:tc>
        <w:tc>
          <w:tcPr>
            <w:tcW w:w="15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见响应文件第（      ）页</w:t>
            </w:r>
          </w:p>
        </w:tc>
      </w:tr>
    </w:tbl>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bookmarkStart w:id="13" w:name="_Toc202816996"/>
      <w:bookmarkStart w:id="14" w:name="_Toc202820351"/>
      <w:bookmarkStart w:id="15" w:name="_Toc202252034"/>
      <w:bookmarkStart w:id="16" w:name="_Toc202251700"/>
      <w:bookmarkStart w:id="17" w:name="_Toc202819878"/>
      <w:bookmarkStart w:id="18" w:name="_Toc202254105"/>
      <w:bookmarkStart w:id="19" w:name="_Toc202251075"/>
      <w:r>
        <w:rPr>
          <w:rFonts w:hint="eastAsia" w:ascii="仿宋" w:hAnsi="仿宋" w:eastAsia="仿宋" w:cs="仿宋"/>
          <w:b/>
          <w:bCs/>
          <w:color w:val="auto"/>
          <w:sz w:val="28"/>
          <w:szCs w:val="28"/>
          <w:highlight w:val="none"/>
        </w:rPr>
        <w:t>3 资格性文件</w:t>
      </w:r>
      <w:bookmarkEnd w:id="13"/>
      <w:bookmarkEnd w:id="14"/>
      <w:bookmarkEnd w:id="15"/>
      <w:bookmarkEnd w:id="16"/>
      <w:bookmarkEnd w:id="17"/>
      <w:bookmarkEnd w:id="18"/>
      <w:bookmarkEnd w:id="19"/>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6"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6"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6"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我方已经详细地阅读了全部比选文件及其附件，包括澄清及参考文件(如果有的话)。我方已完全清晰理解比选文件的所有要求，不存在任何含糊不清和误解之处，同意放弃对这些文件所提出的异议和质疑的权利。</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5.我方承诺在本次响应/响应文件中提供的一切文件，无论是原件还是复印件均为真实和准确的，绝无任何虚假、伪造和夸大的成份，否则，愿承担相应的后果和法律责任。</w:t>
      </w:r>
    </w:p>
    <w:p>
      <w:pPr>
        <w:spacing w:line="3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帐号：</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3"/>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3"/>
        <w:ind w:firstLine="480"/>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p>
    <w:p>
      <w:pPr>
        <w:pStyle w:val="23"/>
        <w:ind w:firstLine="480"/>
        <w:rPr>
          <w:rFonts w:hint="eastAsia" w:ascii="仿宋" w:hAnsi="仿宋" w:eastAsia="仿宋" w:cs="仿宋"/>
          <w:color w:val="auto"/>
          <w:sz w:val="24"/>
          <w:highlight w:val="none"/>
          <w:u w:val="single"/>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p>
    <w:p>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经营范围：</w:t>
      </w:r>
      <w:r>
        <w:rPr>
          <w:rFonts w:hint="eastAsia" w:ascii="仿宋" w:hAnsi="仿宋" w:eastAsia="仿宋" w:cs="仿宋"/>
          <w:color w:val="auto"/>
          <w:sz w:val="24"/>
          <w:highlight w:val="none"/>
          <w:u w:val="single"/>
        </w:rPr>
        <w:t xml:space="preserve">            </w:t>
      </w:r>
    </w:p>
    <w:p>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pStyle w:val="23"/>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 xml:space="preserve"> </w:t>
      </w:r>
    </w:p>
    <w:p>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(为避免响应无效，请供应商务必提供本附件)</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028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824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824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法定代表人授权代表（签字或盖章）：</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5926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233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131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5.本项目不接受联合体参加比选，不允许响应供应商对各比选项目进行分包或转包(供应商出具声明函)。</w:t>
      </w:r>
    </w:p>
    <w:p>
      <w:pPr>
        <w:tabs>
          <w:tab w:val="left" w:pos="0"/>
        </w:tabs>
        <w:wordWrap w:val="0"/>
        <w:spacing w:line="360" w:lineRule="auto"/>
        <w:jc w:val="left"/>
        <w:rPr>
          <w:rFonts w:hint="eastAsia" w:ascii="仿宋" w:hAnsi="仿宋" w:eastAsia="仿宋" w:cs="仿宋"/>
          <w:strike w:val="0"/>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strike w:val="0"/>
          <w:color w:val="auto"/>
          <w:sz w:val="24"/>
          <w:highlight w:val="none"/>
        </w:rPr>
        <w:t>本项目是专门面向中小企业采购的项目，供应商应为中小微企业。（提供《中小企业声明函》,具体格式文件见比选文件P</w:t>
      </w:r>
      <w:r>
        <w:rPr>
          <w:rFonts w:hint="eastAsia" w:ascii="仿宋" w:hAnsi="仿宋" w:eastAsia="仿宋" w:cs="仿宋"/>
          <w:strike w:val="0"/>
          <w:color w:val="auto"/>
          <w:sz w:val="24"/>
          <w:highlight w:val="none"/>
          <w:lang w:eastAsia="zh-CN"/>
        </w:rPr>
        <w:t>4</w:t>
      </w:r>
      <w:r>
        <w:rPr>
          <w:rFonts w:hint="eastAsia" w:ascii="仿宋" w:hAnsi="仿宋" w:eastAsia="仿宋" w:cs="仿宋"/>
          <w:strike w:val="0"/>
          <w:color w:val="auto"/>
          <w:sz w:val="24"/>
          <w:highlight w:val="none"/>
          <w:lang w:val="en-US" w:eastAsia="zh-CN"/>
        </w:rPr>
        <w:t>8</w:t>
      </w:r>
      <w:r>
        <w:rPr>
          <w:rFonts w:hint="eastAsia" w:ascii="仿宋" w:hAnsi="仿宋" w:eastAsia="仿宋" w:cs="仿宋"/>
          <w:strike w:val="0"/>
          <w:color w:val="auto"/>
          <w:sz w:val="24"/>
          <w:highlight w:val="none"/>
        </w:rPr>
        <w:t>中小企业声明函，未按要求提供声明函的将导致响应无效）。本项目中小企业划分标准所属行业为：</w:t>
      </w:r>
      <w:r>
        <w:rPr>
          <w:rFonts w:hint="eastAsia" w:ascii="仿宋" w:hAnsi="仿宋" w:eastAsia="仿宋" w:cs="仿宋"/>
          <w:strike w:val="0"/>
          <w:color w:val="auto"/>
          <w:sz w:val="24"/>
          <w:highlight w:val="none"/>
          <w:lang w:eastAsia="zh-CN"/>
        </w:rPr>
        <w:t>软件和信息技术服务业。</w:t>
      </w:r>
    </w:p>
    <w:p>
      <w:pPr>
        <w:tabs>
          <w:tab w:val="left" w:pos="0"/>
        </w:tabs>
        <w:wordWrap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bookmarkStart w:id="20" w:name="_Toc202251701"/>
      <w:bookmarkStart w:id="21" w:name="_Toc202254106"/>
      <w:bookmarkStart w:id="22" w:name="_Toc202251076"/>
      <w:bookmarkStart w:id="23" w:name="_Toc202819879"/>
      <w:bookmarkStart w:id="24" w:name="_Toc202816997"/>
      <w:bookmarkStart w:id="25" w:name="_Toc202252035"/>
      <w:bookmarkStart w:id="26" w:name="_Toc202820352"/>
    </w:p>
    <w:p>
      <w:pPr>
        <w:pStyle w:val="2"/>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bookmarkEnd w:id="20"/>
      <w:bookmarkEnd w:id="21"/>
      <w:bookmarkEnd w:id="22"/>
      <w:bookmarkEnd w:id="23"/>
      <w:bookmarkEnd w:id="24"/>
      <w:bookmarkEnd w:id="25"/>
      <w:bookmarkEnd w:id="26"/>
    </w:p>
    <w:p>
      <w:pPr>
        <w:tabs>
          <w:tab w:val="left" w:pos="540"/>
        </w:tabs>
        <w:spacing w:line="400" w:lineRule="exact"/>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其它必需重要事项说明及承诺(单页)</w:t>
      </w:r>
    </w:p>
    <w:p>
      <w:pPr>
        <w:tabs>
          <w:tab w:val="left" w:pos="540"/>
        </w:tabs>
        <w:spacing w:line="40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4"/>
          <w:highlight w:val="none"/>
          <w:lang w:val="en-US" w:eastAsia="zh-CN"/>
        </w:rPr>
        <w:t>4.1.1</w:t>
      </w:r>
      <w:r>
        <w:rPr>
          <w:rFonts w:hint="eastAsia" w:ascii="仿宋" w:hAnsi="仿宋" w:eastAsia="仿宋" w:cs="仿宋"/>
          <w:b w:val="0"/>
          <w:bCs/>
          <w:color w:val="auto"/>
          <w:sz w:val="24"/>
          <w:highlight w:val="none"/>
          <w:lang w:val="en-GB"/>
        </w:rPr>
        <w:t>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7" w:leftChars="-257" w:firstLine="486"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2诚信响应承诺书。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7" w:leftChars="-257" w:firstLine="486"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7" w:leftChars="-257" w:firstLine="972"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5"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bookmarkStart w:id="27" w:name="OLE_LINK3"/>
      <w:r>
        <w:rPr>
          <w:rFonts w:hint="eastAsia" w:ascii="仿宋" w:hAnsi="仿宋" w:eastAsia="仿宋" w:cs="仿宋"/>
          <w:color w:val="auto"/>
          <w:sz w:val="24"/>
          <w:highlight w:val="none"/>
          <w:lang w:val="en-US" w:eastAsia="zh-CN"/>
        </w:rPr>
        <w:t>4.1.3.1</w:t>
      </w:r>
      <w:bookmarkEnd w:id="27"/>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注：本函未填写或未勾选视作未做声明。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ascii="仿宋" w:hAnsi="仿宋" w:eastAsia="仿宋" w:cs="仿宋"/>
          <w:color w:val="auto"/>
          <w:sz w:val="24"/>
          <w:highlight w:val="none"/>
        </w:rPr>
      </w:pPr>
    </w:p>
    <w:p>
      <w:pPr>
        <w:pStyle w:val="4"/>
        <w:spacing w:before="0" w:after="0"/>
        <w:jc w:val="left"/>
        <w:rPr>
          <w:rFonts w:hint="eastAsia" w:ascii="仿宋" w:hAnsi="仿宋" w:eastAsia="仿宋" w:cs="仿宋"/>
          <w:color w:val="auto"/>
          <w:highlight w:val="none"/>
        </w:rPr>
      </w:pPr>
      <w:r>
        <w:rPr>
          <w:rFonts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9"/>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w:t>
            </w:r>
            <w:r>
              <w:rPr>
                <w:rFonts w:hint="eastAsia" w:ascii="仿宋" w:hAnsi="仿宋" w:eastAsia="仿宋" w:cs="仿宋"/>
                <w:color w:val="auto"/>
                <w:szCs w:val="21"/>
                <w:highlight w:val="none"/>
                <w:lang w:eastAsia="zh-CN"/>
              </w:rPr>
              <w:t>商务</w:t>
            </w:r>
            <w:r>
              <w:rPr>
                <w:rFonts w:hint="eastAsia" w:ascii="仿宋" w:hAnsi="仿宋" w:eastAsia="仿宋" w:cs="仿宋"/>
                <w:color w:val="auto"/>
                <w:szCs w:val="21"/>
                <w:highlight w:val="none"/>
              </w:rPr>
              <w:t>条款要求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、合格的货物、工程和服务要求</w:t>
            </w:r>
          </w:p>
        </w:tc>
        <w:tc>
          <w:tcPr>
            <w:tcW w:w="138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rPr>
              <w:t>的各项须知、规约要求和责任义务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报价内容均涵盖报价要求之一切费用和伴随服务</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c>
          <w:tcPr>
            <w:tcW w:w="1391" w:type="dxa"/>
            <w:noWrap w:val="0"/>
            <w:vAlign w:val="center"/>
          </w:tcPr>
          <w:p>
            <w:pPr>
              <w:keepNext w:val="0"/>
              <w:keepLines w:val="0"/>
              <w:suppressLineNumbers w:val="0"/>
              <w:spacing w:before="0" w:beforeAutospacing="0" w:after="0" w:afterAutospacing="0"/>
              <w:ind w:left="0"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同意按本项目要求缴付相关款项</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同意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以任何形式对我方响应文件内容的真实性和有效性进行审查、验证</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pStyle w:val="15"/>
              <w:keepNext w:val="0"/>
              <w:keepLines w:val="0"/>
              <w:suppressLineNumbers w:val="0"/>
              <w:spacing w:before="0" w:beforeAutospacing="0" w:after="0" w:afterAutospacing="0"/>
              <w:ind w:left="0" w:right="0"/>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rPr>
              <w:t>满足对服务的各项要求</w:t>
            </w:r>
          </w:p>
        </w:tc>
        <w:tc>
          <w:tcPr>
            <w:tcW w:w="138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322"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6"/>
              <w:keepNext w:val="0"/>
              <w:keepLines w:val="0"/>
              <w:suppressLineNumbers w:val="0"/>
              <w:adjustRightInd/>
              <w:spacing w:before="0" w:beforeAutospacing="0" w:after="0" w:afterAutospacing="0" w:line="240" w:lineRule="auto"/>
              <w:ind w:left="0" w:right="0"/>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bookmarkStart w:id="28" w:name="_Toc202252036"/>
      <w:bookmarkStart w:id="29" w:name="_Toc202254107"/>
      <w:bookmarkStart w:id="30" w:name="_Toc202251702"/>
      <w:bookmarkStart w:id="31" w:name="_Toc202816998"/>
      <w:bookmarkStart w:id="32" w:name="_Toc202251077"/>
      <w:bookmarkStart w:id="33" w:name="_Toc202820353"/>
      <w:bookmarkStart w:id="34" w:name="_Toc202819880"/>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bookmarkStart w:id="35" w:name="_Toc20962"/>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bookmarkEnd w:id="35"/>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pStyle w:val="27"/>
              <w:keepNext w:val="0"/>
              <w:keepLines w:val="0"/>
              <w:suppressLineNumbers w:val="0"/>
              <w:spacing w:before="0" w:beforeAutospacing="0" w:after="0" w:afterAutospacing="0"/>
              <w:rPr>
                <w:rFonts w:hint="eastAsia" w:ascii="仿宋" w:hAnsi="仿宋" w:eastAsia="仿宋" w:cs="仿宋"/>
                <w:color w:val="auto"/>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278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33"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51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bookmarkEnd w:id="28"/>
      <w:bookmarkEnd w:id="29"/>
      <w:bookmarkEnd w:id="30"/>
      <w:bookmarkEnd w:id="31"/>
      <w:bookmarkEnd w:id="32"/>
      <w:bookmarkEnd w:id="33"/>
      <w:bookmarkEnd w:id="34"/>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bookmarkStart w:id="36" w:name="_Hlk76398443"/>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w:t>
      </w:r>
      <w:bookmarkEnd w:id="36"/>
      <w:r>
        <w:rPr>
          <w:rFonts w:hint="eastAsia" w:ascii="仿宋" w:hAnsi="仿宋" w:eastAsia="仿宋" w:cs="仿宋"/>
          <w:b/>
          <w:color w:val="auto"/>
          <w:sz w:val="24"/>
          <w:highlight w:val="none"/>
        </w:rPr>
        <w:t>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9"/>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41"/>
        <w:gridCol w:w="1897"/>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keepNext w:val="0"/>
              <w:keepLines w:val="0"/>
              <w:suppressLineNumbers w:val="0"/>
              <w:spacing w:before="0" w:beforeAutospacing="0" w:after="0" w:afterAutospacing="0"/>
              <w:ind w:left="0" w:right="0" w:firstLine="3159"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12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897"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897"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 w:val="21"/>
                <w:szCs w:val="21"/>
                <w:highlight w:val="none"/>
                <w:lang w:val="en-US" w:eastAsia="zh-CN"/>
              </w:rPr>
            </w:pPr>
          </w:p>
        </w:tc>
        <w:tc>
          <w:tcPr>
            <w:tcW w:w="170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87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912"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775"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141" w:type="dxa"/>
            <w:noWrap w:val="0"/>
            <w:vAlign w:val="top"/>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2" w:type="dxa"/>
            <w:noWrap w:val="0"/>
            <w:vAlign w:val="center"/>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41"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1"/>
                <w:szCs w:val="21"/>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2" w:type="dxa"/>
            <w:noWrap w:val="0"/>
            <w:vAlign w:val="top"/>
          </w:tcPr>
          <w:p>
            <w:pPr>
              <w:keepNext w:val="0"/>
              <w:keepLines w:val="0"/>
              <w:suppressLineNumbers w:val="0"/>
              <w:spacing w:before="0" w:beforeAutospacing="0" w:after="0" w:afterAutospacing="0" w:line="380" w:lineRule="exact"/>
              <w:ind w:left="40" w:leftChars="19"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897"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70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87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912"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7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141"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6"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.2非实质性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9"/>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2641"/>
        <w:gridCol w:w="1764"/>
        <w:gridCol w:w="780"/>
        <w:gridCol w:w="1065"/>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hint="default"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641"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64"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8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065"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hint="default"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hint="default"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en-US" w:eastAsia="zh-CN"/>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keepNext w:val="0"/>
              <w:keepLines w:val="0"/>
              <w:suppressLineNumbers w:val="0"/>
              <w:spacing w:before="0" w:beforeAutospacing="0" w:after="0" w:afterAutospacing="0" w:line="20" w:lineRule="atLeast"/>
              <w:ind w:left="0" w:right="0"/>
              <w:jc w:val="center"/>
              <w:rPr>
                <w:rFonts w:hint="eastAsia" w:ascii="仿宋" w:hAnsi="仿宋" w:eastAsia="仿宋" w:cs="仿宋"/>
                <w:color w:val="auto"/>
                <w:szCs w:val="21"/>
                <w:highlight w:val="none"/>
                <w:lang w:val="en-US" w:eastAsia="zh-CN"/>
              </w:rPr>
            </w:pPr>
          </w:p>
        </w:tc>
        <w:tc>
          <w:tcPr>
            <w:tcW w:w="1025"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2641" w:type="dxa"/>
            <w:noWrap w:val="0"/>
            <w:vAlign w:val="center"/>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kern w:val="2"/>
                <w:sz w:val="21"/>
                <w:szCs w:val="21"/>
                <w:highlight w:val="none"/>
                <w:lang w:val="en-US" w:eastAsia="zh-CN" w:bidi="ar-SA"/>
              </w:rPr>
            </w:pPr>
          </w:p>
        </w:tc>
        <w:tc>
          <w:tcPr>
            <w:tcW w:w="1764"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78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065"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66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c>
          <w:tcPr>
            <w:tcW w:w="1350" w:type="dxa"/>
            <w:noWrap w:val="0"/>
            <w:vAlign w:val="top"/>
          </w:tcPr>
          <w:p>
            <w:pPr>
              <w:keepNext w:val="0"/>
              <w:keepLines w:val="0"/>
              <w:suppressLineNumbers w:val="0"/>
              <w:spacing w:before="0" w:beforeAutospacing="0" w:after="0" w:afterAutospacing="0" w:line="20" w:lineRule="atLeast"/>
              <w:ind w:left="0" w:right="0"/>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rPr>
        <w:t>服务要求的内容逐条响应。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作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bookmarkEnd w:id="0"/>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keepNext w:val="0"/>
              <w:keepLines w:val="0"/>
              <w:suppressLineNumbers w:val="0"/>
              <w:kinsoku/>
              <w:overflowPunct/>
              <w:topLinePunct w:val="0"/>
              <w:bidi w:val="0"/>
              <w:spacing w:before="0" w:beforeAutospacing="0" w:after="0" w:afterAutospacing="0" w:line="312" w:lineRule="auto"/>
              <w:ind w:left="0" w:right="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采购项目名称</w:t>
            </w:r>
          </w:p>
        </w:tc>
        <w:tc>
          <w:tcPr>
            <w:tcW w:w="7632" w:type="dxa"/>
            <w:tcBorders>
              <w:bottom w:val="single" w:color="auto" w:sz="4" w:space="0"/>
            </w:tcBorders>
            <w:noWrap w:val="0"/>
            <w:vAlign w:val="center"/>
          </w:tcPr>
          <w:p>
            <w:pPr>
              <w:keepNext w:val="0"/>
              <w:keepLines w:val="0"/>
              <w:suppressLineNumbers w:val="0"/>
              <w:kinsoku/>
              <w:overflowPunct/>
              <w:topLinePunct w:val="0"/>
              <w:bidi w:val="0"/>
              <w:spacing w:before="0" w:beforeAutospacing="0" w:after="0" w:afterAutospacing="0" w:line="312" w:lineRule="auto"/>
              <w:ind w:left="0" w:right="0"/>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noWrap w:val="0"/>
            <w:vAlign w:val="center"/>
          </w:tcPr>
          <w:p>
            <w:pPr>
              <w:keepNext w:val="0"/>
              <w:keepLines w:val="0"/>
              <w:suppressLineNumbers w:val="0"/>
              <w:kinsoku/>
              <w:overflowPunct/>
              <w:topLinePunct w:val="0"/>
              <w:bidi w:val="0"/>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采购编号</w:t>
            </w:r>
          </w:p>
        </w:tc>
        <w:tc>
          <w:tcPr>
            <w:tcW w:w="7632" w:type="dxa"/>
            <w:noWrap w:val="0"/>
            <w:vAlign w:val="center"/>
          </w:tcPr>
          <w:p>
            <w:pPr>
              <w:pStyle w:val="28"/>
              <w:keepNext w:val="0"/>
              <w:keepLines w:val="0"/>
              <w:widowControl w:val="0"/>
              <w:suppressLineNumbers w:val="0"/>
              <w:pBdr>
                <w:bottom w:val="none" w:color="auto" w:sz="0" w:space="0"/>
                <w:right w:val="none" w:color="auto" w:sz="0" w:space="0"/>
              </w:pBdr>
              <w:kinsoku/>
              <w:overflowPunct/>
              <w:topLinePunct w:val="0"/>
              <w:bidi w:val="0"/>
              <w:spacing w:before="0" w:beforeAutospacing="0" w:after="0" w:afterAutospacing="0" w:line="312" w:lineRule="auto"/>
              <w:ind w:left="0" w:right="0"/>
              <w:textAlignment w:val="auto"/>
              <w:rPr>
                <w:rFonts w:hint="eastAsia" w:ascii="仿宋" w:hAnsi="仿宋" w:eastAsia="仿宋" w:cs="仿宋"/>
                <w:bCs/>
                <w:color w:val="auto"/>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1728" w:type="dxa"/>
            <w:noWrap w:val="0"/>
            <w:vAlign w:val="center"/>
          </w:tcPr>
          <w:p>
            <w:pPr>
              <w:keepNext w:val="0"/>
              <w:keepLines w:val="0"/>
              <w:suppressLineNumbers w:val="0"/>
              <w:kinsoku/>
              <w:overflowPunct/>
              <w:topLinePunct w:val="0"/>
              <w:bidi w:val="0"/>
              <w:spacing w:before="0" w:beforeAutospacing="0" w:after="0" w:afterAutospacing="0" w:line="312"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w:t>
            </w:r>
          </w:p>
        </w:tc>
        <w:tc>
          <w:tcPr>
            <w:tcW w:w="7632" w:type="dxa"/>
            <w:noWrap w:val="0"/>
            <w:vAlign w:val="center"/>
          </w:tcPr>
          <w:p>
            <w:pPr>
              <w:keepNext w:val="0"/>
              <w:keepLines w:val="0"/>
              <w:suppressLineNumbers w:val="0"/>
              <w:kinsoku/>
              <w:overflowPunct/>
              <w:topLinePunct w:val="0"/>
              <w:bidi w:val="0"/>
              <w:spacing w:before="0" w:beforeAutospacing="0" w:after="0" w:afterAutospacing="0" w:line="312" w:lineRule="auto"/>
              <w:ind w:left="0" w:right="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（大写）人民币</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w:t>
            </w:r>
          </w:p>
        </w:tc>
      </w:tr>
    </w:tbl>
    <w:p>
      <w:pPr>
        <w:adjustRightInd w:val="0"/>
        <w:snapToGrid w:val="0"/>
        <w:spacing w:line="300" w:lineRule="auto"/>
        <w:rPr>
          <w:rFonts w:hint="eastAsia" w:ascii="仿宋" w:hAnsi="仿宋" w:eastAsia="仿宋" w:cs="仿宋"/>
          <w:color w:val="auto"/>
          <w:sz w:val="24"/>
          <w:highlight w:val="none"/>
        </w:rPr>
      </w:pPr>
    </w:p>
    <w:p>
      <w:pPr>
        <w:keepNext w:val="0"/>
        <w:keepLines w:val="0"/>
        <w:kinsoku/>
        <w:overflowPunct/>
        <w:topLinePunct w:val="0"/>
        <w:bidi w:val="0"/>
        <w:spacing w:line="312" w:lineRule="auto"/>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keepNext w:val="0"/>
        <w:keepLines w:val="0"/>
        <w:kinsoku/>
        <w:overflowPunct/>
        <w:topLinePunct w:val="0"/>
        <w:bidi w:val="0"/>
        <w:spacing w:line="312" w:lineRule="auto"/>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须按要求完整填写所有信息，不得随意更改本表格式，否则作</w:t>
      </w:r>
      <w:r>
        <w:rPr>
          <w:rFonts w:hint="eastAsia" w:ascii="仿宋" w:hAnsi="仿宋" w:eastAsia="仿宋" w:cs="仿宋"/>
          <w:color w:val="auto"/>
          <w:sz w:val="24"/>
          <w:szCs w:val="24"/>
          <w:highlight w:val="none"/>
          <w:lang w:eastAsia="zh-CN"/>
        </w:rPr>
        <w:t>无效</w:t>
      </w:r>
      <w:r>
        <w:rPr>
          <w:rFonts w:hint="eastAsia" w:ascii="仿宋" w:hAnsi="仿宋" w:eastAsia="仿宋" w:cs="仿宋"/>
          <w:color w:val="auto"/>
          <w:sz w:val="24"/>
          <w:szCs w:val="24"/>
          <w:highlight w:val="none"/>
        </w:rPr>
        <w:t>处理。</w:t>
      </w:r>
    </w:p>
    <w:p>
      <w:pPr>
        <w:keepNext w:val="0"/>
        <w:keepLines w:val="0"/>
        <w:kinsoku/>
        <w:overflowPunct/>
        <w:topLinePunct w:val="0"/>
        <w:bidi w:val="0"/>
        <w:spacing w:line="312" w:lineRule="auto"/>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报价保留两位小数。中文大写金额用汉字，如壹、贰、叁、肆、伍、陆、柒、捌、玖、拾、佰、仟、万、亿、元、角、分、零、整（正）等。小写：1234567.89元，大写：壹佰贰拾叁万肆仟伍佰陆拾柒元捌角玖分。</w:t>
      </w:r>
    </w:p>
    <w:p>
      <w:pPr>
        <w:keepNext w:val="0"/>
        <w:keepLines w:val="0"/>
        <w:kinsoku/>
        <w:overflowPunct/>
        <w:topLinePunct w:val="0"/>
        <w:bidi w:val="0"/>
        <w:spacing w:line="312" w:lineRule="auto"/>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3.此表是</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文件的必要文件，是</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文件的组成部分。</w:t>
      </w:r>
    </w:p>
    <w:p>
      <w:pPr>
        <w:keepNext w:val="0"/>
        <w:keepLines w:val="0"/>
        <w:kinsoku/>
        <w:overflowPunct/>
        <w:topLinePunct w:val="0"/>
        <w:bidi w:val="0"/>
        <w:spacing w:line="312" w:lineRule="auto"/>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文件另有规定外，</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文件内不得含有任何对本报价进行价格折扣的说明或资料，否则为无效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pPr>
        <w:keepNext w:val="0"/>
        <w:keepLines w:val="0"/>
        <w:kinsoku/>
        <w:overflowPunct/>
        <w:topLinePunct w:val="0"/>
        <w:bidi w:val="0"/>
        <w:spacing w:line="312" w:lineRule="auto"/>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5.合同履行期限详见</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要求，合同履行期限超过</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规定的期限为无效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pPr>
        <w:keepNext w:val="0"/>
        <w:keepLines w:val="0"/>
        <w:kinsoku/>
        <w:overflowPunct/>
        <w:topLinePunct w:val="0"/>
        <w:bidi w:val="0"/>
        <w:spacing w:line="312" w:lineRule="auto"/>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报价要求详见</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要求，本项目不接受有选</w:t>
      </w:r>
      <w:r>
        <w:rPr>
          <w:rFonts w:hint="eastAsia" w:ascii="仿宋" w:hAnsi="仿宋" w:eastAsia="仿宋" w:cs="仿宋"/>
          <w:color w:val="auto"/>
          <w:sz w:val="24"/>
          <w:szCs w:val="24"/>
          <w:highlight w:val="none"/>
          <w:lang w:eastAsia="zh-CN"/>
        </w:rPr>
        <w:t>择性地响应</w:t>
      </w:r>
      <w:r>
        <w:rPr>
          <w:rFonts w:hint="eastAsia" w:ascii="仿宋" w:hAnsi="仿宋" w:eastAsia="仿宋" w:cs="仿宋"/>
          <w:color w:val="auto"/>
          <w:sz w:val="24"/>
          <w:szCs w:val="24"/>
          <w:highlight w:val="none"/>
        </w:rPr>
        <w:t>报价。</w:t>
      </w:r>
    </w:p>
    <w:p>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rPr>
      </w:pPr>
    </w:p>
    <w:p>
      <w:pPr>
        <w:keepNext w:val="0"/>
        <w:keepLines w:val="0"/>
        <w:kinsoku/>
        <w:overflowPunct/>
        <w:topLinePunct w:val="0"/>
        <w:bidi w:val="0"/>
        <w:adjustRightInd w:val="0"/>
        <w:snapToGrid w:val="0"/>
        <w:spacing w:line="312" w:lineRule="auto"/>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pPr>
        <w:keepNext w:val="0"/>
        <w:keepLines w:val="0"/>
        <w:kinsoku/>
        <w:overflowPunct/>
        <w:topLinePunct w:val="0"/>
        <w:bidi w:val="0"/>
        <w:adjustRightInd w:val="0"/>
        <w:snapToGrid w:val="0"/>
        <w:spacing w:line="312" w:lineRule="auto"/>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名称（盖章）：</w:t>
      </w:r>
      <w:r>
        <w:rPr>
          <w:rFonts w:hint="eastAsia" w:ascii="仿宋" w:hAnsi="仿宋" w:eastAsia="仿宋" w:cs="仿宋"/>
          <w:color w:val="auto"/>
          <w:sz w:val="24"/>
          <w:szCs w:val="24"/>
          <w:highlight w:val="none"/>
          <w:u w:val="single"/>
        </w:rPr>
        <w:t xml:space="preserve">                      </w:t>
      </w:r>
    </w:p>
    <w:p>
      <w:pPr>
        <w:keepNext w:val="0"/>
        <w:keepLines w:val="0"/>
        <w:kinsoku/>
        <w:overflowPunct/>
        <w:topLinePunct w:val="0"/>
        <w:autoSpaceDE w:val="0"/>
        <w:autoSpaceDN w:val="0"/>
        <w:bidi w:val="0"/>
        <w:adjustRightInd w:val="0"/>
        <w:snapToGrid w:val="0"/>
        <w:spacing w:line="312" w:lineRule="auto"/>
        <w:ind w:firstLine="486" w:firstLineChars="200"/>
        <w:textAlignment w:val="auto"/>
        <w:rPr>
          <w:color w:val="auto"/>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color w:val="auto"/>
          <w:highlight w:val="none"/>
        </w:rPr>
      </w:pPr>
    </w:p>
    <w:p>
      <w:pPr>
        <w:rPr>
          <w:b/>
          <w:bCs/>
          <w:color w:val="auto"/>
          <w:highlight w:val="none"/>
        </w:rPr>
      </w:pPr>
    </w:p>
    <w:p>
      <w:pPr>
        <w:rPr>
          <w:color w:val="auto"/>
          <w:highlight w:val="none"/>
        </w:rPr>
      </w:pPr>
    </w:p>
    <w:p>
      <w:pPr>
        <w:rPr>
          <w:color w:val="auto"/>
          <w:highlight w:val="none"/>
        </w:rPr>
      </w:pPr>
    </w:p>
    <w:p>
      <w:pPr>
        <w:numPr>
          <w:ilvl w:val="0"/>
          <w:numId w:val="0"/>
        </w:numPr>
        <w:rPr>
          <w:rFonts w:hint="eastAsia" w:ascii="仿宋" w:hAnsi="仿宋" w:eastAsia="仿宋" w:cs="仿宋"/>
          <w:color w:val="auto"/>
          <w:sz w:val="24"/>
          <w:szCs w:val="24"/>
          <w:highlight w:val="none"/>
          <w:lang w:val="en-US" w:eastAsia="zh-CN"/>
        </w:rPr>
      </w:pPr>
    </w:p>
    <w:p>
      <w:pPr>
        <w:rPr>
          <w:color w:val="auto"/>
          <w:highlight w:val="none"/>
        </w:rPr>
      </w:pPr>
    </w:p>
    <w:p>
      <w:pPr>
        <w:rPr>
          <w:color w:val="auto"/>
          <w:highlight w:val="none"/>
        </w:rPr>
      </w:pPr>
    </w:p>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55</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55</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1DA1C"/>
    <w:multiLevelType w:val="singleLevel"/>
    <w:tmpl w:val="AAB1DA1C"/>
    <w:lvl w:ilvl="0" w:tentative="0">
      <w:start w:val="1"/>
      <w:numFmt w:val="decimal"/>
      <w:lvlText w:val="%1."/>
      <w:lvlJc w:val="left"/>
      <w:pPr>
        <w:tabs>
          <w:tab w:val="left" w:pos="312"/>
        </w:tabs>
      </w:pPr>
    </w:lvl>
  </w:abstractNum>
  <w:abstractNum w:abstractNumId="1">
    <w:nsid w:val="C140C2CC"/>
    <w:multiLevelType w:val="singleLevel"/>
    <w:tmpl w:val="C140C2CC"/>
    <w:lvl w:ilvl="0" w:tentative="0">
      <w:start w:val="1"/>
      <w:numFmt w:val="chineseCounting"/>
      <w:suff w:val="nothing"/>
      <w:lvlText w:val="%1、"/>
      <w:lvlJc w:val="left"/>
      <w:rPr>
        <w:rFonts w:hint="eastAsia"/>
      </w:rPr>
    </w:lvl>
  </w:abstractNum>
  <w:abstractNum w:abstractNumId="2">
    <w:nsid w:val="569C8C25"/>
    <w:multiLevelType w:val="singleLevel"/>
    <w:tmpl w:val="569C8C25"/>
    <w:lvl w:ilvl="0" w:tentative="0">
      <w:start w:val="1"/>
      <w:numFmt w:val="chineseCounting"/>
      <w:suff w:val="nothing"/>
      <w:lvlText w:val="%1、"/>
      <w:lvlJc w:val="left"/>
    </w:lvl>
  </w:abstractNum>
  <w:abstractNum w:abstractNumId="3">
    <w:nsid w:val="5C5B24BC"/>
    <w:multiLevelType w:val="singleLevel"/>
    <w:tmpl w:val="5C5B24BC"/>
    <w:lvl w:ilvl="0" w:tentative="0">
      <w:start w:val="3"/>
      <w:numFmt w:val="chineseCounting"/>
      <w:suff w:val="nothing"/>
      <w:lvlText w:val="（%1）"/>
      <w:lvlJc w:val="left"/>
      <w:rPr>
        <w:rFonts w:hint="eastAsia"/>
      </w:rPr>
    </w:lvl>
  </w:abstractNum>
  <w:abstractNum w:abstractNumId="4">
    <w:nsid w:val="70222339"/>
    <w:multiLevelType w:val="multilevel"/>
    <w:tmpl w:val="70222339"/>
    <w:lvl w:ilvl="0" w:tentative="0">
      <w:start w:val="1"/>
      <w:numFmt w:val="decimal"/>
      <w:pStyle w:val="3"/>
      <w:lvlText w:val="%1."/>
      <w:lvlJc w:val="left"/>
      <w:pPr>
        <w:ind w:left="0" w:firstLine="0"/>
      </w:pPr>
      <w:rPr>
        <w:rFonts w:ascii="宋体" w:hAnsi="宋体" w:eastAsia="宋体"/>
        <w:b/>
        <w:i w:val="0"/>
        <w:iCs w:val="0"/>
        <w:caps w:val="0"/>
        <w:smallCaps w:val="0"/>
        <w:strike w:val="0"/>
        <w:dstrike w:val="0"/>
        <w:vanish w:val="0"/>
        <w:color w:val="000000"/>
        <w:spacing w:val="0"/>
        <w:position w:val="0"/>
        <w:u w:val="none"/>
        <w:vertAlign w:val="baseline"/>
      </w:rPr>
    </w:lvl>
    <w:lvl w:ilvl="1" w:tentative="0">
      <w:start w:val="1"/>
      <w:numFmt w:val="decimalZero"/>
      <w:isLgl/>
      <w:lvlText w:val="节 %1.%2"/>
      <w:lvlJc w:val="left"/>
      <w:pPr>
        <w:ind w:left="0" w:firstLine="0"/>
      </w:pPr>
    </w:lvl>
    <w:lvl w:ilvl="2" w:tentative="0">
      <w:start w:val="1"/>
      <w:numFmt w:val="lowerLetter"/>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626C"/>
    <w:rsid w:val="115E5A58"/>
    <w:rsid w:val="15535BA3"/>
    <w:rsid w:val="45196B55"/>
    <w:rsid w:val="4B7E04B1"/>
    <w:rsid w:val="618E654D"/>
    <w:rsid w:val="61BC7874"/>
    <w:rsid w:val="727A1630"/>
    <w:rsid w:val="7777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widowControl w:val="0"/>
      <w:numPr>
        <w:ilvl w:val="0"/>
        <w:numId w:val="1"/>
      </w:numPr>
      <w:topLinePunct/>
      <w:spacing w:before="20" w:after="20" w:line="360" w:lineRule="auto"/>
      <w:jc w:val="both"/>
      <w:outlineLvl w:val="0"/>
    </w:pPr>
    <w:rPr>
      <w:rFonts w:ascii="Calibri" w:hAnsi="Calibri" w:eastAsia="宋体" w:cs="Times New Roman"/>
      <w:b/>
      <w:bCs/>
      <w:sz w:val="21"/>
      <w:szCs w:val="4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Verdana"/>
    </w:r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index heading"/>
    <w:basedOn w:val="1"/>
    <w:next w:val="16"/>
    <w:qFormat/>
    <w:uiPriority w:val="0"/>
    <w:rPr>
      <w:szCs w:val="20"/>
    </w:rPr>
  </w:style>
  <w:style w:type="paragraph" w:styleId="16">
    <w:name w:val="index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0" w:right="0" w:firstLine="0" w:firstLineChars="0"/>
      <w:contextualSpacing/>
      <w:jc w:val="both"/>
    </w:pPr>
    <w:rPr>
      <w:rFonts w:hint="default" w:ascii="Times New Roman" w:hAnsi="Times New Roman" w:eastAsia="宋体" w:cs="Times New Roman"/>
      <w:kern w:val="2"/>
      <w:sz w:val="21"/>
      <w:szCs w:val="21"/>
      <w:lang w:val="en-US" w:eastAsia="zh-CN" w:bidi="ar"/>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21">
    <w:name w:val="Strong"/>
    <w:basedOn w:val="20"/>
    <w:qFormat/>
    <w:uiPriority w:val="0"/>
    <w:rPr>
      <w:b/>
    </w:rPr>
  </w:style>
  <w:style w:type="paragraph" w:customStyle="1" w:styleId="22">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23">
    <w:name w:val="null3"/>
    <w:qFormat/>
    <w:uiPriority w:val="0"/>
    <w:rPr>
      <w:rFonts w:hint="eastAsia" w:ascii="Calibri" w:hAnsi="Calibri" w:eastAsia="宋体" w:cs="Times New Roman"/>
      <w:lang w:val="en-US" w:eastAsia="zh-Hans"/>
    </w:rPr>
  </w:style>
  <w:style w:type="paragraph" w:customStyle="1" w:styleId="24">
    <w:name w:val="列出段落1"/>
    <w:basedOn w:val="1"/>
    <w:qFormat/>
    <w:uiPriority w:val="99"/>
    <w:pPr>
      <w:ind w:firstLine="420" w:firstLineChars="200"/>
    </w:pPr>
  </w:style>
  <w:style w:type="paragraph" w:customStyle="1" w:styleId="25">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
    <w:name w:val="题注4"/>
    <w:basedOn w:val="1"/>
    <w:next w:val="6"/>
    <w:qFormat/>
    <w:uiPriority w:val="0"/>
    <w:pPr>
      <w:ind w:left="-132" w:leftChars="-64" w:right="-105" w:rightChars="-50" w:hanging="2"/>
      <w:jc w:val="center"/>
    </w:pPr>
    <w:rPr>
      <w:b/>
      <w:color w:val="FF0000"/>
      <w:szCs w:val="21"/>
      <w:lang w:val="en-GB"/>
    </w:rPr>
  </w:style>
  <w:style w:type="paragraph" w:customStyle="1" w:styleId="28">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2025-09-09T01:29:00Z</dcterms:created>
  <dc:creator>Administrator.FY-202506050949.000</dc:creator>
  <cp:lastModifiedBy>Mao</cp:lastModifiedBy>
  <dcterms:modified xsi:type="dcterms:W3CDTF">2025-09-25T07:31:46Z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