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rPr>
          <w:rFonts w:hint="eastAsia" w:ascii="仿宋" w:hAnsi="仿宋" w:eastAsia="仿宋" w:cs="仿宋"/>
          <w:b/>
          <w:color w:val="auto"/>
          <w:sz w:val="72"/>
          <w:szCs w:val="72"/>
          <w:highlight w:val="none"/>
        </w:rPr>
      </w:pPr>
      <w:bookmarkStart w:id="0" w:name="OLE_LINK4"/>
      <w:bookmarkStart w:id="1" w:name="OLE_LINK1"/>
      <w:bookmarkStart w:id="2" w:name="OLE_LINK2"/>
      <w:r>
        <w:rPr>
          <w:rFonts w:hint="eastAsia" w:ascii="仿宋" w:hAnsi="仿宋" w:eastAsia="仿宋" w:cs="仿宋"/>
          <w:b/>
          <w:color w:val="auto"/>
          <w:sz w:val="72"/>
          <w:szCs w:val="72"/>
          <w:highlight w:val="none"/>
        </w:rPr>
        <w:t xml:space="preserve">  </w:t>
      </w: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ZCB-YN-2025053</w:t>
      </w:r>
    </w:p>
    <w:p>
      <w:pPr>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惠州市第一妇幼保健院脉象诊断仪项目</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3"/>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2"/>
        <w:rPr>
          <w:rFonts w:hint="eastAsia"/>
          <w:color w:val="auto"/>
          <w:highlight w:val="none"/>
          <w:lang w:eastAsia="zh-CN"/>
        </w:rPr>
      </w:pPr>
    </w:p>
    <w:p>
      <w:pPr>
        <w:pStyle w:val="11"/>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惠州市第一妇幼保健院脉象诊断仪项目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ZCB-YN-2025053</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惠州市第一妇幼保健院脉象诊断仪项目</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5"/>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64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971"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惠州市第一妇幼保健院脉象诊断仪项目</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66000.00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eastAsia="zh-CN"/>
              </w:rPr>
              <w:t>技术要求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spacing w:line="420" w:lineRule="exact"/>
        <w:ind w:firstLine="504" w:firstLineChars="210"/>
        <w:rPr>
          <w:rFonts w:hint="eastAsia" w:ascii="仿宋" w:hAnsi="仿宋" w:eastAsia="仿宋" w:cs="仿宋"/>
          <w:color w:val="auto"/>
          <w:sz w:val="24"/>
          <w:highlight w:val="none"/>
          <w:lang w:val="zh-CN"/>
        </w:rPr>
      </w:pPr>
    </w:p>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日（08:00-12:00，14:30-17:30，法定节假日除外）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15分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rPr>
      </w:pP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bookmarkStart w:id="38" w:name="_GoBack"/>
      <w:bookmarkEnd w:id="38"/>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7"/>
        <w:rPr>
          <w:rFonts w:hint="eastAsia"/>
          <w:color w:val="auto"/>
          <w:highlight w:val="none"/>
          <w:lang w:val="en-US" w:eastAsia="zh-CN"/>
        </w:rPr>
      </w:pP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1"/>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tabs>
          <w:tab w:val="left" w:pos="0"/>
        </w:tabs>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供应商必须具有良好的商业信誉和健全的财务会计制度。可提供：①202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年至今任意一年经审计的审计报告复印件（包含审计报告中所涉及的财务报表和报表附注）；或②202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年度至今任意一年</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内部的财务报表复印件（新成立公司提供成立至今的月或季度财务报表复印件）；或③截至</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文件递交截止日</w:t>
      </w:r>
      <w:r>
        <w:rPr>
          <w:rFonts w:hint="eastAsia" w:ascii="仿宋" w:hAnsi="仿宋" w:eastAsia="仿宋" w:cs="仿宋"/>
          <w:color w:val="auto"/>
          <w:sz w:val="24"/>
          <w:szCs w:val="24"/>
          <w:highlight w:val="none"/>
          <w:lang w:eastAsia="zh-CN"/>
        </w:rPr>
        <w:t>12个月内银行</w:t>
      </w:r>
      <w:r>
        <w:rPr>
          <w:rFonts w:hint="eastAsia" w:ascii="仿宋" w:hAnsi="仿宋" w:eastAsia="仿宋" w:cs="仿宋"/>
          <w:color w:val="auto"/>
          <w:sz w:val="24"/>
          <w:szCs w:val="24"/>
          <w:highlight w:val="none"/>
        </w:rPr>
        <w:t>出具的资信证明（复印件）；</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b w:val="0"/>
          <w:bCs w:val="0"/>
          <w:color w:val="auto"/>
          <w:sz w:val="24"/>
          <w:highlight w:val="none"/>
          <w:lang w:eastAsia="zh-CN"/>
        </w:rPr>
        <w:t>或书面声明</w:t>
      </w:r>
      <w:r>
        <w:rPr>
          <w:rFonts w:hint="eastAsia" w:ascii="仿宋" w:hAnsi="仿宋" w:eastAsia="仿宋" w:cs="仿宋"/>
          <w:b w:val="0"/>
          <w:bCs w:val="0"/>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val="zh-CN"/>
        </w:rPr>
        <w:t>或者未划分包号的同一采购项目。</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4.为本采购项目提供整体设计、规范编制或者项目管理、监理、检测等服务的供应商，不得再参加本采购项目的采购活动。</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本项目不接受联合体参加比选，不允许响应供应商对各比选项目进行分包或转包</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p>
    <w:p>
      <w:pPr>
        <w:tabs>
          <w:tab w:val="left" w:pos="0"/>
        </w:tabs>
        <w:wordWrap w:val="0"/>
        <w:spacing w:line="360" w:lineRule="auto"/>
        <w:ind w:firstLine="480" w:firstLineChars="200"/>
        <w:jc w:val="left"/>
        <w:rPr>
          <w:rFonts w:hint="eastAsia" w:ascii="仿宋" w:hAnsi="仿宋" w:eastAsia="仿宋" w:cs="仿宋"/>
          <w:b w:val="0"/>
          <w:bCs w:val="0"/>
          <w:strike/>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w:t>
      </w:r>
      <w:r>
        <w:rPr>
          <w:rFonts w:hint="eastAsia" w:ascii="仿宋" w:hAnsi="仿宋" w:eastAsia="仿宋" w:cs="仿宋"/>
          <w:strike w:val="0"/>
          <w:color w:val="auto"/>
          <w:sz w:val="24"/>
          <w:highlight w:val="none"/>
          <w:lang w:eastAsia="zh-CN"/>
        </w:rPr>
        <w:t>不属于</w:t>
      </w:r>
      <w:r>
        <w:rPr>
          <w:rFonts w:hint="eastAsia" w:ascii="仿宋" w:hAnsi="仿宋" w:eastAsia="仿宋" w:cs="仿宋"/>
          <w:strike w:val="0"/>
          <w:color w:val="auto"/>
          <w:sz w:val="24"/>
          <w:highlight w:val="none"/>
        </w:rPr>
        <w:t>专门面向中小企业采购的项目</w:t>
      </w:r>
      <w:r>
        <w:rPr>
          <w:rFonts w:hint="eastAsia" w:ascii="仿宋" w:hAnsi="仿宋" w:eastAsia="仿宋" w:cs="仿宋"/>
          <w:strike w:val="0"/>
          <w:color w:val="auto"/>
          <w:sz w:val="24"/>
          <w:highlight w:val="none"/>
          <w:lang w:eastAsia="zh-CN"/>
        </w:rPr>
        <w:t>，</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分标准所属行业为</w:t>
      </w:r>
      <w:r>
        <w:rPr>
          <w:rFonts w:hint="eastAsia" w:ascii="仿宋" w:hAnsi="仿宋" w:eastAsia="仿宋" w:cs="仿宋"/>
          <w:b w:val="0"/>
          <w:bCs w:val="0"/>
          <w:strike w:val="0"/>
          <w:color w:val="auto"/>
          <w:sz w:val="24"/>
          <w:highlight w:val="none"/>
          <w:lang w:eastAsia="zh-CN"/>
        </w:rPr>
        <w:t>：</w:t>
      </w:r>
      <w:r>
        <w:rPr>
          <w:rFonts w:hint="eastAsia" w:ascii="仿宋" w:hAnsi="仿宋" w:eastAsia="仿宋" w:cs="仿宋"/>
          <w:b w:val="0"/>
          <w:bCs w:val="0"/>
          <w:strike w:val="0"/>
          <w:color w:val="auto"/>
          <w:sz w:val="24"/>
          <w:highlight w:val="none"/>
          <w:lang w:val="en-US" w:eastAsia="zh-CN"/>
        </w:rPr>
        <w:t>工业。</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autoSpaceDE w:val="0"/>
        <w:autoSpaceDN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响应供应商必须满足以上资格要求，如出现对任意一条不满足的，资格性审查将不通过。</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autoSpaceDE w:val="0"/>
        <w:autoSpaceDN w:val="0"/>
        <w:spacing w:line="440" w:lineRule="exact"/>
        <w:ind w:firstLine="482" w:firstLineChars="20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（二）项目概况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根据《2025年中医专项资金使用方案》，</w:t>
      </w:r>
      <w:r>
        <w:rPr>
          <w:rFonts w:hint="eastAsia" w:ascii="仿宋" w:hAnsi="仿宋" w:eastAsia="仿宋" w:cs="仿宋"/>
          <w:color w:val="auto"/>
          <w:sz w:val="24"/>
          <w:highlight w:val="none"/>
          <w:lang w:val="en-US" w:eastAsia="zh-CN"/>
        </w:rPr>
        <w:t>需</w:t>
      </w:r>
      <w:r>
        <w:rPr>
          <w:rFonts w:hint="default" w:ascii="仿宋" w:hAnsi="仿宋" w:eastAsia="仿宋" w:cs="仿宋"/>
          <w:color w:val="auto"/>
          <w:sz w:val="24"/>
          <w:highlight w:val="none"/>
          <w:lang w:val="en-US" w:eastAsia="zh-CN"/>
        </w:rPr>
        <w:t>购置脉象训练仪1</w:t>
      </w:r>
      <w:r>
        <w:rPr>
          <w:rFonts w:hint="eastAsia" w:ascii="仿宋" w:hAnsi="仿宋" w:eastAsia="仿宋" w:cs="仿宋"/>
          <w:color w:val="auto"/>
          <w:sz w:val="24"/>
          <w:highlight w:val="none"/>
          <w:lang w:val="en-US" w:eastAsia="zh-CN"/>
        </w:rPr>
        <w:t>套</w:t>
      </w:r>
      <w:r>
        <w:rPr>
          <w:rFonts w:hint="default" w:ascii="仿宋" w:hAnsi="仿宋" w:eastAsia="仿宋" w:cs="仿宋"/>
          <w:color w:val="auto"/>
          <w:sz w:val="24"/>
          <w:highlight w:val="none"/>
          <w:lang w:val="en-US" w:eastAsia="zh-CN"/>
        </w:rPr>
        <w:t>，拟从医疗服务与保障能力提升（公立医院综合改革）补助资金（惠财社〔2024〕97号）“数字中医示范建设项目”中列支。</w:t>
      </w:r>
    </w:p>
    <w:p>
      <w:pPr>
        <w:numPr>
          <w:ilvl w:val="0"/>
          <w:numId w:val="0"/>
        </w:numPr>
        <w:autoSpaceDE w:val="0"/>
        <w:autoSpaceDN w:val="0"/>
        <w:spacing w:line="360" w:lineRule="auto"/>
        <w:ind w:firstLine="241" w:firstLineChars="1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（三）项目内容及技术参数</w:t>
      </w:r>
    </w:p>
    <w:tbl>
      <w:tblPr>
        <w:tblStyle w:val="15"/>
        <w:tblW w:w="8433" w:type="dxa"/>
        <w:jc w:val="center"/>
        <w:tblLayout w:type="fixed"/>
        <w:tblCellMar>
          <w:top w:w="0" w:type="dxa"/>
          <w:left w:w="0" w:type="dxa"/>
          <w:bottom w:w="0" w:type="dxa"/>
          <w:right w:w="0" w:type="dxa"/>
        </w:tblCellMar>
      </w:tblPr>
      <w:tblGrid>
        <w:gridCol w:w="635"/>
        <w:gridCol w:w="1592"/>
        <w:gridCol w:w="1018"/>
        <w:gridCol w:w="1590"/>
        <w:gridCol w:w="1530"/>
        <w:gridCol w:w="1140"/>
        <w:gridCol w:w="928"/>
      </w:tblGrid>
      <w:tr>
        <w:tblPrEx>
          <w:tblCellMar>
            <w:top w:w="0" w:type="dxa"/>
            <w:left w:w="0" w:type="dxa"/>
            <w:bottom w:w="0" w:type="dxa"/>
            <w:right w:w="0" w:type="dxa"/>
          </w:tblCellMar>
        </w:tblPrEx>
        <w:trPr>
          <w:trHeight w:val="90" w:hRule="atLeast"/>
          <w:jc w:val="center"/>
        </w:trPr>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序号</w:t>
            </w:r>
          </w:p>
        </w:tc>
        <w:tc>
          <w:tcPr>
            <w:tcW w:w="1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设备名称</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数量（套）</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单价最高限价</w:t>
            </w:r>
          </w:p>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（元）</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总价最高限</w:t>
            </w:r>
          </w:p>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价（元）</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整机质保（年）</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是否允许进口</w:t>
            </w:r>
          </w:p>
        </w:tc>
      </w:tr>
      <w:tr>
        <w:tblPrEx>
          <w:tblCellMar>
            <w:top w:w="0" w:type="dxa"/>
            <w:left w:w="0" w:type="dxa"/>
            <w:bottom w:w="0" w:type="dxa"/>
            <w:right w:w="0" w:type="dxa"/>
          </w:tblCellMar>
        </w:tblPrEx>
        <w:trPr>
          <w:trHeight w:val="433"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1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脉象训练仪</w:t>
            </w:r>
          </w:p>
        </w:tc>
        <w:tc>
          <w:tcPr>
            <w:tcW w:w="1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66000.00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66000.00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否</w:t>
            </w:r>
          </w:p>
        </w:tc>
      </w:tr>
    </w:tbl>
    <w:p>
      <w:pPr>
        <w:numPr>
          <w:ilvl w:val="0"/>
          <w:numId w:val="0"/>
        </w:numPr>
        <w:spacing w:line="380" w:lineRule="exact"/>
        <w:jc w:val="both"/>
        <w:rPr>
          <w:rFonts w:hint="eastAsia" w:ascii="仿宋" w:hAnsi="仿宋" w:eastAsia="仿宋" w:cs="仿宋"/>
          <w:b/>
          <w:color w:val="auto"/>
          <w:sz w:val="24"/>
          <w:szCs w:val="24"/>
          <w:highlight w:val="none"/>
          <w:lang w:val="en-US" w:eastAsia="zh-CN"/>
        </w:rPr>
      </w:pP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1.技术参数</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（1）由脉诊平板电脑、模拟手臂和脉象训练台车组成。</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（2）模拟手臂采用真人倒模，具有桡骨茎突、桡侧腕屈肌腱、掌长肌腱明显解剖结构。采用仿真皮肤纹理，内置真实骨骼结构准确，脉象触感真实。</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（3）具有寸关尺3个诊脉部位，可通过触诊桡骨茎突找到关脉，定位脉诊的部位。</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▲（4）每台机器可设定每个脉象寸关尺不同取脉的压力强度，支持一键保存。</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（5）不同取脉力度下，脉象反馈手感不同，可通过浮、中、沉、重沉四种取脉力度感受脉象的区别，支持不同取脉压力下，具有不同颜色提示，供教师直观查看学生学习情况。</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（6）实时检测取脉位置是否准确，并且对取脉位提供感应装置，提示把脉姿势是否准确。</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（7）开机自动进行硬件故障自动检测、排除，使产品性能更加稳定、可靠。</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▲（8）系统采用金属密闭油缸，抗震，抗压，不漏油。</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2.软件参数：</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bookmarkStart w:id="3" w:name="OLE_LINK5"/>
      <w:r>
        <w:rPr>
          <w:rFonts w:hint="eastAsia" w:ascii="仿宋" w:hAnsi="仿宋" w:eastAsia="仿宋" w:cs="仿宋"/>
          <w:b w:val="0"/>
          <w:bCs/>
          <w:color w:val="auto"/>
          <w:sz w:val="24"/>
          <w:szCs w:val="24"/>
          <w:highlight w:val="none"/>
          <w:lang w:val="en-US" w:eastAsia="zh-CN"/>
        </w:rPr>
        <w:t>▲（1</w:t>
      </w:r>
      <w:bookmarkStart w:id="4" w:name="OLE_LINK3"/>
      <w:r>
        <w:rPr>
          <w:rFonts w:hint="eastAsia" w:ascii="仿宋" w:hAnsi="仿宋" w:eastAsia="仿宋" w:cs="仿宋"/>
          <w:b w:val="0"/>
          <w:bCs/>
          <w:color w:val="auto"/>
          <w:sz w:val="24"/>
          <w:szCs w:val="24"/>
          <w:highlight w:val="none"/>
          <w:lang w:val="en-US" w:eastAsia="zh-CN"/>
        </w:rPr>
        <w:t>）</w:t>
      </w:r>
      <w:bookmarkStart w:id="5" w:name="OLE_LINK9"/>
      <w:r>
        <w:rPr>
          <w:rFonts w:hint="eastAsia" w:ascii="仿宋" w:hAnsi="仿宋" w:eastAsia="仿宋" w:cs="仿宋"/>
          <w:b w:val="0"/>
          <w:bCs/>
          <w:color w:val="auto"/>
          <w:sz w:val="24"/>
          <w:szCs w:val="24"/>
          <w:highlight w:val="none"/>
          <w:lang w:val="en-US" w:eastAsia="zh-CN"/>
        </w:rPr>
        <w:t>预置≥44种常见脉象。</w:t>
      </w:r>
    </w:p>
    <w:bookmarkEnd w:id="4"/>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其中基础脉象分类及具体类型如下：</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浮脉类6种：浮脉、洪脉、濡脉、散脉、芤脉、革脉。</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沉脉类3种：沉脉、伏脉、牢脉；</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迟脉类4种：迟脉、缓脉、涩脉、结脉；</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数脉类4种：数脉、促脉、疾脉、动脉；</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虚脉类6种：虚脉、微脉、细脉、代脉、弱脉、短脉；</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实脉类5种：实脉、滑脉、紧脉、长脉、弦脉；</w:t>
      </w:r>
    </w:p>
    <w:bookmarkEnd w:id="5"/>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bookmarkStart w:id="6" w:name="OLE_LINK10"/>
      <w:r>
        <w:rPr>
          <w:rFonts w:hint="eastAsia" w:ascii="仿宋" w:hAnsi="仿宋" w:eastAsia="仿宋" w:cs="仿宋"/>
          <w:bCs/>
          <w:color w:val="auto"/>
          <w:sz w:val="24"/>
          <w:szCs w:val="24"/>
          <w:highlight w:val="none"/>
        </w:rPr>
        <w:t>（注：上述28种脉象为核心基础需求，剩余≥16种常见脉象需覆盖中医临床高频脉象类型，具体可由供应商结合行业标准与教学需求补充。）</w:t>
      </w:r>
    </w:p>
    <w:bookmarkEnd w:id="3"/>
    <w:bookmarkEnd w:id="6"/>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（2）每台设备有管理员模式、考试模式、训练模式。</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（3）管理员模式由试卷管理系统、学生管理系统、数据库管理系统组成。</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（4）试卷管理系统可以出题，编辑试卷，删除试卷，保存试卷。</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（5）学生管理系统统计学生信息及考试成绩管理，考试成绩查询。</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（6）数据库管理系统备份，删除，恢复试卷及学生信息，学生成绩等数据。</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（7）考试模式从试卷系统中指定一套试卷进行考试，仿真手臂模拟脉搏跳动，学生从四个选项中选择正确答案，考试完毕自动评分，考试结果自动录入数据库。</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（8）训练模式下任意选择预置的46种脉象，屏幕显示脉搏波形、取脉压力、相关文字说明以及脉长图、脉宽图和趋势图，同时仿真手臂同步跳动模拟脉搏波。</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（9）采用高仿真手臂，内置桡骨茎突等明显的骨性标识，并且对取脉位提供感应装置，提示把脉姿势是否准确。</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3.拓展模块功能：</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3D脉诊虚拟实训系统包含脉学形成与发展、脉象形成机理、切脉方法、脉象八要素、常见脉象及临床意义、考核训练六大模块。</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（1）支持脉学形成与发展，从中医文化相关的背景，展现脉诊悠久的历史底蕴。以视频动画的形式进行展现，生动形象的展示脉学的发展与形成。</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▲（2）支持3D场景及3D模型人，用动画形式展示脉象形成机理，帮助学生生动形象的展示脉象的形成和人体器官的关系。</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（3）模拟真实脉诊情境，运用视频、图片、3D动画等形式展现脉诊。</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（4）支持脉诊体位调整，在3D场景中，对脉诊体位正确姿势进行展示。</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（5）支持脉诊不同指法的知识介绍，利用3D场景及3D模型人，按照正确的动作，以动画形式进行展示。</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（6）支持脉象八要素的知识介绍，脉象八要素大致可归纳为脉位、至数、长度、力度、宽度、流利度、紧张度、均匀度等八个方面。</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▲（7）利用3D场景及3D模型人，采用3D手臂模型，用切面图+动画展示，展示八个要素的不同状态。</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（8）28种基础人体常见脉象，还原脉搏的解剖位置及搏动变化。</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▲（9）支持常见脉象及临床意义，从正常脉象、浮类脉、沉类脉、迟类脉、数类脉、虚类脉和实类脉。显示各自包含脉象种类。显示每个脉呈现的脉象特征、临床意义及脉图。</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4.配置清单：</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（1）pad平板电脑    1个</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（Pad平板电脑硬件配置：</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①液晶显示器分辨率≥1920×1080，显示尺寸：≥11寸。</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②操作系统Windows10及以上。</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③计算机配置：</w:t>
      </w:r>
      <w:r>
        <w:rPr>
          <w:rFonts w:hint="eastAsia" w:ascii="仿宋" w:hAnsi="仿宋" w:eastAsia="仿宋" w:cs="仿宋"/>
          <w:bCs/>
          <w:color w:val="auto"/>
          <w:sz w:val="24"/>
          <w:highlight w:val="none"/>
          <w:lang w:eastAsia="zh-CN"/>
        </w:rPr>
        <w:t>Intel I3处理器或其他品牌同级别以上处理器</w:t>
      </w:r>
      <w:r>
        <w:rPr>
          <w:rFonts w:hint="eastAsia" w:ascii="仿宋" w:hAnsi="仿宋" w:eastAsia="仿宋" w:cs="仿宋"/>
          <w:b w:val="0"/>
          <w:bCs/>
          <w:color w:val="auto"/>
          <w:sz w:val="24"/>
          <w:szCs w:val="24"/>
          <w:highlight w:val="none"/>
          <w:lang w:val="en-US" w:eastAsia="zh-CN"/>
        </w:rPr>
        <w:t>、8G内存、硬盘256G以上。）</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（2）平板电脑支架   1个</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（3）脉枕           1个</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（4）系统台车       1个</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（5）仿真手臂       1个</w:t>
      </w:r>
    </w:p>
    <w:p>
      <w:pPr>
        <w:numPr>
          <w:ilvl w:val="0"/>
          <w:numId w:val="0"/>
        </w:numPr>
        <w:spacing w:line="360" w:lineRule="auto"/>
        <w:ind w:firstLine="240" w:firstLineChars="1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（6）电源线         1个</w:t>
      </w:r>
    </w:p>
    <w:p>
      <w:pPr>
        <w:numPr>
          <w:ilvl w:val="0"/>
          <w:numId w:val="0"/>
        </w:numPr>
        <w:spacing w:line="360" w:lineRule="auto"/>
        <w:ind w:firstLine="241" w:firstLineChars="100"/>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（四）商务要求</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1.供货要求</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交货期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合同签订之日起</w:t>
      </w:r>
      <w:r>
        <w:rPr>
          <w:rFonts w:hint="eastAsia" w:ascii="仿宋" w:hAnsi="仿宋" w:eastAsia="仿宋" w:cs="仿宋"/>
          <w:color w:val="auto"/>
          <w:sz w:val="24"/>
          <w:highlight w:val="none"/>
          <w:lang w:val="en-US" w:eastAsia="zh-CN"/>
        </w:rPr>
        <w:t>30日</w:t>
      </w:r>
      <w:r>
        <w:rPr>
          <w:rFonts w:hint="eastAsia" w:ascii="仿宋" w:hAnsi="仿宋" w:eastAsia="仿宋" w:cs="仿宋"/>
          <w:color w:val="auto"/>
          <w:sz w:val="24"/>
          <w:highlight w:val="none"/>
        </w:rPr>
        <w:t>内完成设备的供货、安装与调试，并完成对</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相关人员的操作与使用培训</w:t>
      </w:r>
      <w:r>
        <w:rPr>
          <w:rFonts w:hint="eastAsia" w:ascii="仿宋" w:hAnsi="仿宋" w:eastAsia="仿宋" w:cs="仿宋"/>
          <w:color w:val="auto"/>
          <w:sz w:val="24"/>
          <w:highlight w:val="none"/>
          <w:lang w:eastAsia="zh-CN"/>
        </w:rPr>
        <w:t>。</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（2）交货</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eastAsia="zh-CN"/>
        </w:rPr>
        <w:t>惠州市第一妇幼保健院</w:t>
      </w:r>
      <w:r>
        <w:rPr>
          <w:rFonts w:hint="eastAsia" w:ascii="仿宋" w:hAnsi="仿宋" w:eastAsia="仿宋" w:cs="仿宋"/>
          <w:color w:val="auto"/>
          <w:sz w:val="24"/>
          <w:highlight w:val="none"/>
        </w:rPr>
        <w:t>指定地点。</w:t>
      </w:r>
    </w:p>
    <w:p>
      <w:pPr>
        <w:tabs>
          <w:tab w:val="left" w:pos="540"/>
        </w:tabs>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2.报价方式及要求</w:t>
      </w:r>
    </w:p>
    <w:p>
      <w:pPr>
        <w:spacing w:line="360" w:lineRule="auto"/>
        <w:ind w:firstLine="504" w:firstLineChars="21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响应供应商需提供总报价及单价报价，报价应包括运送到指定地点并完成调试安装交付正常使用的所有费用。包含包装费、仓储费、运输费、保险费、装卸费、随机零配件、标配工具、安装调试费、培训费、保修服务费、商检费、税费、设备以及项目实施过程中的应预见或不可预见费用。货物报价不得高于单价最高限价或总价最高限价，否则按响应无效处理。</w:t>
      </w:r>
    </w:p>
    <w:p>
      <w:pPr>
        <w:spacing w:line="360" w:lineRule="auto"/>
        <w:ind w:firstLine="504" w:firstLineChars="21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响应供应商报价明显低于通过符合性审查的其他响应供应商报价或报价低于市场成本价的，响应供应商的响应文件应提供书面说明和成本清单或成本发票或销售发票等相关证明材料，供评审小组评审，若评审小组评审此材料影响服务质量或者不能诚信履约的（少数服从多数原则），按响应无效处理。</w:t>
      </w:r>
    </w:p>
    <w:p>
      <w:pPr>
        <w:tabs>
          <w:tab w:val="left" w:pos="54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付款期限及方式</w:t>
      </w:r>
    </w:p>
    <w:p>
      <w:pPr>
        <w:spacing w:line="360" w:lineRule="auto"/>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）设备验收合格当天计算1个月内，支付合同总额的100%。</w:t>
      </w:r>
    </w:p>
    <w:p>
      <w:pPr>
        <w:spacing w:line="360" w:lineRule="auto"/>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）采购人通过银行转账的方式支付,且供应商应向采购人出具合法有效完整的完税发票及凭证进行支付结算。</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）该合同款项（部分）由财政拨付，如非因采购人原因，而是因财政资金没有及时拨付到位而导致延期支付的，成交供应商对此予以谅解，不予追究采购人任何违约责任。</w:t>
      </w:r>
    </w:p>
    <w:p>
      <w:pPr>
        <w:spacing w:line="360" w:lineRule="auto"/>
        <w:ind w:left="0" w:leftChars="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质量保证</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（1）所投产品应是在中国范围内合法销售，原装、全新、并完全符合采购人要求的产品，不得采用淘汰产品。</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（2）对于影响货物正常使用的必要组成部分，无论在技术规范中指出与否，供应商都应在响应文件中明确列出。</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因货物的质量问题而发生争议，由省级或以上质量监督检验中心进行质量鉴定。货物符合质量标准的，鉴定费用由采购人承担；货物不符合质量标准的，鉴定费用由供应商承担，由此对采购人造成的损失，供应商应双倍赔偿。</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质保期及售后服务要求</w:t>
      </w:r>
    </w:p>
    <w:p>
      <w:pPr>
        <w:spacing w:line="360" w:lineRule="auto"/>
        <w:ind w:firstLine="504" w:firstLineChars="21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（1）质保期：质保期≥1年。</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质保期内非采购人的人为原因而出现产品质量及安装问题，由</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负责包修、包换包退、包维护保养，并承担因此而产生的一切费用。</w:t>
      </w:r>
      <w:r>
        <w:rPr>
          <w:rFonts w:hint="eastAsia" w:ascii="仿宋" w:hAnsi="仿宋" w:eastAsia="仿宋" w:cs="仿宋"/>
          <w:color w:val="auto"/>
          <w:kern w:val="0"/>
          <w:sz w:val="24"/>
          <w:szCs w:val="24"/>
          <w:lang w:val="en-US" w:eastAsia="zh-CN" w:bidi="ar-SA"/>
        </w:rPr>
        <w:t>质保期内至少提供一年两次的上门维保服务，并提供维保报告。成交供应商负责</w:t>
      </w:r>
      <w:r>
        <w:rPr>
          <w:rFonts w:hint="eastAsia" w:ascii="仿宋" w:hAnsi="仿宋" w:eastAsia="仿宋" w:cs="仿宋"/>
          <w:color w:val="auto"/>
          <w:sz w:val="24"/>
          <w:highlight w:val="none"/>
        </w:rPr>
        <w:t>终身维修，质保期过后维修时不收取维修费，只收取零件成本费用。（不得高于同期市场价格）</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质保期内，如设备或零部件因非人为因素出现故障而造成短期停用时，则质保期和维修期相应顺延。如接采购人故障通知后停用时间累计超过60天则质保期重新计算。</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对采购人的服务通知，</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接报后2小时内做出回应,并在48小时内派人员到达用户现场实施维修并排除故障。若在48小时内仍未能有效解决，</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须提供同</w:t>
      </w:r>
      <w:r>
        <w:rPr>
          <w:rFonts w:hint="eastAsia" w:ascii="仿宋" w:hAnsi="仿宋" w:eastAsia="仿宋" w:cs="仿宋"/>
          <w:color w:val="auto"/>
          <w:sz w:val="24"/>
          <w:highlight w:val="none"/>
          <w:lang w:eastAsia="zh-CN"/>
        </w:rPr>
        <w:t>类型</w:t>
      </w:r>
      <w:r>
        <w:rPr>
          <w:rFonts w:hint="eastAsia" w:ascii="仿宋" w:hAnsi="仿宋" w:eastAsia="仿宋" w:cs="仿宋"/>
          <w:color w:val="auto"/>
          <w:sz w:val="24"/>
          <w:highlight w:val="none"/>
        </w:rPr>
        <w:t>的设备予采购人临时使用。</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产品交付使用后，质保期内上门保修。</w:t>
      </w:r>
    </w:p>
    <w:p>
      <w:pPr>
        <w:spacing w:line="360" w:lineRule="auto"/>
        <w:ind w:firstLine="504" w:firstLineChars="21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保期内，供应商负责对其提供的产品进行定期保养和维修等服务，不再向采购人收取费用，但人为因素、自然因素（如火灾、雷击等）造成的损坏除外。质保期结束后，供应商仍应负责对货物提供维修服务或对服务提供咨询服务，只收取配件成本或服务成本。</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6.安装与验收</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（1）采购人和供应商应共同对设备的包装、外观、品牌、规格型号、数量进行验收。如在开箱检验中发现设备有缺陷或与采购合同中不相符的情形，供应商应在7日内无条件更换，并承担由此造成的一切损失。</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（2）供应商应派相应工程师到现场安装、调试设备，必要时对相关人员进行培训。</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7.其他要求</w:t>
      </w:r>
    </w:p>
    <w:p>
      <w:pPr>
        <w:spacing w:line="360" w:lineRule="auto"/>
        <w:ind w:firstLine="504" w:firstLineChars="21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（1）经验要求：</w:t>
      </w:r>
      <w:r>
        <w:rPr>
          <w:rFonts w:hint="eastAsia" w:ascii="仿宋" w:hAnsi="仿宋" w:eastAsia="仿宋" w:cs="仿宋"/>
          <w:color w:val="auto"/>
          <w:sz w:val="24"/>
          <w:highlight w:val="none"/>
          <w:lang w:eastAsia="zh-CN"/>
        </w:rPr>
        <w:t>供应商应提供2022年1月1日至今</w:t>
      </w:r>
      <w:r>
        <w:rPr>
          <w:rFonts w:hint="eastAsia" w:ascii="仿宋" w:hAnsi="仿宋" w:eastAsia="仿宋" w:cs="仿宋"/>
          <w:color w:val="auto"/>
          <w:sz w:val="24"/>
          <w:highlight w:val="none"/>
          <w:lang w:val="en-US" w:eastAsia="zh-CN"/>
        </w:rPr>
        <w:t>同类型项目业绩。</w:t>
      </w:r>
    </w:p>
    <w:p>
      <w:pPr>
        <w:spacing w:line="360" w:lineRule="auto"/>
        <w:ind w:firstLine="504" w:firstLineChars="21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（2）供应商应提供质量保证措施方案，包括但不限于：质量保障措施、质量保障承诺、保障措施资源配置等内容。</w:t>
      </w:r>
    </w:p>
    <w:p>
      <w:pPr>
        <w:spacing w:line="360" w:lineRule="auto"/>
        <w:ind w:firstLine="504" w:firstLineChars="21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（3）供应商应提供项目组织实施方案，包括但不限于：实施方案、供货安装进度安排、组织情况、项目实施计划等内容。</w:t>
      </w:r>
    </w:p>
    <w:p>
      <w:pPr>
        <w:spacing w:line="360" w:lineRule="auto"/>
        <w:ind w:firstLine="504" w:firstLineChars="21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（4）供应商应提供完善的培训方案，能够为采购人提供专业的培训。</w:t>
      </w:r>
    </w:p>
    <w:p>
      <w:pPr>
        <w:spacing w:line="360" w:lineRule="auto"/>
        <w:ind w:firstLine="504" w:firstLineChars="21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（5）供应商应提供售后服务内容，包括但不限于质保期、维护保养方案、服务响应时效、安排的合理性等。</w:t>
      </w:r>
    </w:p>
    <w:p>
      <w:pPr>
        <w:spacing w:line="360" w:lineRule="auto"/>
        <w:ind w:firstLine="504" w:firstLineChars="210"/>
        <w:jc w:val="center"/>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lang w:val="en-US" w:eastAsia="zh-CN"/>
        </w:rPr>
        <w:br w:type="page"/>
      </w:r>
      <w:r>
        <w:rPr>
          <w:rFonts w:hint="eastAsia" w:ascii="仿宋" w:hAnsi="仿宋" w:eastAsia="仿宋" w:cs="仿宋"/>
          <w:b/>
          <w:color w:val="auto"/>
          <w:sz w:val="28"/>
          <w:szCs w:val="28"/>
          <w:highlight w:val="none"/>
        </w:rPr>
        <w:t>第三部分  响应供应商须知</w:t>
      </w:r>
    </w:p>
    <w:p>
      <w:pPr>
        <w:pStyle w:val="8"/>
        <w:adjustRightInd w:val="0"/>
        <w:snapToGrid w:val="0"/>
        <w:spacing w:line="380" w:lineRule="exact"/>
        <w:rPr>
          <w:rFonts w:hint="eastAsia" w:ascii="仿宋" w:hAnsi="仿宋" w:eastAsia="仿宋" w:cs="仿宋"/>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是采购活动当事人之一，负责项目的整体规划、技术方案可行性设计论证与实施，作为合同采购方（用户）的主体承担质疑回复、履行合同、验收与评价等义务。</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8"/>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w:t>
      </w:r>
      <w:r>
        <w:rPr>
          <w:rFonts w:hint="eastAsia" w:ascii="仿宋" w:hAnsi="仿宋" w:eastAsia="仿宋" w:cs="仿宋"/>
          <w:snapToGrid w:val="0"/>
          <w:color w:val="auto"/>
          <w:kern w:val="0"/>
          <w:sz w:val="24"/>
          <w:szCs w:val="24"/>
          <w:highlight w:val="none"/>
          <w:lang w:eastAsia="zh-CN"/>
        </w:rPr>
        <w:t>中华人民共和国政府采购法</w:t>
      </w:r>
      <w:r>
        <w:rPr>
          <w:rFonts w:hint="eastAsia" w:ascii="仿宋" w:hAnsi="仿宋" w:eastAsia="仿宋" w:cs="仿宋"/>
          <w:snapToGrid w:val="0"/>
          <w:color w:val="auto"/>
          <w:kern w:val="0"/>
          <w:sz w:val="24"/>
          <w:szCs w:val="24"/>
          <w:highlight w:val="none"/>
        </w:rPr>
        <w:t>》第二十二条规定的供应商。</w:t>
      </w:r>
    </w:p>
    <w:p>
      <w:pPr>
        <w:pStyle w:val="8"/>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8"/>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8"/>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8"/>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8"/>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8"/>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8"/>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8"/>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8"/>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8"/>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8"/>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时，提供由省级以上监狱管理局、戒毒管理局(含新疆生产建设兵团)出具的属于监狱企业的证明文件，不再提供《中小企业声明函》。</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w:t>
      </w:r>
      <w:bookmarkStart w:id="7" w:name="_Toc14923_WPSOffice_Level1"/>
      <w:r>
        <w:rPr>
          <w:rFonts w:hint="eastAsia" w:ascii="仿宋" w:hAnsi="仿宋" w:eastAsia="仿宋" w:cs="仿宋"/>
          <w:b w:val="0"/>
          <w:bCs/>
          <w:color w:val="auto"/>
          <w:sz w:val="24"/>
          <w:szCs w:val="24"/>
          <w:highlight w:val="none"/>
        </w:rPr>
        <w:t>同小型、微型</w:t>
      </w:r>
      <w:bookmarkEnd w:id="7"/>
      <w:r>
        <w:rPr>
          <w:rFonts w:hint="eastAsia" w:ascii="仿宋" w:hAnsi="仿宋" w:eastAsia="仿宋" w:cs="仿宋"/>
          <w:b w:val="0"/>
          <w:bCs/>
          <w:color w:val="auto"/>
          <w:sz w:val="24"/>
          <w:szCs w:val="24"/>
          <w:highlight w:val="none"/>
        </w:rPr>
        <w:t>企业，享受评审中价格扣除。</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8"/>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8"/>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8"/>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8"/>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8"/>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者，须履行本项目下保密义务，不得将因本次项目获得的信息向第三人外传，不得将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8"/>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8"/>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8"/>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8"/>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8"/>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8"/>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8"/>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8"/>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8"/>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8"/>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8"/>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auto"/>
          <w:sz w:val="24"/>
          <w:szCs w:val="24"/>
          <w:highlight w:val="none"/>
          <w:lang w:eastAsia="zh-CN"/>
        </w:rPr>
        <w:t>招采</w:t>
      </w:r>
      <w:r>
        <w:rPr>
          <w:rFonts w:hint="eastAsia" w:ascii="仿宋" w:hAnsi="仿宋" w:eastAsia="仿宋" w:cs="仿宋"/>
          <w:color w:val="auto"/>
          <w:sz w:val="24"/>
          <w:szCs w:val="24"/>
          <w:highlight w:val="none"/>
          <w:lang w:val="en-US" w:eastAsia="zh-CN"/>
        </w:rPr>
        <w:t>部门</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8"/>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8"/>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8"/>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8"/>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8"/>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8"/>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8"/>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8"/>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8"/>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8"/>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8"/>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8"/>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8"/>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8"/>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8"/>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8"/>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8"/>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8"/>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8"/>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8"/>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8"/>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8"/>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8"/>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8"/>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8"/>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8"/>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8"/>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8"/>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8"/>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8"/>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8"/>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8"/>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8"/>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8"/>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8"/>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8"/>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8"/>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8"/>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8"/>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8"/>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8"/>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8"/>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8"/>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（一）评审方法</w:t>
      </w:r>
    </w:p>
    <w:p>
      <w:pPr>
        <w:pStyle w:val="8"/>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。评审小组依据响应证明文件从商务评审、技术评审、价格评审等方面按公正、科学、客观、平等竞争的要求进行综合评审,按评审综合得分由高到低确定成交供应商。</w:t>
      </w:r>
    </w:p>
    <w:p>
      <w:pPr>
        <w:pStyle w:val="8"/>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(二)评审步骤</w:t>
      </w:r>
    </w:p>
    <w:p>
      <w:pPr>
        <w:pStyle w:val="8"/>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宣读评审纪律</w:t>
      </w:r>
    </w:p>
    <w:p>
      <w:pPr>
        <w:pStyle w:val="8"/>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8"/>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响应文件的资格性、符合性审查</w:t>
      </w:r>
    </w:p>
    <w:p>
      <w:pPr>
        <w:pStyle w:val="8"/>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8"/>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8"/>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5"/>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spacing w:line="380" w:lineRule="exact"/>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spacing w:line="380" w:lineRule="exact"/>
              <w:ind w:left="-171"/>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spacing w:line="380" w:lineRule="exact"/>
              <w:ind w:left="40" w:leftChars="19"/>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供应商必须具有良好的商业信誉和健全的财务会计制度。可提供：①202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年至今任意一年经审计的审计报告复印件（包含审计报告中所涉及的财务报表和报表附注）；或②202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本项目不属于专门面向中小企业采购的项目，本项目中小企业划分标准所属行业为：工业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ind w:left="40" w:leftChars="19"/>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pPr>
              <w:tabs>
                <w:tab w:val="left" w:pos="2880"/>
              </w:tabs>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8"/>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8"/>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8"/>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8"/>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8"/>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5"/>
        <w:tblW w:w="8729" w:type="dxa"/>
        <w:tblInd w:w="0" w:type="dxa"/>
        <w:tblLayout w:type="fixed"/>
        <w:tblCellMar>
          <w:top w:w="0" w:type="dxa"/>
          <w:left w:w="108" w:type="dxa"/>
          <w:bottom w:w="0" w:type="dxa"/>
          <w:right w:w="108" w:type="dxa"/>
        </w:tblCellMar>
      </w:tblPr>
      <w:tblGrid>
        <w:gridCol w:w="750"/>
        <w:gridCol w:w="1224"/>
        <w:gridCol w:w="1284"/>
        <w:gridCol w:w="547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对用户服务需求</w:t>
            </w:r>
            <w:r>
              <w:rPr>
                <w:rFonts w:hint="eastAsia" w:ascii="仿宋" w:hAnsi="仿宋" w:eastAsia="仿宋" w:cs="仿宋"/>
                <w:color w:val="auto"/>
                <w:kern w:val="0"/>
                <w:sz w:val="24"/>
                <w:szCs w:val="24"/>
                <w:highlight w:val="none"/>
                <w:lang w:eastAsia="zh-CN"/>
              </w:rPr>
              <w:t>中</w:t>
            </w:r>
            <w:r>
              <w:rPr>
                <w:rFonts w:hint="eastAsia" w:ascii="仿宋" w:hAnsi="仿宋" w:eastAsia="仿宋" w:cs="仿宋"/>
                <w:color w:val="auto"/>
                <w:kern w:val="0"/>
                <w:sz w:val="24"/>
                <w:szCs w:val="24"/>
                <w:highlight w:val="none"/>
              </w:rPr>
              <w:t>带▲号的响应程度</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所投产品参数全部满足用户需求书中带▲的重要技术参数的，得</w:t>
            </w:r>
            <w:r>
              <w:rPr>
                <w:rFonts w:hint="eastAsia" w:ascii="仿宋" w:hAnsi="仿宋" w:eastAsia="仿宋" w:cs="仿宋"/>
                <w:color w:val="auto"/>
                <w:kern w:val="0"/>
                <w:sz w:val="24"/>
                <w:szCs w:val="24"/>
                <w:highlight w:val="none"/>
                <w:lang w:val="en-US" w:eastAsia="zh-CN"/>
              </w:rPr>
              <w:t>18</w:t>
            </w:r>
            <w:r>
              <w:rPr>
                <w:rFonts w:hint="eastAsia" w:ascii="仿宋" w:hAnsi="仿宋" w:eastAsia="仿宋" w:cs="仿宋"/>
                <w:color w:val="auto"/>
                <w:kern w:val="0"/>
                <w:sz w:val="24"/>
                <w:szCs w:val="24"/>
                <w:highlight w:val="none"/>
              </w:rPr>
              <w:t>分；一项不满足得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分；两项不满足得</w:t>
            </w:r>
            <w:r>
              <w:rPr>
                <w:rFonts w:hint="eastAsia" w:ascii="仿宋" w:hAnsi="仿宋" w:eastAsia="仿宋" w:cs="仿宋"/>
                <w:color w:val="auto"/>
                <w:kern w:val="0"/>
                <w:sz w:val="24"/>
                <w:szCs w:val="24"/>
                <w:highlight w:val="none"/>
                <w:lang w:val="en-US" w:eastAsia="zh-CN"/>
              </w:rPr>
              <w:t>12</w:t>
            </w:r>
            <w:r>
              <w:rPr>
                <w:rFonts w:hint="eastAsia" w:ascii="仿宋" w:hAnsi="仿宋" w:eastAsia="仿宋" w:cs="仿宋"/>
                <w:color w:val="auto"/>
                <w:kern w:val="0"/>
                <w:sz w:val="24"/>
                <w:szCs w:val="24"/>
                <w:highlight w:val="none"/>
              </w:rPr>
              <w:t>分；如此类推，每不满足一项带▲的重要技术参数的得分减少3分，当达到</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项或以上时，视为严重偏离本项不得分。</w:t>
            </w:r>
          </w:p>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注：①技术条款中要求提供证明资料的，则响应文件中应提供对应条款的证明资料，未提供不得分；②未要求提供证明资料的以响应供应商填写的技术/服务要求响应表为准。</w:t>
            </w:r>
          </w:p>
        </w:tc>
      </w:tr>
      <w:tr>
        <w:tblPrEx>
          <w:tblCellMar>
            <w:top w:w="0" w:type="dxa"/>
            <w:left w:w="108" w:type="dxa"/>
            <w:bottom w:w="0" w:type="dxa"/>
            <w:right w:w="108" w:type="dxa"/>
          </w:tblCellMar>
        </w:tblPrEx>
        <w:trPr>
          <w:trHeight w:val="36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对用户服务需求不带▲号的响应程度 </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根据各</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rPr>
              <w:t>所提供的服务是否满足用户需求</w:t>
            </w:r>
            <w:r>
              <w:rPr>
                <w:rFonts w:hint="eastAsia" w:ascii="仿宋" w:hAnsi="仿宋" w:eastAsia="仿宋" w:cs="仿宋"/>
                <w:color w:val="auto"/>
                <w:kern w:val="0"/>
                <w:sz w:val="24"/>
                <w:szCs w:val="24"/>
                <w:highlight w:val="none"/>
                <w:lang w:eastAsia="zh-CN"/>
              </w:rPr>
              <w:t>书</w:t>
            </w:r>
            <w:r>
              <w:rPr>
                <w:rFonts w:hint="eastAsia" w:ascii="仿宋" w:hAnsi="仿宋" w:eastAsia="仿宋" w:cs="仿宋"/>
                <w:color w:val="auto"/>
                <w:kern w:val="0"/>
                <w:sz w:val="24"/>
                <w:szCs w:val="24"/>
                <w:highlight w:val="none"/>
              </w:rPr>
              <w:t>响应程度进行评分：</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完全满足</w:t>
            </w:r>
            <w:r>
              <w:rPr>
                <w:rFonts w:hint="eastAsia" w:ascii="仿宋" w:hAnsi="仿宋" w:eastAsia="仿宋" w:cs="仿宋"/>
                <w:color w:val="auto"/>
                <w:kern w:val="0"/>
                <w:sz w:val="24"/>
                <w:szCs w:val="24"/>
                <w:highlight w:val="none"/>
              </w:rPr>
              <w:t>不带▲号的一般技术参数，得</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 xml:space="preserve">分； </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有一项不带▲号条款负偏离，得</w:t>
            </w:r>
            <w:r>
              <w:rPr>
                <w:rFonts w:hint="eastAsia" w:ascii="仿宋" w:hAnsi="仿宋" w:eastAsia="仿宋" w:cs="仿宋"/>
                <w:color w:val="auto"/>
                <w:kern w:val="0"/>
                <w:sz w:val="24"/>
                <w:szCs w:val="24"/>
                <w:highlight w:val="none"/>
                <w:lang w:val="en-US" w:eastAsia="zh-CN"/>
              </w:rPr>
              <w:t>19</w:t>
            </w:r>
            <w:r>
              <w:rPr>
                <w:rFonts w:hint="eastAsia" w:ascii="仿宋" w:hAnsi="仿宋" w:eastAsia="仿宋" w:cs="仿宋"/>
                <w:color w:val="auto"/>
                <w:kern w:val="0"/>
                <w:sz w:val="24"/>
                <w:szCs w:val="24"/>
                <w:highlight w:val="none"/>
              </w:rPr>
              <w:t xml:space="preserve">分； </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有二项不带▲号条款负偏离，得</w:t>
            </w:r>
            <w:r>
              <w:rPr>
                <w:rFonts w:hint="eastAsia" w:ascii="仿宋" w:hAnsi="仿宋" w:eastAsia="仿宋" w:cs="仿宋"/>
                <w:color w:val="auto"/>
                <w:kern w:val="0"/>
                <w:sz w:val="24"/>
                <w:szCs w:val="24"/>
                <w:highlight w:val="none"/>
                <w:lang w:val="en-US" w:eastAsia="zh-CN"/>
              </w:rPr>
              <w:t>18</w:t>
            </w:r>
            <w:r>
              <w:rPr>
                <w:rFonts w:hint="eastAsia" w:ascii="仿宋" w:hAnsi="仿宋" w:eastAsia="仿宋" w:cs="仿宋"/>
                <w:color w:val="auto"/>
                <w:kern w:val="0"/>
                <w:sz w:val="24"/>
                <w:szCs w:val="24"/>
                <w:highlight w:val="none"/>
              </w:rPr>
              <w:t xml:space="preserve">分； </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有三项不带▲号条款负偏离，得</w:t>
            </w:r>
            <w:r>
              <w:rPr>
                <w:rFonts w:hint="eastAsia" w:ascii="仿宋" w:hAnsi="仿宋" w:eastAsia="仿宋" w:cs="仿宋"/>
                <w:color w:val="auto"/>
                <w:kern w:val="0"/>
                <w:sz w:val="24"/>
                <w:szCs w:val="24"/>
                <w:highlight w:val="none"/>
                <w:lang w:val="en-US" w:eastAsia="zh-CN"/>
              </w:rPr>
              <w:t>17</w:t>
            </w:r>
            <w:r>
              <w:rPr>
                <w:rFonts w:hint="eastAsia" w:ascii="仿宋" w:hAnsi="仿宋" w:eastAsia="仿宋" w:cs="仿宋"/>
                <w:color w:val="auto"/>
                <w:kern w:val="0"/>
                <w:sz w:val="24"/>
                <w:szCs w:val="24"/>
                <w:highlight w:val="none"/>
              </w:rPr>
              <w:t xml:space="preserve">分； </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有四项不带▲号条款负偏离，得</w:t>
            </w:r>
            <w:r>
              <w:rPr>
                <w:rFonts w:hint="eastAsia" w:ascii="仿宋" w:hAnsi="仿宋" w:eastAsia="仿宋" w:cs="仿宋"/>
                <w:color w:val="auto"/>
                <w:kern w:val="0"/>
                <w:sz w:val="24"/>
                <w:szCs w:val="24"/>
                <w:highlight w:val="none"/>
                <w:lang w:val="en-US" w:eastAsia="zh-CN"/>
              </w:rPr>
              <w:t>16</w:t>
            </w:r>
            <w:r>
              <w:rPr>
                <w:rFonts w:hint="eastAsia" w:ascii="仿宋" w:hAnsi="仿宋" w:eastAsia="仿宋" w:cs="仿宋"/>
                <w:color w:val="auto"/>
                <w:kern w:val="0"/>
                <w:sz w:val="24"/>
                <w:szCs w:val="24"/>
                <w:highlight w:val="none"/>
              </w:rPr>
              <w:t xml:space="preserve">分； </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有五项不带▲号条款负偏离，得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 xml:space="preserve">分； </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以此类推，当不带▲号条款负偏离达到</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项（含）以上时，视为严重偏离此评分项不得分。</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r>
              <w:rPr>
                <w:rFonts w:hint="eastAsia" w:ascii="仿宋" w:hAnsi="仿宋" w:eastAsia="仿宋" w:cs="仿宋"/>
                <w:color w:val="auto"/>
                <w:kern w:val="0"/>
                <w:sz w:val="24"/>
                <w:szCs w:val="24"/>
                <w:highlight w:val="none"/>
                <w:lang w:eastAsia="zh-CN"/>
              </w:rPr>
              <w:t>采购</w:t>
            </w:r>
            <w:r>
              <w:rPr>
                <w:rFonts w:hint="eastAsia" w:ascii="仿宋" w:hAnsi="仿宋" w:eastAsia="仿宋" w:cs="仿宋"/>
                <w:color w:val="auto"/>
                <w:kern w:val="0"/>
                <w:sz w:val="24"/>
                <w:szCs w:val="24"/>
                <w:highlight w:val="none"/>
              </w:rPr>
              <w:t>文件未要求提供证明材料的技术参数，以</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文件格式技术和服务要求响应表为准。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项目实施组织情况</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根据各</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rPr>
              <w:t xml:space="preserve">提供的项目组织实施方案（包括实施方案、供货安装进度安排、组织情况、项目实施计划等内容）进行综合评审： </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组织实施方案清晰、全面、合理，施工方案科学可操作性强，进度安排合理，组织、实施计划有条理性的，得</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组织实施方案较清晰、较全面、较合理，施工方案可行，进度安排较合理，组织、实施计划基本有条理性的，得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组织实施方案简单、基本合理，施工方案科学基本可行，进度安排一般，组织、实施计划欠缺条理性的，得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p>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无提供不得分。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rPr>
              <w:t>质量保障措施方案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rPr>
              <w:t>根据各</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rPr>
              <w:t>提供的</w:t>
            </w:r>
            <w:r>
              <w:rPr>
                <w:rFonts w:hint="eastAsia" w:ascii="仿宋" w:hAnsi="仿宋" w:eastAsia="仿宋" w:cs="仿宋"/>
                <w:color w:val="auto"/>
                <w:kern w:val="0"/>
                <w:sz w:val="24"/>
                <w:szCs w:val="24"/>
                <w:highlight w:val="none"/>
                <w:lang w:val="en-GB" w:eastAsia="zh-CN"/>
              </w:rPr>
              <w:t>质量保证措施方案</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GB" w:eastAsia="zh-CN"/>
              </w:rPr>
              <w:t xml:space="preserve">方案内容包括但不限于：质量保障措施、质量保障承诺、保障措施资源配置等内容）进行综合评审： </w:t>
            </w:r>
          </w:p>
          <w:p>
            <w:pPr>
              <w:widowControl/>
              <w:jc w:val="left"/>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GB" w:eastAsia="zh-CN"/>
              </w:rPr>
              <w:t>方案详细、具体，可操作性强，有完善可行的质保承诺，得</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val="en-GB" w:eastAsia="zh-CN"/>
              </w:rPr>
              <w:t>分；</w:t>
            </w:r>
          </w:p>
          <w:p>
            <w:pPr>
              <w:widowControl/>
              <w:jc w:val="left"/>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en-GB" w:eastAsia="zh-CN"/>
              </w:rPr>
              <w:t>方案比较详细、比较具体、可操作性较强，有比较完善可行的质保承诺，得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GB" w:eastAsia="zh-CN"/>
              </w:rPr>
              <w:t>分；</w:t>
            </w:r>
          </w:p>
          <w:p>
            <w:pPr>
              <w:widowControl/>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GB" w:eastAsia="zh-CN"/>
              </w:rPr>
              <w:t>方案一般，可操作性一般，有质保承诺但可行性一般，得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GB" w:eastAsia="zh-CN"/>
              </w:rPr>
              <w:t>分；</w:t>
            </w:r>
          </w:p>
          <w:p>
            <w:pPr>
              <w:widowControl/>
              <w:jc w:val="left"/>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val="en-GB" w:eastAsia="zh-CN"/>
              </w:rPr>
              <w:t>无提供不得分。</w:t>
            </w:r>
          </w:p>
        </w:tc>
      </w:tr>
      <w:tr>
        <w:tblPrEx>
          <w:tblCellMar>
            <w:top w:w="0" w:type="dxa"/>
            <w:left w:w="108" w:type="dxa"/>
            <w:bottom w:w="0" w:type="dxa"/>
            <w:right w:w="108" w:type="dxa"/>
          </w:tblCellMar>
        </w:tblPrEx>
        <w:trPr>
          <w:trHeight w:val="919"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培训方案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kern w:val="0"/>
                <w:sz w:val="24"/>
                <w:szCs w:val="24"/>
                <w:highlight w:val="none"/>
                <w:lang w:val="en-GB"/>
              </w:rPr>
            </w:pPr>
            <w:r>
              <w:rPr>
                <w:rFonts w:hint="eastAsia" w:ascii="仿宋" w:hAnsi="仿宋" w:eastAsia="仿宋" w:cs="仿宋"/>
                <w:color w:val="auto"/>
                <w:kern w:val="0"/>
                <w:sz w:val="24"/>
                <w:szCs w:val="24"/>
                <w:highlight w:val="none"/>
                <w:lang w:val="en-GB"/>
              </w:rPr>
              <w:t>根据各供应商提供的培训方案（包括培训团队、培训计划、培训内容等）进行评审。</w:t>
            </w:r>
          </w:p>
          <w:p>
            <w:pPr>
              <w:widowControl/>
              <w:jc w:val="left"/>
              <w:rPr>
                <w:rFonts w:hint="eastAsia" w:ascii="仿宋" w:hAnsi="仿宋" w:eastAsia="仿宋" w:cs="仿宋"/>
                <w:color w:val="auto"/>
                <w:kern w:val="0"/>
                <w:sz w:val="24"/>
                <w:szCs w:val="24"/>
                <w:highlight w:val="none"/>
                <w:lang w:val="en-GB"/>
              </w:rPr>
            </w:pPr>
            <w:r>
              <w:rPr>
                <w:rFonts w:hint="eastAsia" w:ascii="仿宋" w:hAnsi="仿宋" w:eastAsia="仿宋" w:cs="仿宋"/>
                <w:color w:val="auto"/>
                <w:kern w:val="0"/>
                <w:sz w:val="24"/>
                <w:szCs w:val="24"/>
                <w:highlight w:val="none"/>
                <w:lang w:val="en-GB"/>
              </w:rPr>
              <w:t>1.方案内容完整、详细、表述清晰、科学合理、切实可行，优于或满足采购要求，得</w:t>
            </w:r>
            <w:r>
              <w:rPr>
                <w:rFonts w:hint="eastAsia" w:ascii="仿宋" w:hAnsi="仿宋" w:eastAsia="仿宋" w:cs="仿宋"/>
                <w:color w:val="auto"/>
                <w:kern w:val="0"/>
                <w:sz w:val="24"/>
                <w:szCs w:val="24"/>
                <w:highlight w:val="none"/>
                <w:lang w:val="en-GB" w:eastAsia="zh-CN"/>
              </w:rPr>
              <w:t>5</w:t>
            </w:r>
            <w:r>
              <w:rPr>
                <w:rFonts w:hint="eastAsia" w:ascii="仿宋" w:hAnsi="仿宋" w:eastAsia="仿宋" w:cs="仿宋"/>
                <w:color w:val="auto"/>
                <w:kern w:val="0"/>
                <w:sz w:val="24"/>
                <w:szCs w:val="24"/>
                <w:highlight w:val="none"/>
                <w:lang w:val="en-GB"/>
              </w:rPr>
              <w:t>分；</w:t>
            </w:r>
          </w:p>
          <w:p>
            <w:pPr>
              <w:widowControl/>
              <w:jc w:val="left"/>
              <w:rPr>
                <w:rFonts w:hint="eastAsia" w:ascii="仿宋" w:hAnsi="仿宋" w:eastAsia="仿宋" w:cs="仿宋"/>
                <w:color w:val="auto"/>
                <w:kern w:val="0"/>
                <w:sz w:val="24"/>
                <w:szCs w:val="24"/>
                <w:highlight w:val="none"/>
                <w:lang w:val="en-GB"/>
              </w:rPr>
            </w:pPr>
            <w:r>
              <w:rPr>
                <w:rFonts w:hint="eastAsia" w:ascii="仿宋" w:hAnsi="仿宋" w:eastAsia="仿宋" w:cs="仿宋"/>
                <w:color w:val="auto"/>
                <w:kern w:val="0"/>
                <w:sz w:val="24"/>
                <w:szCs w:val="24"/>
                <w:highlight w:val="none"/>
                <w:lang w:val="en-GB"/>
              </w:rPr>
              <w:t>2.方案内容基本满足采购要求，得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GB"/>
              </w:rPr>
              <w:t>分；</w:t>
            </w:r>
          </w:p>
          <w:p>
            <w:pPr>
              <w:widowControl/>
              <w:jc w:val="left"/>
              <w:rPr>
                <w:rFonts w:hint="eastAsia" w:ascii="仿宋" w:hAnsi="仿宋" w:eastAsia="仿宋" w:cs="仿宋"/>
                <w:color w:val="auto"/>
                <w:kern w:val="0"/>
                <w:sz w:val="24"/>
                <w:szCs w:val="24"/>
                <w:highlight w:val="none"/>
                <w:lang w:val="en-GB"/>
              </w:rPr>
            </w:pPr>
            <w:r>
              <w:rPr>
                <w:rFonts w:hint="eastAsia" w:ascii="仿宋" w:hAnsi="仿宋" w:eastAsia="仿宋" w:cs="仿宋"/>
                <w:color w:val="auto"/>
                <w:kern w:val="0"/>
                <w:sz w:val="24"/>
                <w:szCs w:val="24"/>
                <w:highlight w:val="none"/>
                <w:lang w:val="en-GB"/>
              </w:rPr>
              <w:t>3.仅提供方案但无法满足采购需求，得</w:t>
            </w:r>
            <w:r>
              <w:rPr>
                <w:rFonts w:hint="eastAsia" w:ascii="仿宋" w:hAnsi="仿宋" w:eastAsia="仿宋" w:cs="仿宋"/>
                <w:color w:val="auto"/>
                <w:kern w:val="0"/>
                <w:sz w:val="24"/>
                <w:szCs w:val="24"/>
                <w:highlight w:val="none"/>
                <w:lang w:val="en-GB" w:eastAsia="zh-CN"/>
              </w:rPr>
              <w:t>1</w:t>
            </w:r>
            <w:r>
              <w:rPr>
                <w:rFonts w:hint="eastAsia" w:ascii="仿宋" w:hAnsi="仿宋" w:eastAsia="仿宋" w:cs="仿宋"/>
                <w:color w:val="auto"/>
                <w:kern w:val="0"/>
                <w:sz w:val="24"/>
                <w:szCs w:val="24"/>
                <w:highlight w:val="none"/>
                <w:lang w:val="en-GB"/>
              </w:rPr>
              <w:t>分；</w:t>
            </w:r>
          </w:p>
          <w:p>
            <w:pPr>
              <w:widowControl/>
              <w:jc w:val="left"/>
              <w:rPr>
                <w:rFonts w:hint="eastAsia" w:ascii="仿宋" w:hAnsi="仿宋" w:eastAsia="仿宋" w:cs="仿宋"/>
                <w:color w:val="auto"/>
                <w:kern w:val="0"/>
                <w:sz w:val="24"/>
                <w:szCs w:val="24"/>
                <w:highlight w:val="none"/>
                <w:lang w:val="en-GB"/>
              </w:rPr>
            </w:pPr>
            <w:r>
              <w:rPr>
                <w:rFonts w:hint="eastAsia" w:ascii="仿宋" w:hAnsi="仿宋" w:eastAsia="仿宋" w:cs="仿宋"/>
                <w:color w:val="auto"/>
                <w:kern w:val="0"/>
                <w:sz w:val="24"/>
                <w:szCs w:val="24"/>
                <w:highlight w:val="none"/>
                <w:lang w:val="en-GB"/>
              </w:rPr>
              <w:t>4.未提供方案不得分。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rPr>
              <w:t>同类业绩</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hint="eastAsia" w:ascii="仿宋" w:hAnsi="仿宋" w:eastAsia="仿宋" w:cs="仿宋"/>
                <w:color w:val="0000FF"/>
                <w:kern w:val="0"/>
                <w:sz w:val="24"/>
                <w:szCs w:val="24"/>
                <w:highlight w:val="none"/>
                <w:lang w:val="en-GB"/>
              </w:rPr>
            </w:pPr>
            <w:r>
              <w:rPr>
                <w:rFonts w:hint="eastAsia" w:ascii="仿宋" w:hAnsi="仿宋" w:eastAsia="仿宋" w:cs="仿宋"/>
                <w:color w:val="auto"/>
                <w:kern w:val="0"/>
                <w:sz w:val="24"/>
                <w:szCs w:val="24"/>
                <w:highlight w:val="none"/>
                <w:lang w:val="en-GB"/>
              </w:rPr>
              <w:t>供应商提供2022年1月1日至今承担过的同类业绩进行评分，每提供一个，得2分，满分6分。</w:t>
            </w:r>
            <w:r>
              <w:rPr>
                <w:rFonts w:hint="eastAsia" w:ascii="仿宋" w:hAnsi="仿宋" w:eastAsia="仿宋" w:cs="仿宋"/>
                <w:color w:val="0000FF"/>
                <w:kern w:val="0"/>
                <w:sz w:val="24"/>
                <w:szCs w:val="24"/>
                <w:highlight w:val="none"/>
                <w:lang w:val="en-GB"/>
              </w:rPr>
              <w:t xml:space="preserve"> </w:t>
            </w:r>
          </w:p>
          <w:p>
            <w:pPr>
              <w:widowControl/>
              <w:jc w:val="left"/>
              <w:rPr>
                <w:rFonts w:hint="eastAsia" w:ascii="仿宋" w:hAnsi="仿宋" w:eastAsia="仿宋" w:cs="仿宋"/>
                <w:color w:val="auto"/>
                <w:kern w:val="0"/>
                <w:sz w:val="24"/>
                <w:szCs w:val="24"/>
                <w:highlight w:val="none"/>
                <w:lang w:val="en-GB" w:eastAsia="zh-Hans"/>
              </w:rPr>
            </w:pPr>
            <w:r>
              <w:rPr>
                <w:rFonts w:hint="eastAsia" w:ascii="仿宋" w:hAnsi="仿宋" w:eastAsia="仿宋" w:cs="仿宋"/>
                <w:color w:val="auto"/>
                <w:kern w:val="0"/>
                <w:sz w:val="24"/>
                <w:szCs w:val="24"/>
                <w:highlight w:val="none"/>
                <w:lang w:val="en-GB" w:eastAsia="zh-CN"/>
              </w:rPr>
              <w:t>注：</w:t>
            </w:r>
            <w:r>
              <w:rPr>
                <w:rFonts w:hint="eastAsia" w:ascii="仿宋" w:hAnsi="仿宋" w:eastAsia="仿宋" w:cs="仿宋"/>
                <w:color w:val="auto"/>
                <w:kern w:val="0"/>
                <w:sz w:val="24"/>
                <w:szCs w:val="24"/>
                <w:highlight w:val="none"/>
                <w:lang w:val="en-GB"/>
              </w:rPr>
              <w:t>同类业绩证明文件是中标/成交通知书或合同关键页的复印件或扫描件（合同关键页是指包括：①能显示设备名称等相关信息；②签订合同双方的单位名称、合同项目名称；③签订合同双方的签章、盖章及签订日期）</w:t>
            </w:r>
            <w:r>
              <w:rPr>
                <w:rFonts w:hint="eastAsia" w:ascii="仿宋" w:hAnsi="仿宋" w:eastAsia="仿宋" w:cs="仿宋"/>
                <w:color w:val="auto"/>
                <w:kern w:val="0"/>
                <w:sz w:val="24"/>
                <w:szCs w:val="24"/>
                <w:highlight w:val="none"/>
                <w:lang w:val="en-GB" w:eastAsia="zh-CN"/>
              </w:rPr>
              <w:t>,</w:t>
            </w:r>
            <w:r>
              <w:rPr>
                <w:rFonts w:hint="eastAsia" w:ascii="仿宋" w:hAnsi="仿宋" w:eastAsia="仿宋" w:cs="仿宋"/>
                <w:color w:val="auto"/>
                <w:kern w:val="0"/>
                <w:sz w:val="24"/>
                <w:szCs w:val="24"/>
                <w:highlight w:val="none"/>
                <w:lang w:val="en-GB"/>
              </w:rPr>
              <w:t>无提供不得分。</w:t>
            </w:r>
          </w:p>
        </w:tc>
      </w:tr>
      <w:tr>
        <w:tblPrEx>
          <w:tblCellMar>
            <w:top w:w="0" w:type="dxa"/>
            <w:left w:w="108" w:type="dxa"/>
            <w:bottom w:w="0" w:type="dxa"/>
            <w:right w:w="108" w:type="dxa"/>
          </w:tblCellMar>
        </w:tblPrEx>
        <w:trPr>
          <w:trHeight w:val="39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售后服务方案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对各</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rPr>
              <w:t>提供的售后服务内容（包括质保期、维护保养方案、</w:t>
            </w:r>
            <w:r>
              <w:rPr>
                <w:rFonts w:hint="eastAsia" w:ascii="仿宋" w:hAnsi="仿宋" w:eastAsia="仿宋" w:cs="仿宋"/>
                <w:color w:val="auto"/>
                <w:kern w:val="0"/>
                <w:sz w:val="24"/>
                <w:szCs w:val="24"/>
                <w:highlight w:val="none"/>
                <w:lang w:eastAsia="zh-CN"/>
              </w:rPr>
              <w:t>服务响应时效</w:t>
            </w:r>
            <w:r>
              <w:rPr>
                <w:rFonts w:hint="eastAsia" w:ascii="仿宋" w:hAnsi="仿宋" w:eastAsia="仿宋" w:cs="仿宋"/>
                <w:color w:val="auto"/>
                <w:kern w:val="0"/>
                <w:sz w:val="24"/>
                <w:szCs w:val="24"/>
                <w:highlight w:val="none"/>
              </w:rPr>
              <w:t>、安排的合理性等）是否完善具体，各阶段服务计划是否详尽进行评分：</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售后服务方案详细、具体，完全满足</w:t>
            </w:r>
            <w:r>
              <w:rPr>
                <w:rFonts w:hint="eastAsia" w:ascii="仿宋" w:hAnsi="仿宋" w:eastAsia="仿宋" w:cs="仿宋"/>
                <w:color w:val="auto"/>
                <w:kern w:val="0"/>
                <w:sz w:val="24"/>
                <w:szCs w:val="24"/>
                <w:highlight w:val="none"/>
                <w:lang w:eastAsia="zh-CN"/>
              </w:rPr>
              <w:t>或</w:t>
            </w:r>
            <w:r>
              <w:rPr>
                <w:rFonts w:hint="eastAsia" w:ascii="仿宋" w:hAnsi="仿宋" w:eastAsia="仿宋" w:cs="仿宋"/>
                <w:color w:val="auto"/>
                <w:kern w:val="0"/>
                <w:sz w:val="24"/>
                <w:szCs w:val="24"/>
                <w:highlight w:val="none"/>
              </w:rPr>
              <w:t>优于</w:t>
            </w:r>
            <w:r>
              <w:rPr>
                <w:rFonts w:hint="eastAsia" w:ascii="仿宋" w:hAnsi="仿宋" w:eastAsia="仿宋" w:cs="仿宋"/>
                <w:color w:val="auto"/>
                <w:kern w:val="0"/>
                <w:sz w:val="24"/>
                <w:szCs w:val="24"/>
                <w:highlight w:val="none"/>
                <w:lang w:eastAsia="zh-CN"/>
              </w:rPr>
              <w:t>比选文件</w:t>
            </w:r>
            <w:r>
              <w:rPr>
                <w:rFonts w:hint="eastAsia" w:ascii="仿宋" w:hAnsi="仿宋" w:eastAsia="仿宋" w:cs="仿宋"/>
                <w:color w:val="auto"/>
                <w:kern w:val="0"/>
                <w:sz w:val="24"/>
                <w:szCs w:val="24"/>
                <w:highlight w:val="none"/>
              </w:rPr>
              <w:t>要求</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各阶段服务计划</w:t>
            </w:r>
            <w:r>
              <w:rPr>
                <w:rFonts w:hint="eastAsia" w:ascii="仿宋" w:hAnsi="仿宋" w:eastAsia="仿宋" w:cs="仿宋"/>
                <w:color w:val="auto"/>
                <w:kern w:val="0"/>
                <w:sz w:val="24"/>
                <w:szCs w:val="24"/>
                <w:highlight w:val="none"/>
                <w:lang w:eastAsia="zh-CN"/>
              </w:rPr>
              <w:t>周全</w:t>
            </w:r>
            <w:r>
              <w:rPr>
                <w:rFonts w:hint="eastAsia" w:ascii="仿宋" w:hAnsi="仿宋" w:eastAsia="仿宋" w:cs="仿宋"/>
                <w:color w:val="auto"/>
                <w:kern w:val="0"/>
                <w:sz w:val="24"/>
                <w:szCs w:val="24"/>
                <w:highlight w:val="none"/>
              </w:rPr>
              <w:t>详尽，得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 xml:space="preserve">分； </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售后服务方案基本详细、具体，满足</w:t>
            </w:r>
            <w:r>
              <w:rPr>
                <w:rFonts w:hint="eastAsia" w:ascii="仿宋" w:hAnsi="仿宋" w:eastAsia="仿宋" w:cs="仿宋"/>
                <w:color w:val="auto"/>
                <w:kern w:val="0"/>
                <w:sz w:val="24"/>
                <w:szCs w:val="24"/>
                <w:highlight w:val="none"/>
                <w:lang w:eastAsia="zh-CN"/>
              </w:rPr>
              <w:t>比选文件</w:t>
            </w:r>
            <w:r>
              <w:rPr>
                <w:rFonts w:hint="eastAsia" w:ascii="仿宋" w:hAnsi="仿宋" w:eastAsia="仿宋" w:cs="仿宋"/>
                <w:color w:val="auto"/>
                <w:kern w:val="0"/>
                <w:sz w:val="24"/>
                <w:szCs w:val="24"/>
                <w:highlight w:val="none"/>
              </w:rPr>
              <w:t>要求</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各阶段服务计划</w:t>
            </w:r>
            <w:r>
              <w:rPr>
                <w:rFonts w:hint="eastAsia" w:ascii="仿宋" w:hAnsi="仿宋" w:eastAsia="仿宋" w:cs="仿宋"/>
                <w:color w:val="auto"/>
                <w:kern w:val="0"/>
                <w:sz w:val="24"/>
                <w:szCs w:val="24"/>
                <w:highlight w:val="none"/>
                <w:lang w:eastAsia="zh-CN"/>
              </w:rPr>
              <w:t>满足</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分；</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售后服务方案不详细、具体，基本满足</w:t>
            </w:r>
            <w:r>
              <w:rPr>
                <w:rFonts w:hint="eastAsia" w:ascii="仿宋" w:hAnsi="仿宋" w:eastAsia="仿宋" w:cs="仿宋"/>
                <w:color w:val="auto"/>
                <w:kern w:val="0"/>
                <w:sz w:val="24"/>
                <w:szCs w:val="24"/>
                <w:highlight w:val="none"/>
                <w:lang w:eastAsia="zh-CN"/>
              </w:rPr>
              <w:t>比选文件</w:t>
            </w:r>
            <w:r>
              <w:rPr>
                <w:rFonts w:hint="eastAsia" w:ascii="仿宋" w:hAnsi="仿宋" w:eastAsia="仿宋" w:cs="仿宋"/>
                <w:color w:val="auto"/>
                <w:kern w:val="0"/>
                <w:sz w:val="24"/>
                <w:szCs w:val="24"/>
                <w:highlight w:val="none"/>
              </w:rPr>
              <w:t>要求</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各阶段服务计划不</w:t>
            </w:r>
            <w:r>
              <w:rPr>
                <w:rFonts w:hint="eastAsia" w:ascii="仿宋" w:hAnsi="仿宋" w:eastAsia="仿宋" w:cs="仿宋"/>
                <w:color w:val="auto"/>
                <w:kern w:val="0"/>
                <w:sz w:val="24"/>
                <w:szCs w:val="24"/>
                <w:highlight w:val="none"/>
                <w:lang w:eastAsia="zh-CN"/>
              </w:rPr>
              <w:t>完全</w:t>
            </w:r>
            <w:r>
              <w:rPr>
                <w:rFonts w:hint="eastAsia" w:ascii="仿宋" w:hAnsi="仿宋" w:eastAsia="仿宋" w:cs="仿宋"/>
                <w:color w:val="auto"/>
                <w:kern w:val="0"/>
                <w:sz w:val="24"/>
                <w:szCs w:val="24"/>
                <w:highlight w:val="none"/>
              </w:rPr>
              <w:t>齐全，得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p>
          <w:p>
            <w:pPr>
              <w:widowControl/>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4.无提供不得分。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widowControl/>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widowControl/>
        <w:jc w:val="center"/>
        <w:rPr>
          <w:rFonts w:hint="eastAsia" w:ascii="仿宋" w:hAnsi="仿宋" w:eastAsia="仿宋" w:cs="仿宋"/>
          <w:color w:val="auto"/>
          <w:kern w:val="0"/>
          <w:sz w:val="24"/>
          <w:szCs w:val="24"/>
          <w:highlight w:val="none"/>
        </w:rPr>
      </w:pPr>
    </w:p>
    <w:p>
      <w:pPr>
        <w:pStyle w:val="8"/>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8"/>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 示</w:t>
      </w:r>
    </w:p>
    <w:p>
      <w:pPr>
        <w:autoSpaceDE w:val="0"/>
        <w:autoSpaceDN w:val="0"/>
        <w:adjustRightInd w:val="0"/>
        <w:snapToGrid w:val="0"/>
        <w:spacing w:line="360" w:lineRule="auto"/>
        <w:ind w:right="3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8"/>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8"/>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8"/>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）供应商提出质疑应当提交质疑函和必要的证明材料(包括证明材料清单、证明文件及获取途径说明)。质疑函应当包括下列内容：</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（4）事实依据；</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pPr>
        <w:pStyle w:val="8"/>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）投诉</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七</w:t>
      </w:r>
      <w:r>
        <w:rPr>
          <w:rFonts w:hint="eastAsia" w:ascii="仿宋" w:hAnsi="仿宋" w:eastAsia="仿宋" w:cs="仿宋"/>
          <w:color w:val="auto"/>
          <w:sz w:val="24"/>
          <w:highlight w:val="none"/>
        </w:rPr>
        <w:t>）供应商捏造事实、提供虚假材料或者以非法手段取得证明材料进行质疑或投诉的，予以驳回，并列入黑名单。</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八</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）同一供应商不能对同一事项重复质疑。</w:t>
      </w:r>
    </w:p>
    <w:p>
      <w:pPr>
        <w:pStyle w:val="8"/>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8"/>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jc w:val="right"/>
        <w:rPr>
          <w:rFonts w:hint="eastAsia" w:ascii="仿宋" w:hAnsi="仿宋" w:eastAsia="仿宋" w:cs="仿宋"/>
          <w:color w:val="auto"/>
          <w:sz w:val="52"/>
          <w:highlight w:val="none"/>
        </w:rPr>
      </w:pPr>
      <w:r>
        <w:rPr>
          <w:rFonts w:hint="eastAsia" w:ascii="仿宋" w:hAnsi="仿宋" w:eastAsia="仿宋" w:cs="仿宋"/>
          <w:b/>
          <w:bCs/>
          <w:color w:val="auto"/>
          <w:sz w:val="24"/>
          <w:highlight w:val="none"/>
        </w:rPr>
        <w:t>合同编号：</w:t>
      </w: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autoSpaceDE w:val="0"/>
        <w:autoSpaceDN w:val="0"/>
        <w:adjustRightInd w:val="0"/>
        <w:spacing w:before="100" w:beforeAutospacing="1" w:after="100" w:afterAutospacing="1"/>
        <w:ind w:left="2404" w:leftChars="1145"/>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合同书</w:t>
      </w:r>
    </w:p>
    <w:p>
      <w:pPr>
        <w:snapToGrid w:val="0"/>
        <w:spacing w:line="500" w:lineRule="exact"/>
        <w:jc w:val="both"/>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tbl>
      <w:tblPr>
        <w:tblStyle w:val="15"/>
        <w:tblpPr w:leftFromText="180" w:rightFromText="180" w:vertAnchor="text" w:horzAnchor="page" w:tblpX="2876" w:tblpY="387"/>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8"/>
              <w:spacing w:line="800" w:lineRule="exact"/>
              <w:jc w:val="left"/>
              <w:rPr>
                <w:rFonts w:hint="eastAsia" w:ascii="宋体" w:hAnsi="宋体" w:eastAsia="宋体"/>
                <w:b/>
                <w:color w:val="auto"/>
                <w:sz w:val="30"/>
                <w:szCs w:val="30"/>
                <w:highlight w:val="none"/>
                <w:lang w:eastAsia="zh-CN"/>
              </w:rPr>
            </w:pPr>
          </w:p>
          <w:p>
            <w:pPr>
              <w:pStyle w:val="8"/>
              <w:spacing w:line="800" w:lineRule="exact"/>
              <w:jc w:val="left"/>
              <w:rPr>
                <w:rFonts w:hint="eastAsia" w:ascii="宋体" w:hAnsi="宋体" w:eastAsia="宋体"/>
                <w:b/>
                <w:color w:val="auto"/>
                <w:sz w:val="30"/>
                <w:szCs w:val="30"/>
                <w:highlight w:val="none"/>
                <w:lang w:eastAsia="zh-CN"/>
              </w:rPr>
            </w:pPr>
            <w:r>
              <w:rPr>
                <w:rFonts w:hint="eastAsia" w:ascii="宋体" w:hAnsi="宋体" w:eastAsia="宋体"/>
                <w:b/>
                <w:color w:val="auto"/>
                <w:sz w:val="30"/>
                <w:szCs w:val="30"/>
                <w:highlight w:val="none"/>
                <w:lang w:eastAsia="zh-CN"/>
              </w:rPr>
              <w:t>采购编号：</w:t>
            </w:r>
          </w:p>
          <w:p>
            <w:pPr>
              <w:pStyle w:val="8"/>
              <w:spacing w:line="800" w:lineRule="exact"/>
              <w:jc w:val="left"/>
              <w:rPr>
                <w:rFonts w:hint="eastAsia" w:hAnsi="宋体"/>
                <w:b/>
                <w:color w:val="auto"/>
                <w:sz w:val="30"/>
                <w:szCs w:val="30"/>
                <w:highlight w:val="none"/>
              </w:rPr>
            </w:pPr>
            <w:r>
              <w:rPr>
                <w:rFonts w:hint="eastAsia" w:hAnsi="宋体"/>
                <w:b/>
                <w:color w:val="auto"/>
                <w:sz w:val="30"/>
                <w:szCs w:val="30"/>
                <w:highlight w:val="none"/>
              </w:rPr>
              <w:t>项目名称：</w:t>
            </w:r>
          </w:p>
          <w:p>
            <w:pPr>
              <w:pStyle w:val="8"/>
              <w:spacing w:line="800" w:lineRule="exact"/>
              <w:jc w:val="left"/>
              <w:rPr>
                <w:rFonts w:hint="eastAsia" w:hAnsi="宋体" w:cs="Times New Roman"/>
                <w:b/>
                <w:bCs/>
                <w:color w:val="auto"/>
                <w:sz w:val="30"/>
                <w:szCs w:val="30"/>
                <w:highlight w:val="none"/>
              </w:rPr>
            </w:pPr>
            <w:r>
              <w:rPr>
                <w:rFonts w:hint="eastAsia" w:hAnsi="宋体" w:cs="Times New Roman"/>
                <w:b/>
                <w:bCs/>
                <w:color w:val="auto"/>
                <w:sz w:val="30"/>
                <w:szCs w:val="30"/>
                <w:highlight w:val="none"/>
              </w:rPr>
              <w:t>甲</w:t>
            </w:r>
            <w:r>
              <w:rPr>
                <w:rFonts w:hint="eastAsia" w:hAnsi="宋体" w:cs="Times New Roman"/>
                <w:b/>
                <w:bCs/>
                <w:color w:val="auto"/>
                <w:sz w:val="30"/>
                <w:szCs w:val="30"/>
                <w:highlight w:val="none"/>
                <w:lang w:val="en-US" w:eastAsia="zh-CN"/>
              </w:rPr>
              <w:t xml:space="preserve">    </w:t>
            </w:r>
            <w:r>
              <w:rPr>
                <w:rFonts w:hint="eastAsia" w:hAnsi="宋体" w:cs="Times New Roman"/>
                <w:b/>
                <w:bCs/>
                <w:color w:val="auto"/>
                <w:sz w:val="30"/>
                <w:szCs w:val="30"/>
                <w:highlight w:val="none"/>
              </w:rPr>
              <w:t>方：</w:t>
            </w:r>
          </w:p>
          <w:p>
            <w:pPr>
              <w:pStyle w:val="8"/>
              <w:spacing w:line="800" w:lineRule="exact"/>
              <w:jc w:val="left"/>
              <w:rPr>
                <w:rFonts w:hint="eastAsia" w:hAnsi="宋体" w:cs="Times New Roman"/>
                <w:b/>
                <w:bCs/>
                <w:color w:val="auto"/>
                <w:sz w:val="30"/>
                <w:szCs w:val="30"/>
                <w:highlight w:val="none"/>
              </w:rPr>
            </w:pPr>
            <w:r>
              <w:rPr>
                <w:rFonts w:hint="eastAsia" w:hAnsi="宋体" w:cs="Times New Roman"/>
                <w:b/>
                <w:bCs/>
                <w:color w:val="auto"/>
                <w:sz w:val="30"/>
                <w:szCs w:val="30"/>
                <w:highlight w:val="none"/>
              </w:rPr>
              <w:t>乙</w:t>
            </w:r>
            <w:r>
              <w:rPr>
                <w:rFonts w:hint="eastAsia" w:hAnsi="宋体" w:cs="Times New Roman"/>
                <w:b/>
                <w:bCs/>
                <w:color w:val="auto"/>
                <w:sz w:val="30"/>
                <w:szCs w:val="30"/>
                <w:highlight w:val="none"/>
                <w:lang w:val="en-US" w:eastAsia="zh-CN"/>
              </w:rPr>
              <w:t xml:space="preserve">    </w:t>
            </w:r>
            <w:r>
              <w:rPr>
                <w:rFonts w:hint="eastAsia" w:hAnsi="宋体" w:cs="Times New Roman"/>
                <w:b/>
                <w:bCs/>
                <w:color w:val="auto"/>
                <w:sz w:val="30"/>
                <w:szCs w:val="30"/>
                <w:highlight w:val="none"/>
              </w:rPr>
              <w:t>方：</w:t>
            </w:r>
          </w:p>
          <w:p>
            <w:pPr>
              <w:pStyle w:val="8"/>
              <w:spacing w:line="800" w:lineRule="exact"/>
              <w:jc w:val="left"/>
              <w:rPr>
                <w:rFonts w:hint="eastAsia" w:hAnsi="宋体" w:cs="Times New Roman"/>
                <w:b/>
                <w:bCs/>
                <w:color w:val="auto"/>
                <w:sz w:val="30"/>
                <w:szCs w:val="30"/>
                <w:highlight w:val="none"/>
                <w:lang w:eastAsia="zh-CN"/>
              </w:rPr>
            </w:pPr>
          </w:p>
          <w:p>
            <w:pPr>
              <w:tabs>
                <w:tab w:val="left" w:pos="720"/>
              </w:tabs>
              <w:spacing w:line="360" w:lineRule="auto"/>
              <w:rPr>
                <w:rFonts w:ascii="宋体"/>
                <w:b/>
                <w:color w:val="auto"/>
                <w:sz w:val="30"/>
                <w:szCs w:val="30"/>
                <w:highlight w:val="none"/>
              </w:rPr>
            </w:pPr>
          </w:p>
        </w:tc>
      </w:tr>
    </w:tbl>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autoSpaceDE w:val="0"/>
        <w:autoSpaceDN w:val="0"/>
        <w:adjustRightInd w:val="0"/>
        <w:snapToGrid w:val="0"/>
        <w:spacing w:line="440" w:lineRule="exact"/>
        <w:ind w:right="34" w:hanging="238"/>
        <w:jc w:val="center"/>
        <w:rPr>
          <w:rFonts w:hint="eastAsia" w:ascii="仿宋" w:hAnsi="仿宋" w:eastAsia="仿宋" w:cs="仿宋"/>
          <w:b/>
          <w:color w:val="auto"/>
          <w:sz w:val="28"/>
          <w:szCs w:val="28"/>
          <w:highlight w:val="none"/>
        </w:rPr>
      </w:pPr>
      <w:r>
        <w:rPr>
          <w:rFonts w:hint="eastAsia" w:ascii="仿宋" w:hAnsi="仿宋" w:eastAsia="仿宋"/>
          <w:b/>
          <w:color w:val="auto"/>
          <w:sz w:val="24"/>
          <w:highlight w:val="none"/>
        </w:rPr>
        <w:t>注：本合同仅为合同的参考文本，合同签订双方可根据项目的具体要求进行修订。</w:t>
      </w:r>
    </w:p>
    <w:p>
      <w:pPr>
        <w:snapToGrid w:val="0"/>
        <w:spacing w:line="500" w:lineRule="exact"/>
        <w:jc w:val="center"/>
        <w:rPr>
          <w:rFonts w:hint="eastAsia" w:ascii="仿宋" w:hAnsi="仿宋" w:eastAsia="仿宋" w:cs="仿宋"/>
          <w:b/>
          <w:bCs/>
          <w:color w:val="auto"/>
          <w:sz w:val="48"/>
          <w:szCs w:val="48"/>
          <w:highlight w:val="none"/>
        </w:rPr>
      </w:pPr>
    </w:p>
    <w:p>
      <w:pPr>
        <w:spacing w:line="360" w:lineRule="auto"/>
        <w:jc w:val="center"/>
        <w:rPr>
          <w:rFonts w:hint="eastAsia" w:ascii="宋体" w:hAnsi="宋体"/>
          <w:b/>
          <w:color w:val="auto"/>
          <w:sz w:val="44"/>
          <w:szCs w:val="44"/>
          <w:highlight w:val="none"/>
        </w:rPr>
      </w:pPr>
    </w:p>
    <w:p>
      <w:pPr>
        <w:spacing w:line="360" w:lineRule="auto"/>
        <w:jc w:val="center"/>
        <w:rPr>
          <w:rFonts w:ascii="宋体"/>
          <w:b/>
          <w:color w:val="auto"/>
          <w:sz w:val="44"/>
          <w:szCs w:val="44"/>
          <w:highlight w:val="none"/>
        </w:rPr>
      </w:pPr>
      <w:r>
        <w:rPr>
          <w:rFonts w:hint="eastAsia" w:ascii="宋体" w:hAnsi="宋体"/>
          <w:b/>
          <w:color w:val="auto"/>
          <w:sz w:val="44"/>
          <w:szCs w:val="44"/>
          <w:highlight w:val="none"/>
        </w:rPr>
        <w:t>合</w:t>
      </w:r>
      <w:r>
        <w:rPr>
          <w:rFonts w:hint="eastAsia" w:ascii="宋体" w:hAnsi="宋体"/>
          <w:b/>
          <w:color w:val="auto"/>
          <w:sz w:val="44"/>
          <w:szCs w:val="44"/>
          <w:highlight w:val="none"/>
          <w:lang w:val="en-US" w:eastAsia="zh-CN"/>
        </w:rPr>
        <w:t xml:space="preserve"> </w:t>
      </w:r>
      <w:r>
        <w:rPr>
          <w:rFonts w:hint="eastAsia" w:ascii="宋体" w:hAnsi="宋体"/>
          <w:b/>
          <w:color w:val="auto"/>
          <w:sz w:val="44"/>
          <w:szCs w:val="44"/>
          <w:highlight w:val="none"/>
        </w:rPr>
        <w:t>同</w:t>
      </w:r>
    </w:p>
    <w:p>
      <w:pPr>
        <w:spacing w:line="360" w:lineRule="auto"/>
        <w:jc w:val="center"/>
        <w:rPr>
          <w:rFonts w:ascii="宋体"/>
          <w:b/>
          <w:color w:val="auto"/>
          <w:sz w:val="44"/>
          <w:szCs w:val="44"/>
          <w:highlight w:val="none"/>
        </w:rPr>
      </w:pPr>
    </w:p>
    <w:p>
      <w:pPr>
        <w:spacing w:line="360" w:lineRule="auto"/>
        <w:jc w:val="left"/>
        <w:rPr>
          <w:rFonts w:hint="eastAsia" w:ascii="宋体" w:eastAsia="宋体"/>
          <w:b/>
          <w:color w:val="auto"/>
          <w:sz w:val="24"/>
          <w:highlight w:val="none"/>
          <w:lang w:eastAsia="zh-CN"/>
        </w:rPr>
      </w:pPr>
      <w:r>
        <w:rPr>
          <w:rFonts w:hint="eastAsia" w:ascii="宋体" w:hAnsi="宋体"/>
          <w:b/>
          <w:color w:val="auto"/>
          <w:sz w:val="24"/>
          <w:highlight w:val="none"/>
        </w:rPr>
        <w:t>甲方：</w:t>
      </w:r>
      <w:r>
        <w:rPr>
          <w:rFonts w:hint="eastAsia" w:ascii="宋体" w:hAnsi="宋体"/>
          <w:b/>
          <w:color w:val="auto"/>
          <w:kern w:val="0"/>
          <w:sz w:val="24"/>
          <w:highlight w:val="none"/>
          <w:lang w:eastAsia="zh-CN"/>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eastAsia="宋体" w:cs="Times New Roman"/>
          <w:color w:val="auto"/>
          <w:sz w:val="24"/>
          <w:highlight w:val="none"/>
          <w:lang w:val="en-US" w:eastAsia="zh-CN"/>
        </w:rPr>
        <w:t>采购项目</w:t>
      </w:r>
      <w:r>
        <w:rPr>
          <w:rFonts w:hint="eastAsia" w:ascii="宋体" w:hAnsi="宋体" w:eastAsia="宋体" w:cs="Times New Roman"/>
          <w:color w:val="auto"/>
          <w:sz w:val="24"/>
          <w:highlight w:val="none"/>
        </w:rPr>
        <w:t>（</w:t>
      </w:r>
      <w:r>
        <w:rPr>
          <w:rFonts w:hint="eastAsia" w:ascii="宋体" w:hAnsi="宋体"/>
          <w:color w:val="auto"/>
          <w:sz w:val="24"/>
          <w:highlight w:val="none"/>
        </w:rPr>
        <w:t>项目编号</w:t>
      </w:r>
      <w:r>
        <w:rPr>
          <w:rFonts w:hint="eastAsia" w:ascii="宋体" w:hAnsi="宋体"/>
          <w:color w:val="auto"/>
          <w:sz w:val="24"/>
          <w:highlight w:val="none"/>
          <w:lang w:val="en-US" w:eastAsia="zh-CN"/>
        </w:rPr>
        <w:t>:）</w:t>
      </w:r>
      <w:r>
        <w:rPr>
          <w:rFonts w:hint="eastAsia" w:ascii="宋体" w:hAnsi="宋体"/>
          <w:color w:val="auto"/>
          <w:sz w:val="24"/>
          <w:highlight w:val="none"/>
        </w:rPr>
        <w:t>的</w:t>
      </w:r>
      <w:r>
        <w:rPr>
          <w:rFonts w:hint="eastAsia" w:ascii="宋体" w:hAnsi="宋体"/>
          <w:color w:val="auto"/>
          <w:sz w:val="24"/>
          <w:highlight w:val="none"/>
          <w:lang w:eastAsia="zh-CN"/>
        </w:rPr>
        <w:t>成交</w:t>
      </w:r>
      <w:r>
        <w:rPr>
          <w:rFonts w:hint="eastAsia" w:ascii="宋体" w:hAnsi="宋体"/>
          <w:color w:val="auto"/>
          <w:sz w:val="24"/>
          <w:highlight w:val="none"/>
        </w:rPr>
        <w:t>结果，按照《中华人民共和国政府采购法》、《中华人民共和国民法典》的规定，经双方协商，本着平等互利和诚实信用的原则，一致同意签订本合同如下。</w:t>
      </w:r>
    </w:p>
    <w:p>
      <w:pPr>
        <w:pStyle w:val="18"/>
        <w:numPr>
          <w:ilvl w:val="0"/>
          <w:numId w:val="2"/>
        </w:numPr>
        <w:tabs>
          <w:tab w:val="left" w:pos="960"/>
        </w:tabs>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设备名称及价格</w:t>
      </w:r>
    </w:p>
    <w:tbl>
      <w:tblPr>
        <w:tblStyle w:val="15"/>
        <w:tblpPr w:leftFromText="180" w:rightFromText="180" w:vertAnchor="text" w:horzAnchor="page" w:tblpX="1364" w:tblpY="415"/>
        <w:tblOverlap w:val="never"/>
        <w:tblW w:w="9478" w:type="dxa"/>
        <w:tblInd w:w="0" w:type="dxa"/>
        <w:tblLayout w:type="fixed"/>
        <w:tblCellMar>
          <w:top w:w="0" w:type="dxa"/>
          <w:left w:w="0" w:type="dxa"/>
          <w:bottom w:w="0" w:type="dxa"/>
          <w:right w:w="0" w:type="dxa"/>
        </w:tblCellMar>
      </w:tblPr>
      <w:tblGrid>
        <w:gridCol w:w="735"/>
        <w:gridCol w:w="1605"/>
        <w:gridCol w:w="1710"/>
        <w:gridCol w:w="840"/>
        <w:gridCol w:w="810"/>
        <w:gridCol w:w="1208"/>
        <w:gridCol w:w="1162"/>
        <w:gridCol w:w="1408"/>
      </w:tblGrid>
      <w:tr>
        <w:tblPrEx>
          <w:tblCellMar>
            <w:top w:w="0" w:type="dxa"/>
            <w:left w:w="0" w:type="dxa"/>
            <w:bottom w:w="0" w:type="dxa"/>
            <w:right w:w="0" w:type="dxa"/>
          </w:tblCellMar>
        </w:tblPrEx>
        <w:trPr>
          <w:trHeight w:val="62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产品名称</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规格型号</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11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金额（元）</w:t>
            </w:r>
          </w:p>
        </w:tc>
        <w:tc>
          <w:tcPr>
            <w:tcW w:w="1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制造商名称</w:t>
            </w:r>
          </w:p>
        </w:tc>
      </w:tr>
      <w:tr>
        <w:tblPrEx>
          <w:tblCellMar>
            <w:top w:w="0" w:type="dxa"/>
            <w:left w:w="0" w:type="dxa"/>
            <w:bottom w:w="0" w:type="dxa"/>
            <w:right w:w="0" w:type="dxa"/>
          </w:tblCellMar>
        </w:tblPrEx>
        <w:trPr>
          <w:trHeight w:val="536"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1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p>
        </w:tc>
      </w:tr>
      <w:tr>
        <w:tblPrEx>
          <w:tblCellMar>
            <w:top w:w="0" w:type="dxa"/>
            <w:left w:w="0" w:type="dxa"/>
            <w:bottom w:w="0" w:type="dxa"/>
            <w:right w:w="0" w:type="dxa"/>
          </w:tblCellMar>
        </w:tblPrEx>
        <w:trPr>
          <w:trHeight w:val="581"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1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p>
        </w:tc>
      </w:tr>
      <w:tr>
        <w:tblPrEx>
          <w:tblCellMar>
            <w:top w:w="0" w:type="dxa"/>
            <w:left w:w="0" w:type="dxa"/>
            <w:bottom w:w="0" w:type="dxa"/>
            <w:right w:w="0" w:type="dxa"/>
          </w:tblCellMar>
        </w:tblPrEx>
        <w:trPr>
          <w:trHeight w:val="491"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p>
        </w:tc>
        <w:tc>
          <w:tcPr>
            <w:tcW w:w="1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p>
        </w:tc>
      </w:tr>
    </w:tbl>
    <w:p>
      <w:pPr>
        <w:pStyle w:val="18"/>
        <w:numPr>
          <w:ilvl w:val="0"/>
          <w:numId w:val="0"/>
        </w:numPr>
        <w:tabs>
          <w:tab w:val="left" w:pos="960"/>
        </w:tabs>
        <w:spacing w:line="360" w:lineRule="auto"/>
        <w:rPr>
          <w:rFonts w:hint="eastAsia" w:ascii="宋体" w:hAnsi="宋体"/>
          <w:b/>
          <w:color w:val="auto"/>
          <w:sz w:val="24"/>
          <w:highlight w:val="none"/>
        </w:rPr>
      </w:pPr>
    </w:p>
    <w:p>
      <w:pPr>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注：货物名称内容必须与</w:t>
      </w:r>
      <w:r>
        <w:rPr>
          <w:rFonts w:hint="eastAsia" w:ascii="宋体" w:hAnsi="宋体"/>
          <w:color w:val="auto"/>
          <w:sz w:val="24"/>
          <w:highlight w:val="none"/>
          <w:lang w:eastAsia="zh-CN"/>
        </w:rPr>
        <w:t>响应</w:t>
      </w:r>
      <w:r>
        <w:rPr>
          <w:rFonts w:hint="eastAsia" w:ascii="宋体" w:hAnsi="宋体"/>
          <w:color w:val="auto"/>
          <w:sz w:val="24"/>
          <w:highlight w:val="none"/>
        </w:rPr>
        <w:t>文件中货物名称内容一致。</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pPr>
        <w:spacing w:line="360" w:lineRule="auto"/>
        <w:ind w:firstLine="480" w:firstLineChars="200"/>
        <w:rPr>
          <w:rFonts w:hint="eastAsia" w:hAnsi="宋体" w:cs="宋体"/>
          <w:color w:val="auto"/>
          <w:kern w:val="0"/>
          <w:sz w:val="24"/>
          <w:szCs w:val="21"/>
          <w:highlight w:val="none"/>
          <w:lang w:eastAsia="zh-CN"/>
        </w:rPr>
      </w:pPr>
      <w:r>
        <w:rPr>
          <w:rFonts w:hint="eastAsia" w:hAnsi="宋体"/>
          <w:color w:val="auto"/>
          <w:sz w:val="24"/>
          <w:szCs w:val="24"/>
          <w:highlight w:val="none"/>
        </w:rPr>
        <w:t>合同金额为（大写）：</w:t>
      </w:r>
      <w:r>
        <w:rPr>
          <w:rFonts w:hint="eastAsia" w:ascii="宋体" w:hAnsi="宋体" w:cs="宋体"/>
          <w:i w:val="0"/>
          <w:color w:val="auto"/>
          <w:kern w:val="0"/>
          <w:sz w:val="24"/>
          <w:szCs w:val="24"/>
          <w:highlight w:val="none"/>
          <w:u w:val="none"/>
          <w:lang w:val="en-US" w:eastAsia="zh-CN" w:bidi="ar"/>
        </w:rPr>
        <w:t>人民币元整；¥</w:t>
      </w:r>
      <w:r>
        <w:rPr>
          <w:rFonts w:hint="eastAsia" w:ascii="宋体" w:hAnsi="宋体" w:cs="宋体"/>
          <w:color w:val="auto"/>
          <w:kern w:val="0"/>
          <w:sz w:val="24"/>
          <w:szCs w:val="21"/>
          <w:highlight w:val="none"/>
          <w:u w:val="single"/>
          <w:lang w:val="en-US" w:eastAsia="zh-CN"/>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lang w:eastAsia="zh-CN"/>
        </w:rPr>
        <w:t>。</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highlight w:val="none"/>
        </w:rPr>
        <w:t>合同总额包含包装费、仓储费、运输费、保险费、装卸费、随机零配件、标配工具、安装调试费、培训费、保修服务费、商检费、税费、设备以及项目实施过程中的应预见或不可预见费用。</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三、设备要求</w:t>
      </w:r>
    </w:p>
    <w:p>
      <w:pPr>
        <w:tabs>
          <w:tab w:val="left" w:pos="360"/>
        </w:tabs>
        <w:spacing w:line="46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1.货物为原制造商制造的全新产品，整机无污染，无侵权行为、表面无划损、无任何缺陷隐患，在中国境内可依常规安全合法使用。</w:t>
      </w:r>
    </w:p>
    <w:p>
      <w:pPr>
        <w:tabs>
          <w:tab w:val="left" w:pos="360"/>
        </w:tabs>
        <w:spacing w:line="46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2.交付验收标准</w:t>
      </w:r>
      <w:r>
        <w:rPr>
          <w:rFonts w:hint="eastAsia" w:ascii="宋体" w:hAnsi="宋体" w:eastAsia="宋体" w:cs="Times New Roman"/>
          <w:color w:val="auto"/>
          <w:sz w:val="24"/>
          <w:highlight w:val="none"/>
          <w:lang w:val="en-GB" w:eastAsia="zh-CN"/>
        </w:rPr>
        <w:t>依次序对照适用标准为：</w:t>
      </w:r>
      <w:r>
        <w:rPr>
          <w:rFonts w:hint="eastAsia" w:ascii="宋体" w:hAnsi="宋体" w:eastAsia="宋体" w:cs="Times New Roman"/>
          <w:color w:val="auto"/>
          <w:sz w:val="24"/>
          <w:highlight w:val="none"/>
          <w:lang w:val="en-US" w:eastAsia="zh-CN"/>
        </w:rPr>
        <w:t>①符合中华人民共和国国家安全质量标准、环保标准或行业标准；②符合采购文件和响应承诺中甲方认可的合理最佳配置、参数及各项要求；③货物来源国官方标准。</w:t>
      </w:r>
    </w:p>
    <w:p>
      <w:pPr>
        <w:tabs>
          <w:tab w:val="left" w:pos="360"/>
        </w:tabs>
        <w:spacing w:line="46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3.进口产品必须具备原产地证明和商检局的检验证明及合法进货渠道证明。</w:t>
      </w:r>
    </w:p>
    <w:p>
      <w:pPr>
        <w:tabs>
          <w:tab w:val="left" w:pos="360"/>
        </w:tabs>
        <w:spacing w:line="46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4.货物为原厂商未启封全新包装，具出厂合格证，序列号、包装箱号与出厂批号一致，并可追索查阅。</w:t>
      </w:r>
    </w:p>
    <w:p>
      <w:pPr>
        <w:tabs>
          <w:tab w:val="left" w:pos="360"/>
        </w:tabs>
        <w:spacing w:line="46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5.乙方应将关键主机设备的用户手册、保修手册、有关单证资料及配备件、随机工具等交付给甲方，使用操作及安全须知等重要资料应附有中文说明。</w:t>
      </w:r>
    </w:p>
    <w:p>
      <w:pPr>
        <w:spacing w:line="4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四、交货期、交货方式及交货地点</w:t>
      </w:r>
    </w:p>
    <w:p>
      <w:pPr>
        <w:spacing w:line="460" w:lineRule="exact"/>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交货期：合同签订之日起</w:t>
      </w:r>
      <w:r>
        <w:rPr>
          <w:rFonts w:hint="eastAsia" w:ascii="宋体" w:hAnsi="宋体"/>
          <w:color w:val="auto"/>
          <w:sz w:val="24"/>
          <w:highlight w:val="none"/>
          <w:lang w:val="en-US" w:eastAsia="zh-CN"/>
        </w:rPr>
        <w:t>30天内</w:t>
      </w:r>
      <w:r>
        <w:rPr>
          <w:rFonts w:hint="eastAsia" w:ascii="宋体" w:hAnsi="宋体"/>
          <w:color w:val="auto"/>
          <w:sz w:val="24"/>
          <w:highlight w:val="none"/>
        </w:rPr>
        <w:t>完成设备的供货、安装与调试，并完成对</w:t>
      </w:r>
      <w:r>
        <w:rPr>
          <w:rFonts w:hint="eastAsia" w:ascii="宋体" w:hAnsi="宋体"/>
          <w:color w:val="auto"/>
          <w:sz w:val="24"/>
          <w:highlight w:val="none"/>
          <w:lang w:eastAsia="zh-CN"/>
        </w:rPr>
        <w:t>甲方</w:t>
      </w:r>
      <w:r>
        <w:rPr>
          <w:rFonts w:hint="eastAsia" w:ascii="宋体" w:hAnsi="宋体"/>
          <w:color w:val="auto"/>
          <w:sz w:val="24"/>
          <w:highlight w:val="none"/>
        </w:rPr>
        <w:t>相关人员的操作与使用培训</w:t>
      </w:r>
      <w:r>
        <w:rPr>
          <w:rFonts w:hint="eastAsia" w:ascii="宋体" w:hAnsi="宋体"/>
          <w:color w:val="auto"/>
          <w:sz w:val="24"/>
          <w:highlight w:val="none"/>
          <w:lang w:eastAsia="zh-CN"/>
        </w:rPr>
        <w:t>。</w:t>
      </w:r>
    </w:p>
    <w:p>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交货方式：送货上门</w:t>
      </w:r>
    </w:p>
    <w:p>
      <w:pPr>
        <w:spacing w:line="460" w:lineRule="exact"/>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交货地点</w:t>
      </w:r>
      <w:r>
        <w:rPr>
          <w:rFonts w:hint="eastAsia" w:ascii="宋体" w:hAnsi="宋体"/>
          <w:color w:val="auto"/>
          <w:sz w:val="24"/>
          <w:highlight w:val="none"/>
          <w:lang w:eastAsia="zh-CN"/>
        </w:rPr>
        <w:t>：甲方指定地点</w:t>
      </w:r>
    </w:p>
    <w:p>
      <w:pPr>
        <w:spacing w:line="4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五、付款方式</w:t>
      </w:r>
    </w:p>
    <w:p>
      <w:pPr>
        <w:spacing w:line="460" w:lineRule="exact"/>
        <w:ind w:firstLine="480" w:firstLineChars="200"/>
        <w:rPr>
          <w:rFonts w:hint="eastAsia" w:ascii="宋体" w:hAnsi="宋体"/>
          <w:color w:val="auto"/>
          <w:sz w:val="24"/>
          <w:highlight w:val="none"/>
          <w:lang w:val="en-US"/>
        </w:rPr>
      </w:pPr>
      <w:r>
        <w:rPr>
          <w:rFonts w:hint="eastAsia" w:ascii="宋体" w:hAnsi="宋体"/>
          <w:color w:val="auto"/>
          <w:sz w:val="24"/>
          <w:highlight w:val="none"/>
          <w:lang w:val="en-US" w:eastAsia="zh-CN"/>
        </w:rPr>
        <w:t>1.</w:t>
      </w:r>
      <w:r>
        <w:rPr>
          <w:rFonts w:hint="eastAsia" w:ascii="宋体" w:hAnsi="宋体"/>
          <w:color w:val="auto"/>
          <w:sz w:val="24"/>
          <w:highlight w:val="none"/>
          <w:lang w:val="en-US"/>
        </w:rPr>
        <w:t>设备验收合格当天计算1个月内，支付合同总额的100%。</w:t>
      </w:r>
    </w:p>
    <w:p>
      <w:pPr>
        <w:spacing w:line="460" w:lineRule="exact"/>
        <w:ind w:firstLine="480" w:firstLineChars="200"/>
        <w:rPr>
          <w:rFonts w:hint="eastAsia" w:ascii="宋体" w:hAnsi="宋体"/>
          <w:color w:val="auto"/>
          <w:sz w:val="24"/>
          <w:highlight w:val="none"/>
          <w:lang w:val="en-US"/>
        </w:rPr>
      </w:pPr>
      <w:r>
        <w:rPr>
          <w:rFonts w:hint="eastAsia" w:ascii="宋体" w:hAnsi="宋体"/>
          <w:color w:val="auto"/>
          <w:sz w:val="24"/>
          <w:highlight w:val="none"/>
          <w:lang w:val="en-US" w:eastAsia="zh-CN"/>
        </w:rPr>
        <w:t>2.甲方</w:t>
      </w:r>
      <w:r>
        <w:rPr>
          <w:rFonts w:hint="eastAsia" w:ascii="宋体" w:hAnsi="宋体"/>
          <w:color w:val="auto"/>
          <w:sz w:val="24"/>
          <w:highlight w:val="none"/>
          <w:lang w:val="en-US"/>
        </w:rPr>
        <w:t>通过银行转账的方式支付,且</w:t>
      </w:r>
      <w:r>
        <w:rPr>
          <w:rFonts w:hint="eastAsia" w:ascii="宋体" w:hAnsi="宋体"/>
          <w:color w:val="auto"/>
          <w:sz w:val="24"/>
          <w:highlight w:val="none"/>
          <w:lang w:val="en-US" w:eastAsia="zh-CN"/>
        </w:rPr>
        <w:t>乙方</w:t>
      </w:r>
      <w:r>
        <w:rPr>
          <w:rFonts w:hint="eastAsia" w:ascii="宋体" w:hAnsi="宋体"/>
          <w:color w:val="auto"/>
          <w:sz w:val="24"/>
          <w:highlight w:val="none"/>
          <w:lang w:val="en-US"/>
        </w:rPr>
        <w:t>应向</w:t>
      </w:r>
      <w:r>
        <w:rPr>
          <w:rFonts w:hint="eastAsia" w:ascii="宋体" w:hAnsi="宋体"/>
          <w:color w:val="auto"/>
          <w:sz w:val="24"/>
          <w:highlight w:val="none"/>
          <w:lang w:val="en-US" w:eastAsia="zh-CN"/>
        </w:rPr>
        <w:t>甲方</w:t>
      </w:r>
      <w:r>
        <w:rPr>
          <w:rFonts w:hint="eastAsia" w:ascii="宋体" w:hAnsi="宋体"/>
          <w:color w:val="auto"/>
          <w:sz w:val="24"/>
          <w:highlight w:val="none"/>
          <w:lang w:val="en-US"/>
        </w:rPr>
        <w:t>出具合法有效完整的完税发票及凭证进行支付结算。</w:t>
      </w:r>
    </w:p>
    <w:p>
      <w:pPr>
        <w:spacing w:line="460" w:lineRule="exact"/>
        <w:ind w:firstLine="480" w:firstLineChars="200"/>
        <w:rPr>
          <w:rFonts w:hint="eastAsia" w:ascii="宋体" w:hAnsi="宋体"/>
          <w:color w:val="auto"/>
          <w:sz w:val="24"/>
          <w:highlight w:val="none"/>
          <w:lang w:val="en-US"/>
        </w:rPr>
      </w:pPr>
      <w:r>
        <w:rPr>
          <w:rFonts w:hint="eastAsia" w:ascii="宋体" w:hAnsi="宋体"/>
          <w:color w:val="auto"/>
          <w:sz w:val="24"/>
          <w:highlight w:val="none"/>
          <w:lang w:val="en-US" w:eastAsia="zh-CN"/>
        </w:rPr>
        <w:t>3.</w:t>
      </w:r>
      <w:r>
        <w:rPr>
          <w:rFonts w:hint="eastAsia" w:ascii="宋体" w:hAnsi="宋体"/>
          <w:color w:val="auto"/>
          <w:sz w:val="24"/>
          <w:highlight w:val="none"/>
          <w:lang w:val="en-US"/>
        </w:rPr>
        <w:t>该合同款项（部分）由财政拨付，如非因</w:t>
      </w:r>
      <w:r>
        <w:rPr>
          <w:rFonts w:hint="eastAsia" w:ascii="宋体" w:hAnsi="宋体"/>
          <w:color w:val="auto"/>
          <w:sz w:val="24"/>
          <w:highlight w:val="none"/>
          <w:lang w:val="en-US" w:eastAsia="zh-CN"/>
        </w:rPr>
        <w:t>甲方</w:t>
      </w:r>
      <w:r>
        <w:rPr>
          <w:rFonts w:hint="eastAsia" w:ascii="宋体" w:hAnsi="宋体"/>
          <w:color w:val="auto"/>
          <w:sz w:val="24"/>
          <w:highlight w:val="none"/>
          <w:lang w:val="en-US"/>
        </w:rPr>
        <w:t>原因，而是因财政资金没有及时拨付到位而导致延期支付的，</w:t>
      </w:r>
      <w:r>
        <w:rPr>
          <w:rFonts w:hint="eastAsia" w:ascii="宋体" w:hAnsi="宋体"/>
          <w:color w:val="auto"/>
          <w:sz w:val="24"/>
          <w:highlight w:val="none"/>
          <w:lang w:val="en-US" w:eastAsia="zh-CN"/>
        </w:rPr>
        <w:t>乙方</w:t>
      </w:r>
      <w:r>
        <w:rPr>
          <w:rFonts w:hint="eastAsia" w:ascii="宋体" w:hAnsi="宋体"/>
          <w:color w:val="auto"/>
          <w:sz w:val="24"/>
          <w:highlight w:val="none"/>
          <w:lang w:val="en-US"/>
        </w:rPr>
        <w:t>对此予以谅解，不予追究</w:t>
      </w:r>
      <w:r>
        <w:rPr>
          <w:rFonts w:hint="eastAsia" w:ascii="宋体" w:hAnsi="宋体"/>
          <w:color w:val="auto"/>
          <w:sz w:val="24"/>
          <w:highlight w:val="none"/>
          <w:lang w:val="en-US" w:eastAsia="zh-CN"/>
        </w:rPr>
        <w:t>甲方</w:t>
      </w:r>
      <w:r>
        <w:rPr>
          <w:rFonts w:hint="eastAsia" w:ascii="宋体" w:hAnsi="宋体"/>
          <w:color w:val="auto"/>
          <w:sz w:val="24"/>
          <w:highlight w:val="none"/>
          <w:lang w:val="en-US"/>
        </w:rPr>
        <w:t>任何违约责任。</w:t>
      </w:r>
    </w:p>
    <w:p>
      <w:pPr>
        <w:spacing w:line="46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乙方账户信息如下：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宋体"/>
          <w:color w:val="auto"/>
          <w:sz w:val="24"/>
          <w:szCs w:val="24"/>
          <w:highlight w:val="none"/>
          <w:lang w:val="en-US" w:eastAsia="zh-CN"/>
        </w:rPr>
        <w:t>税号：</w:t>
      </w:r>
    </w:p>
    <w:p>
      <w:pPr>
        <w:numPr>
          <w:ilvl w:val="0"/>
          <w:numId w:val="0"/>
        </w:numPr>
        <w:spacing w:line="460" w:lineRule="exact"/>
        <w:ind w:leftChars="0" w:firstLine="482" w:firstLineChars="200"/>
        <w:rPr>
          <w:rFonts w:ascii="宋体"/>
          <w:b/>
          <w:color w:val="auto"/>
          <w:sz w:val="24"/>
          <w:highlight w:val="none"/>
        </w:rPr>
      </w:pPr>
      <w:r>
        <w:rPr>
          <w:rFonts w:hint="eastAsia" w:ascii="宋体" w:hAnsi="宋体"/>
          <w:b/>
          <w:color w:val="auto"/>
          <w:sz w:val="24"/>
          <w:highlight w:val="none"/>
          <w:lang w:val="en-US" w:eastAsia="zh-CN"/>
        </w:rPr>
        <w:t>六、</w:t>
      </w:r>
      <w:r>
        <w:rPr>
          <w:rFonts w:hint="eastAsia" w:ascii="宋体" w:hAnsi="宋体"/>
          <w:b/>
          <w:color w:val="auto"/>
          <w:sz w:val="24"/>
          <w:highlight w:val="none"/>
        </w:rPr>
        <w:t>质保期及售后服务要求</w:t>
      </w:r>
    </w:p>
    <w:p>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合同设备自验收之日起</w:t>
      </w:r>
      <w:r>
        <w:rPr>
          <w:rFonts w:hint="eastAsia" w:ascii="宋体" w:hAnsi="宋体"/>
          <w:color w:val="auto"/>
          <w:sz w:val="24"/>
          <w:highlight w:val="none"/>
          <w:lang w:eastAsia="zh-CN"/>
        </w:rPr>
        <w:t>质保期</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eastAsia="zh-CN"/>
        </w:rPr>
        <w:t>。质保期内非甲方的人为原因而出现产品质量及安装问题，由乙方负责包修、包换包退、包</w:t>
      </w:r>
      <w:r>
        <w:rPr>
          <w:rFonts w:hint="eastAsia" w:ascii="宋体" w:hAnsi="宋体"/>
          <w:color w:val="auto"/>
          <w:sz w:val="24"/>
          <w:highlight w:val="none"/>
        </w:rPr>
        <w:t>维护保养，并承担因此而产生的一切费用。</w:t>
      </w:r>
      <w:r>
        <w:rPr>
          <w:rFonts w:hint="eastAsia" w:ascii="宋体" w:hAnsi="宋体"/>
          <w:color w:val="auto"/>
          <w:sz w:val="24"/>
          <w:highlight w:val="none"/>
          <w:lang w:val="en-US" w:eastAsia="zh-CN"/>
        </w:rPr>
        <w:t>终身维修，质保期过后，</w:t>
      </w:r>
      <w:r>
        <w:rPr>
          <w:rFonts w:hint="eastAsia" w:ascii="宋体" w:hAnsi="宋体"/>
          <w:color w:val="auto"/>
          <w:sz w:val="24"/>
          <w:highlight w:val="none"/>
        </w:rPr>
        <w:t>不收取服务费，只收取零件成本费用。</w:t>
      </w:r>
    </w:p>
    <w:p>
      <w:pPr>
        <w:spacing w:line="460" w:lineRule="exact"/>
        <w:ind w:firstLine="480" w:firstLineChars="200"/>
        <w:jc w:val="both"/>
        <w:rPr>
          <w:rFonts w:hint="eastAsia" w:ascii="宋体" w:hAnsi="宋体"/>
          <w:color w:val="auto"/>
          <w:sz w:val="24"/>
          <w:highlight w:val="none"/>
          <w:lang w:eastAsia="zh-CN"/>
        </w:rPr>
      </w:pPr>
      <w:r>
        <w:rPr>
          <w:rFonts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质保期内，如设备或零部件因非人为因素出现故障而造成短期停用时，则</w:t>
      </w:r>
      <w:r>
        <w:rPr>
          <w:rFonts w:hint="eastAsia" w:ascii="宋体" w:hAnsi="宋体"/>
          <w:color w:val="auto"/>
          <w:sz w:val="24"/>
          <w:highlight w:val="none"/>
          <w:lang w:eastAsia="zh-CN"/>
        </w:rPr>
        <w:t>质保期和维修期相应顺延。如停用时间累计超过60天则质保期重新计算。</w:t>
      </w:r>
    </w:p>
    <w:p>
      <w:pPr>
        <w:spacing w:line="46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3.对</w:t>
      </w:r>
      <w:r>
        <w:rPr>
          <w:rFonts w:hint="eastAsia" w:ascii="宋体" w:hAnsi="宋体"/>
          <w:color w:val="auto"/>
          <w:sz w:val="24"/>
          <w:highlight w:val="none"/>
          <w:lang w:val="en-US" w:eastAsia="zh-CN"/>
        </w:rPr>
        <w:t>甲方</w:t>
      </w:r>
      <w:r>
        <w:rPr>
          <w:rFonts w:hint="eastAsia" w:ascii="宋体" w:hAnsi="宋体"/>
          <w:color w:val="auto"/>
          <w:sz w:val="24"/>
          <w:highlight w:val="none"/>
          <w:lang w:eastAsia="zh-CN"/>
        </w:rPr>
        <w:t>的服务通知，</w:t>
      </w:r>
      <w:r>
        <w:rPr>
          <w:rFonts w:hint="eastAsia" w:ascii="宋体" w:hAnsi="宋体"/>
          <w:color w:val="auto"/>
          <w:sz w:val="24"/>
          <w:highlight w:val="none"/>
          <w:lang w:val="en-US" w:eastAsia="zh-CN"/>
        </w:rPr>
        <w:t>乙方</w:t>
      </w:r>
      <w:r>
        <w:rPr>
          <w:rFonts w:hint="eastAsia" w:ascii="宋体" w:hAnsi="宋体"/>
          <w:color w:val="auto"/>
          <w:sz w:val="24"/>
          <w:highlight w:val="none"/>
          <w:lang w:eastAsia="zh-CN"/>
        </w:rPr>
        <w:t>接报后2小时内做出回应,并在48小时内派人员到达用户现场实施维修并排除故障。若在48小时内仍未能有效解决，</w:t>
      </w:r>
      <w:r>
        <w:rPr>
          <w:rFonts w:hint="eastAsia" w:ascii="宋体" w:hAnsi="宋体"/>
          <w:color w:val="auto"/>
          <w:sz w:val="24"/>
          <w:highlight w:val="none"/>
          <w:lang w:val="en-US" w:eastAsia="zh-CN"/>
        </w:rPr>
        <w:t>乙方</w:t>
      </w:r>
      <w:r>
        <w:rPr>
          <w:rFonts w:hint="eastAsia" w:ascii="宋体" w:hAnsi="宋体"/>
          <w:color w:val="auto"/>
          <w:sz w:val="24"/>
          <w:highlight w:val="none"/>
          <w:lang w:eastAsia="zh-CN"/>
        </w:rPr>
        <w:t>须提供同类型的设备予</w:t>
      </w:r>
      <w:r>
        <w:rPr>
          <w:rFonts w:hint="eastAsia" w:ascii="宋体" w:hAnsi="宋体"/>
          <w:color w:val="auto"/>
          <w:sz w:val="24"/>
          <w:highlight w:val="none"/>
          <w:lang w:val="en-US" w:eastAsia="zh-CN"/>
        </w:rPr>
        <w:t>甲方</w:t>
      </w:r>
      <w:r>
        <w:rPr>
          <w:rFonts w:hint="eastAsia" w:ascii="宋体" w:hAnsi="宋体"/>
          <w:color w:val="auto"/>
          <w:sz w:val="24"/>
          <w:highlight w:val="none"/>
          <w:lang w:eastAsia="zh-CN"/>
        </w:rPr>
        <w:t>临时使用。</w:t>
      </w:r>
    </w:p>
    <w:p>
      <w:pPr>
        <w:spacing w:line="460" w:lineRule="exact"/>
        <w:ind w:firstLine="480" w:firstLineChars="200"/>
        <w:rPr>
          <w:color w:val="auto"/>
          <w:highlight w:val="none"/>
        </w:rPr>
      </w:pPr>
      <w:r>
        <w:rPr>
          <w:rFonts w:hint="eastAsia" w:ascii="宋体" w:hAnsi="宋体"/>
          <w:color w:val="auto"/>
          <w:sz w:val="24"/>
          <w:highlight w:val="none"/>
          <w:lang w:eastAsia="zh-CN"/>
        </w:rPr>
        <w:t>4.乙方未按本合同第六大项第3</w:t>
      </w:r>
      <w:r>
        <w:rPr>
          <w:rFonts w:hint="eastAsia" w:ascii="宋体" w:hAnsi="宋体"/>
          <w:color w:val="auto"/>
          <w:sz w:val="24"/>
          <w:highlight w:val="none"/>
        </w:rPr>
        <w:t>小项进行响应的，甲方可另行委托第三方进行维修，由此产生的费用由乙方承担。</w:t>
      </w:r>
    </w:p>
    <w:p>
      <w:pPr>
        <w:spacing w:line="4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七、安装与调试</w:t>
      </w:r>
    </w:p>
    <w:p>
      <w:pPr>
        <w:spacing w:line="460" w:lineRule="exact"/>
        <w:ind w:firstLine="480" w:firstLineChars="200"/>
        <w:rPr>
          <w:rFonts w:ascii="宋体"/>
          <w:color w:val="auto"/>
          <w:sz w:val="24"/>
          <w:highlight w:val="none"/>
        </w:rPr>
      </w:pPr>
      <w:r>
        <w:rPr>
          <w:rFonts w:hint="eastAsia" w:ascii="宋体" w:hAnsi="宋体"/>
          <w:color w:val="auto"/>
          <w:sz w:val="24"/>
          <w:highlight w:val="none"/>
        </w:rPr>
        <w:t>乙方必须依照采购文件的要求和报价文件的承诺，将设备、系统安装并调试至正常运行的最佳状态。</w:t>
      </w:r>
    </w:p>
    <w:p>
      <w:pPr>
        <w:spacing w:line="46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八、验收</w:t>
      </w:r>
    </w:p>
    <w:p>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1</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货物为原制造商制造的全新产品，整机无污染，无侵权行为、表面无划损、无任何缺陷隐患，在中国境内可依常规安全合法使用。</w:t>
      </w:r>
    </w:p>
    <w:p>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2</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交付验收标准依次序对照适用标准为：①符合中华人民共和国国家安全质量标准、环保标准或行业标准；②符合采购文件和响应承诺中甲方认可的合理最佳配置、参数及各项要求；③货物来源国官方标准。</w:t>
      </w:r>
    </w:p>
    <w:p>
      <w:pPr>
        <w:tabs>
          <w:tab w:val="left" w:pos="900"/>
        </w:tabs>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进口产品必须具备原产地证明和商检局的检验证明及合法进货渠道证明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报关单、完税凭证</w:t>
      </w:r>
      <w:r>
        <w:rPr>
          <w:rFonts w:hint="eastAsia" w:ascii="宋体" w:hAnsi="宋体" w:eastAsia="宋体" w:cs="宋体"/>
          <w:color w:val="auto"/>
          <w:sz w:val="24"/>
          <w:highlight w:val="none"/>
          <w:lang w:eastAsia="zh-CN"/>
        </w:rPr>
        <w:t>等资料</w:t>
      </w:r>
      <w:r>
        <w:rPr>
          <w:rFonts w:hint="eastAsia" w:ascii="宋体" w:hAnsi="宋体" w:eastAsia="宋体" w:cs="宋体"/>
          <w:color w:val="auto"/>
          <w:sz w:val="24"/>
          <w:highlight w:val="none"/>
        </w:rPr>
        <w:t>。</w:t>
      </w:r>
    </w:p>
    <w:p>
      <w:pPr>
        <w:tabs>
          <w:tab w:val="left" w:pos="900"/>
        </w:tabs>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货物为原厂商未启封全新包装，具出厂合格证，序列号、包装箱号与出厂批号一致，并</w:t>
      </w:r>
      <w:r>
        <w:rPr>
          <w:rFonts w:hint="eastAsia" w:ascii="宋体" w:hAnsi="宋体" w:cs="宋体"/>
          <w:color w:val="auto"/>
          <w:sz w:val="24"/>
          <w:highlight w:val="none"/>
          <w:lang w:eastAsia="zh-CN"/>
        </w:rPr>
        <w:t>可追溯</w:t>
      </w:r>
      <w:r>
        <w:rPr>
          <w:rFonts w:hint="eastAsia" w:ascii="宋体" w:hAnsi="宋体" w:eastAsia="宋体" w:cs="宋体"/>
          <w:color w:val="auto"/>
          <w:sz w:val="24"/>
          <w:highlight w:val="none"/>
        </w:rPr>
        <w:t>查阅。</w:t>
      </w:r>
    </w:p>
    <w:p>
      <w:pPr>
        <w:tabs>
          <w:tab w:val="left" w:pos="900"/>
        </w:tabs>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乙方应将关键主机设备的用户手册、保修手册、有关单证资料及配备件、随机工具等交付给甲方，使用操作及安全须知等重要资料应附有中文说明。</w:t>
      </w:r>
    </w:p>
    <w:p>
      <w:pPr>
        <w:tabs>
          <w:tab w:val="left" w:pos="900"/>
        </w:tabs>
        <w:spacing w:line="4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6.乙方验收时须一并提供由生产商负责质保期内全部售后服务的承诺函并加盖生产商公章，未能提供则验收不通过。甲方有权追溯乙方的响应文件，视为提供虚假材料。</w:t>
      </w:r>
    </w:p>
    <w:p>
      <w:pPr>
        <w:tabs>
          <w:tab w:val="left" w:pos="900"/>
        </w:tabs>
        <w:spacing w:line="460" w:lineRule="exact"/>
        <w:ind w:firstLine="480" w:firstLineChars="200"/>
        <w:rPr>
          <w:rFonts w:hint="eastAsia" w:ascii="宋体" w:hAnsi="宋体" w:cs="Times New Roman"/>
          <w:color w:val="auto"/>
          <w:sz w:val="24"/>
          <w:highlight w:val="none"/>
        </w:rPr>
      </w:pPr>
      <w:r>
        <w:rPr>
          <w:rFonts w:hint="eastAsia" w:ascii="仿宋" w:hAnsi="仿宋" w:eastAsia="仿宋" w:cs="仿宋"/>
          <w:color w:val="auto"/>
          <w:sz w:val="24"/>
          <w:highlight w:val="none"/>
          <w:lang w:val="en-US" w:eastAsia="zh-CN"/>
        </w:rPr>
        <w:t>7.</w:t>
      </w:r>
      <w:r>
        <w:rPr>
          <w:rFonts w:hint="eastAsia" w:ascii="宋体" w:hAnsi="宋体" w:cs="Times New Roman"/>
          <w:color w:val="auto"/>
          <w:sz w:val="24"/>
          <w:highlight w:val="none"/>
        </w:rPr>
        <w:t>验收时间：</w:t>
      </w:r>
      <w:r>
        <w:rPr>
          <w:rFonts w:hint="eastAsia" w:ascii="宋体" w:hAnsi="宋体" w:cs="Times New Roman"/>
          <w:color w:val="auto"/>
          <w:sz w:val="24"/>
          <w:highlight w:val="none"/>
          <w:lang w:eastAsia="zh-CN"/>
        </w:rPr>
        <w:t>乙方</w:t>
      </w:r>
      <w:r>
        <w:rPr>
          <w:rFonts w:hint="eastAsia" w:ascii="宋体" w:hAnsi="宋体" w:cs="Times New Roman"/>
          <w:color w:val="auto"/>
          <w:sz w:val="24"/>
          <w:highlight w:val="none"/>
        </w:rPr>
        <w:t>按</w:t>
      </w:r>
      <w:r>
        <w:rPr>
          <w:rFonts w:hint="eastAsia" w:ascii="宋体" w:hAnsi="宋体" w:cs="Times New Roman"/>
          <w:color w:val="auto"/>
          <w:sz w:val="24"/>
          <w:highlight w:val="none"/>
          <w:lang w:eastAsia="zh-CN"/>
        </w:rPr>
        <w:t>甲方</w:t>
      </w:r>
      <w:r>
        <w:rPr>
          <w:rFonts w:hint="eastAsia" w:ascii="宋体" w:hAnsi="宋体" w:cs="Times New Roman"/>
          <w:color w:val="auto"/>
          <w:sz w:val="24"/>
          <w:highlight w:val="none"/>
        </w:rPr>
        <w:t>要求，将设备在指定地点安装、调试、培训至正常使用后，由</w:t>
      </w:r>
      <w:r>
        <w:rPr>
          <w:rFonts w:hint="eastAsia" w:ascii="宋体" w:hAnsi="宋体" w:cs="Times New Roman"/>
          <w:color w:val="auto"/>
          <w:sz w:val="24"/>
          <w:highlight w:val="none"/>
          <w:lang w:eastAsia="zh-CN"/>
        </w:rPr>
        <w:t>乙</w:t>
      </w:r>
      <w:r>
        <w:rPr>
          <w:rFonts w:hint="eastAsia" w:ascii="宋体" w:hAnsi="宋体" w:cs="Times New Roman"/>
          <w:color w:val="auto"/>
          <w:sz w:val="24"/>
          <w:highlight w:val="none"/>
        </w:rPr>
        <w:t>方提出验收申请，</w:t>
      </w:r>
      <w:r>
        <w:rPr>
          <w:rFonts w:hint="eastAsia" w:ascii="宋体" w:hAnsi="宋体" w:cs="Times New Roman"/>
          <w:color w:val="auto"/>
          <w:sz w:val="24"/>
          <w:highlight w:val="none"/>
          <w:lang w:eastAsia="zh-CN"/>
        </w:rPr>
        <w:t>甲方</w:t>
      </w:r>
      <w:r>
        <w:rPr>
          <w:rFonts w:hint="eastAsia" w:ascii="宋体" w:hAnsi="宋体" w:cs="Times New Roman"/>
          <w:color w:val="auto"/>
          <w:sz w:val="24"/>
          <w:highlight w:val="none"/>
        </w:rPr>
        <w:t>接到验收申请后壹个月内组织验收。</w:t>
      </w:r>
    </w:p>
    <w:p>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九、</w:t>
      </w:r>
      <w:r>
        <w:rPr>
          <w:rFonts w:hint="eastAsia" w:ascii="宋体" w:hAnsi="宋体"/>
          <w:b/>
          <w:color w:val="auto"/>
          <w:sz w:val="24"/>
          <w:highlight w:val="none"/>
        </w:rPr>
        <w:t>违约责任与赔偿损失</w:t>
      </w:r>
    </w:p>
    <w:p>
      <w:pPr>
        <w:tabs>
          <w:tab w:val="left" w:pos="900"/>
        </w:tabs>
        <w:spacing w:line="460" w:lineRule="exact"/>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乙方交付的货物、提供的服务不符合采购文件、报价文件或本合同规定的，甲方有权拒收，并且乙方须向甲方支付本合同总价</w:t>
      </w:r>
      <w:r>
        <w:rPr>
          <w:rFonts w:ascii="宋体" w:hAnsi="宋体"/>
          <w:color w:val="auto"/>
          <w:sz w:val="24"/>
          <w:highlight w:val="none"/>
        </w:rPr>
        <w:t>5%</w:t>
      </w:r>
      <w:r>
        <w:rPr>
          <w:rFonts w:hint="eastAsia" w:ascii="宋体" w:hAnsi="宋体"/>
          <w:color w:val="auto"/>
          <w:sz w:val="24"/>
          <w:highlight w:val="none"/>
        </w:rPr>
        <w:t>的违约金。</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440" w:lineRule="exact"/>
        <w:ind w:right="21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2．乙方未能按本合同规定的交货时间交付货物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提供服务的，从逾期之日起每日按本合同总价</w:t>
      </w:r>
      <w:r>
        <w:rPr>
          <w:rFonts w:hint="eastAsia" w:ascii="宋体" w:hAnsi="宋体" w:cs="宋体"/>
          <w:color w:val="auto"/>
          <w:sz w:val="24"/>
          <w:szCs w:val="24"/>
          <w:highlight w:val="none"/>
          <w:lang w:eastAsia="zh-CN"/>
        </w:rPr>
        <w:t>万分之五</w:t>
      </w:r>
      <w:r>
        <w:rPr>
          <w:rFonts w:hint="eastAsia" w:ascii="宋体" w:hAnsi="宋体" w:eastAsia="宋体" w:cs="宋体"/>
          <w:color w:val="auto"/>
          <w:sz w:val="24"/>
          <w:szCs w:val="24"/>
          <w:highlight w:val="none"/>
        </w:rPr>
        <w:t>的数额向甲方支付违约金；逾期半个月以上的，甲方有权终止合同，由此造成的甲方经济损失由乙方承担。</w:t>
      </w:r>
    </w:p>
    <w:p>
      <w:pPr>
        <w:keepNext w:val="0"/>
        <w:keepLines w:val="0"/>
        <w:pageBreakBefore w:val="0"/>
        <w:widowControl w:val="0"/>
        <w:tabs>
          <w:tab w:val="left" w:pos="90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3．甲方无正当理由拒收货物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接受服务，到期拒付货物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服务款项的，甲方向乙方偿付</w:t>
      </w:r>
      <w:r>
        <w:rPr>
          <w:rFonts w:hint="eastAsia" w:ascii="宋体" w:hAnsi="宋体" w:cs="宋体"/>
          <w:color w:val="auto"/>
          <w:sz w:val="24"/>
          <w:highlight w:val="none"/>
        </w:rPr>
        <w:t>拒付款项</w:t>
      </w:r>
      <w:r>
        <w:rPr>
          <w:rFonts w:hint="eastAsia" w:ascii="宋体" w:hAnsi="宋体" w:eastAsia="宋体" w:cs="宋体"/>
          <w:color w:val="auto"/>
          <w:sz w:val="24"/>
          <w:szCs w:val="24"/>
          <w:highlight w:val="none"/>
        </w:rPr>
        <w:t>5%的违约金。甲方逾期付款，则每日按</w:t>
      </w:r>
      <w:r>
        <w:rPr>
          <w:rFonts w:hint="eastAsia" w:ascii="宋体" w:hAnsi="宋体" w:cs="宋体"/>
          <w:color w:val="auto"/>
          <w:sz w:val="24"/>
          <w:szCs w:val="24"/>
          <w:highlight w:val="none"/>
          <w:lang w:eastAsia="zh-CN"/>
        </w:rPr>
        <w:t>应付款</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万分之五</w:t>
      </w:r>
      <w:r>
        <w:rPr>
          <w:rFonts w:hint="eastAsia" w:ascii="宋体" w:hAnsi="宋体" w:eastAsia="宋体" w:cs="宋体"/>
          <w:color w:val="auto"/>
          <w:sz w:val="24"/>
          <w:szCs w:val="24"/>
          <w:highlight w:val="none"/>
        </w:rPr>
        <w:t>向乙方偿付违约金。</w:t>
      </w:r>
    </w:p>
    <w:p>
      <w:pPr>
        <w:spacing w:line="460" w:lineRule="exact"/>
        <w:ind w:firstLine="600" w:firstLineChars="250"/>
        <w:rPr>
          <w:rFonts w:asci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其它违约责任按《中华人民共和国民法典》处理。</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十、争议的解决</w:t>
      </w:r>
    </w:p>
    <w:p>
      <w:pPr>
        <w:tabs>
          <w:tab w:val="left" w:pos="824"/>
        </w:tabs>
        <w:spacing w:line="460" w:lineRule="exact"/>
        <w:ind w:firstLine="480" w:firstLineChars="200"/>
        <w:rPr>
          <w:rFonts w:hint="eastAsia" w:ascii="宋体" w:hAnsi="宋体"/>
          <w:color w:val="auto"/>
          <w:sz w:val="24"/>
          <w:highlight w:val="none"/>
        </w:rPr>
      </w:pPr>
      <w:r>
        <w:rPr>
          <w:rFonts w:hint="default"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hint="default" w:ascii="宋体" w:hAnsi="宋体"/>
          <w:color w:val="auto"/>
          <w:sz w:val="24"/>
          <w:highlight w:val="none"/>
        </w:rPr>
        <w:t>。</w:t>
      </w:r>
    </w:p>
    <w:p>
      <w:pPr>
        <w:tabs>
          <w:tab w:val="left" w:pos="824"/>
        </w:tabs>
        <w:spacing w:line="460" w:lineRule="exact"/>
        <w:ind w:firstLine="482" w:firstLineChars="200"/>
        <w:rPr>
          <w:rFonts w:hint="eastAsia" w:ascii="宋体" w:hAnsi="宋体"/>
          <w:b/>
          <w:color w:val="auto"/>
          <w:sz w:val="24"/>
          <w:highlight w:val="none"/>
        </w:rPr>
      </w:pPr>
      <w:r>
        <w:rPr>
          <w:rFonts w:hint="eastAsia" w:ascii="宋体" w:hAnsi="宋体"/>
          <w:b/>
          <w:bCs/>
          <w:color w:val="auto"/>
          <w:sz w:val="24"/>
          <w:highlight w:val="none"/>
          <w:lang w:eastAsia="zh-CN"/>
        </w:rPr>
        <w:t>十一、</w:t>
      </w:r>
      <w:r>
        <w:rPr>
          <w:rFonts w:hint="eastAsia" w:ascii="宋体" w:hAnsi="宋体"/>
          <w:b/>
          <w:color w:val="auto"/>
          <w:sz w:val="24"/>
          <w:highlight w:val="none"/>
        </w:rPr>
        <w:t>不可抗力</w:t>
      </w:r>
    </w:p>
    <w:p>
      <w:pPr>
        <w:numPr>
          <w:ilvl w:val="0"/>
          <w:numId w:val="0"/>
        </w:numPr>
        <w:spacing w:line="460" w:lineRule="exact"/>
        <w:ind w:firstLine="480" w:firstLineChars="200"/>
        <w:rPr>
          <w:rFonts w:ascii="宋体"/>
          <w:color w:val="auto"/>
          <w:sz w:val="24"/>
          <w:highlight w:val="none"/>
        </w:rPr>
      </w:pPr>
      <w:r>
        <w:rPr>
          <w:rFonts w:hint="eastAsia" w:ascii="宋体" w:hAnsi="宋体"/>
          <w:color w:val="auto"/>
          <w:sz w:val="24"/>
          <w:highlight w:val="none"/>
        </w:rPr>
        <w:t>任何一方由于不可抗力原因不能履行合同时，应在不可抗力事件结束后</w:t>
      </w:r>
      <w:r>
        <w:rPr>
          <w:rFonts w:ascii="宋体" w:hAnsi="宋体"/>
          <w:color w:val="auto"/>
          <w:sz w:val="24"/>
          <w:highlight w:val="none"/>
        </w:rPr>
        <w:t>1</w:t>
      </w:r>
      <w:r>
        <w:rPr>
          <w:rFonts w:hint="eastAsia" w:ascii="宋体" w:hAnsi="宋体"/>
          <w:color w:val="auto"/>
          <w:sz w:val="24"/>
          <w:highlight w:val="none"/>
        </w:rPr>
        <w:t>日内向对方通报，以减轻可能给对方造成的损失，在取得有关机构的不可抗力证明或双方谅解确认后，允许延期履行或修订合同，并根据情况可部分或全部免于承担违约责任。</w:t>
      </w:r>
    </w:p>
    <w:p>
      <w:pPr>
        <w:numPr>
          <w:ilvl w:val="0"/>
          <w:numId w:val="3"/>
        </w:numPr>
        <w:spacing w:line="4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税费</w:t>
      </w:r>
    </w:p>
    <w:p>
      <w:pPr>
        <w:numPr>
          <w:ilvl w:val="0"/>
          <w:numId w:val="0"/>
        </w:num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pPr>
        <w:spacing w:line="460" w:lineRule="exact"/>
        <w:ind w:firstLine="480" w:firstLineChars="200"/>
        <w:rPr>
          <w:rFonts w:ascii="宋体"/>
          <w:b/>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本合同所有附件、采购文件、</w:t>
      </w:r>
      <w:r>
        <w:rPr>
          <w:rFonts w:hint="eastAsia" w:ascii="宋体" w:hAnsi="宋体"/>
          <w:color w:val="auto"/>
          <w:sz w:val="24"/>
          <w:highlight w:val="none"/>
          <w:lang w:eastAsia="zh-CN"/>
        </w:rPr>
        <w:t>响应</w:t>
      </w:r>
      <w:r>
        <w:rPr>
          <w:rFonts w:hint="eastAsia" w:ascii="宋体" w:hAnsi="宋体"/>
          <w:color w:val="auto"/>
          <w:sz w:val="24"/>
          <w:highlight w:val="none"/>
        </w:rPr>
        <w:t>文件、</w:t>
      </w:r>
      <w:r>
        <w:rPr>
          <w:rFonts w:hint="eastAsia" w:ascii="宋体" w:hAnsi="宋体"/>
          <w:color w:val="auto"/>
          <w:sz w:val="24"/>
          <w:highlight w:val="none"/>
          <w:lang w:eastAsia="zh-CN"/>
        </w:rPr>
        <w:t>成交</w:t>
      </w:r>
      <w:r>
        <w:rPr>
          <w:rFonts w:hint="eastAsia" w:ascii="宋体" w:hAnsi="宋体"/>
          <w:color w:val="auto"/>
          <w:sz w:val="24"/>
          <w:highlight w:val="none"/>
        </w:rPr>
        <w:t>通知书均为合同的有效组成部分，与本合同具有同等法律效力。</w:t>
      </w:r>
    </w:p>
    <w:p>
      <w:pPr>
        <w:spacing w:line="460" w:lineRule="exact"/>
        <w:ind w:firstLine="480" w:firstLineChars="200"/>
        <w:rPr>
          <w:rFonts w:asci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如一方地址、电话、传真号码有变更，应在变更当日内书面通知对方，否则，应承担相应责任。</w:t>
      </w:r>
    </w:p>
    <w:p>
      <w:pPr>
        <w:spacing w:line="460" w:lineRule="exact"/>
        <w:ind w:firstLine="480" w:firstLineChars="200"/>
        <w:rPr>
          <w:rFonts w:asci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除甲方事先书面同意外，乙方不得部分或全部转让其应履行的合同项下的义务。</w:t>
      </w:r>
    </w:p>
    <w:p>
      <w:pPr>
        <w:spacing w:line="4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十四、合同生效</w:t>
      </w:r>
    </w:p>
    <w:p>
      <w:pPr>
        <w:spacing w:line="460" w:lineRule="exact"/>
        <w:ind w:firstLine="480" w:firstLineChars="200"/>
        <w:rPr>
          <w:rFonts w:asci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本合同在甲乙双方</w:t>
      </w:r>
      <w:r>
        <w:rPr>
          <w:rFonts w:hint="eastAsia" w:ascii="宋体" w:hAnsi="宋体"/>
          <w:color w:val="auto"/>
          <w:sz w:val="24"/>
          <w:highlight w:val="none"/>
          <w:lang w:eastAsia="zh-CN"/>
        </w:rPr>
        <w:t>法定代表人</w:t>
      </w:r>
      <w:r>
        <w:rPr>
          <w:rFonts w:hint="eastAsia" w:ascii="宋体" w:hAnsi="宋体"/>
          <w:color w:val="auto"/>
          <w:sz w:val="24"/>
          <w:highlight w:val="none"/>
        </w:rPr>
        <w:t>或其授权代表签字盖章后生效。</w:t>
      </w:r>
    </w:p>
    <w:p>
      <w:pPr>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olor w:val="auto"/>
          <w:sz w:val="24"/>
          <w:highlight w:val="none"/>
          <w:lang w:val="en-US" w:eastAsia="zh-CN"/>
        </w:rPr>
        <w:t>2.一式伍份，甲方持肆份，乙方持壹份。</w:t>
      </w:r>
    </w:p>
    <w:p>
      <w:pPr>
        <w:keepNext w:val="0"/>
        <w:keepLines w:val="0"/>
        <w:pageBreakBefore w:val="0"/>
        <w:widowControl w:val="0"/>
        <w:kinsoku/>
        <w:wordWrap/>
        <w:overflowPunct/>
        <w:topLinePunct w:val="0"/>
        <w:autoSpaceDE/>
        <w:autoSpaceDN/>
        <w:bidi w:val="0"/>
        <w:adjustRightInd/>
        <w:snapToGrid/>
        <w:spacing w:line="460" w:lineRule="exact"/>
        <w:ind w:left="5520" w:hanging="5520" w:hangingChars="2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惠州市第一妇幼保健院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w:t>
      </w:r>
    </w:p>
    <w:p>
      <w:pPr>
        <w:keepNext w:val="0"/>
        <w:keepLines w:val="0"/>
        <w:pageBreakBefore w:val="0"/>
        <w:widowControl w:val="0"/>
        <w:kinsoku/>
        <w:wordWrap/>
        <w:overflowPunct/>
        <w:topLinePunct w:val="0"/>
        <w:autoSpaceDE/>
        <w:autoSpaceDN/>
        <w:bidi w:val="0"/>
        <w:adjustRightInd/>
        <w:snapToGrid/>
        <w:spacing w:line="460" w:lineRule="exact"/>
        <w:ind w:left="5520" w:hanging="5520" w:hangingChars="2300"/>
        <w:jc w:val="left"/>
        <w:textAlignment w:val="auto"/>
        <w:rPr>
          <w:rFonts w:hint="eastAsia" w:ascii="宋体" w:hAnsi="Times New Roman" w:eastAsia="宋体" w:cs="Times New Roman"/>
          <w:color w:val="auto"/>
          <w:sz w:val="24"/>
          <w:highlight w:val="none"/>
          <w:lang w:eastAsia="zh-CN"/>
        </w:rPr>
      </w:pPr>
      <w:r>
        <w:rPr>
          <w:rFonts w:hint="eastAsia" w:ascii="宋体" w:hAnsi="宋体"/>
          <w:color w:val="auto"/>
          <w:sz w:val="24"/>
          <w:highlight w:val="none"/>
          <w:lang w:eastAsia="zh-CN"/>
        </w:rPr>
        <w:t>法定代表人</w:t>
      </w:r>
      <w:r>
        <w:rPr>
          <w:rFonts w:hint="eastAsia" w:ascii="宋体" w:hAnsi="Times New Roman" w:eastAsia="宋体" w:cs="Times New Roman"/>
          <w:color w:val="auto"/>
          <w:sz w:val="24"/>
          <w:highlight w:val="none"/>
          <w:lang w:eastAsia="zh-CN"/>
        </w:rPr>
        <w:t>：</w:t>
      </w:r>
      <w:r>
        <w:rPr>
          <w:rFonts w:hint="eastAsia" w:ascii="宋体" w:hAnsi="Times New Roman" w:eastAsia="宋体" w:cs="Times New Roman"/>
          <w:color w:val="auto"/>
          <w:sz w:val="24"/>
          <w:highlight w:val="none"/>
          <w:lang w:val="en-US" w:eastAsia="zh-CN"/>
        </w:rPr>
        <w:t xml:space="preserve">                          </w:t>
      </w:r>
      <w:r>
        <w:rPr>
          <w:rFonts w:hint="eastAsia" w:ascii="宋体" w:hAnsi="宋体"/>
          <w:color w:val="auto"/>
          <w:sz w:val="24"/>
          <w:highlight w:val="none"/>
          <w:lang w:eastAsia="zh-CN"/>
        </w:rPr>
        <w:t>法定代表人</w:t>
      </w:r>
      <w:r>
        <w:rPr>
          <w:rFonts w:hint="eastAsia" w:ascii="宋体" w:hAnsi="Times New Roman" w:eastAsia="宋体"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授权代表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left="5520" w:hanging="5520" w:hangingChars="23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惠州市演达四路</w:t>
      </w:r>
      <w:r>
        <w:rPr>
          <w:rFonts w:hint="eastAsia" w:ascii="宋体" w:hAnsi="宋体" w:eastAsia="宋体" w:cs="宋体"/>
          <w:color w:val="auto"/>
          <w:sz w:val="24"/>
          <w:szCs w:val="24"/>
          <w:highlight w:val="none"/>
          <w:lang w:val="en-US" w:eastAsia="zh-CN"/>
        </w:rPr>
        <w:t xml:space="preserve">5号              </w:t>
      </w:r>
      <w:r>
        <w:rPr>
          <w:rFonts w:hint="eastAsia" w:ascii="宋体" w:hAnsi="宋体" w:eastAsia="宋体" w:cs="宋体"/>
          <w:color w:val="auto"/>
          <w:sz w:val="24"/>
          <w:szCs w:val="24"/>
          <w:highlight w:val="none"/>
        </w:rPr>
        <w:t>地址：</w:t>
      </w:r>
    </w:p>
    <w:p>
      <w:pPr>
        <w:keepNext w:val="0"/>
        <w:keepLines w:val="0"/>
        <w:pageBreakBefore w:val="0"/>
        <w:widowControl w:val="0"/>
        <w:kinsoku/>
        <w:wordWrap/>
        <w:overflowPunct/>
        <w:topLinePunct w:val="0"/>
        <w:autoSpaceDE w:val="0"/>
        <w:autoSpaceDN w:val="0"/>
        <w:bidi w:val="0"/>
        <w:adjustRightInd w:val="0"/>
        <w:snapToGrid/>
        <w:spacing w:line="460" w:lineRule="exact"/>
        <w:ind w:right="246"/>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电话：0752-7806</w:t>
      </w:r>
      <w:r>
        <w:rPr>
          <w:rFonts w:hint="eastAsia" w:ascii="宋体" w:hAnsi="宋体" w:cs="宋体"/>
          <w:color w:val="auto"/>
          <w:sz w:val="24"/>
          <w:szCs w:val="24"/>
          <w:highlight w:val="none"/>
          <w:lang w:val="en-US" w:eastAsia="zh-CN"/>
        </w:rPr>
        <w:t>618</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传真：0752-7806733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传真：</w:t>
      </w:r>
    </w:p>
    <w:p>
      <w:pPr>
        <w:keepNext w:val="0"/>
        <w:keepLines w:val="0"/>
        <w:pageBreakBefore w:val="0"/>
        <w:widowControl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napToGrid w:val="0"/>
        <w:spacing w:line="360" w:lineRule="auto"/>
        <w:rPr>
          <w:rFonts w:hint="eastAsia" w:ascii="仿宋" w:hAnsi="仿宋" w:eastAsia="仿宋" w:cs="仿宋"/>
          <w:color w:val="auto"/>
          <w:sz w:val="36"/>
          <w:highlight w:val="none"/>
          <w:u w:val="singl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8"/>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8"/>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8"/>
        <w:adjustRightInd w:val="0"/>
        <w:snapToGrid w:val="0"/>
        <w:spacing w:line="360" w:lineRule="auto"/>
        <w:jc w:val="center"/>
        <w:rPr>
          <w:rFonts w:hint="eastAsia" w:ascii="仿宋" w:hAnsi="仿宋" w:eastAsia="仿宋" w:cs="仿宋"/>
          <w:b/>
          <w:color w:val="auto"/>
          <w:kern w:val="0"/>
          <w:sz w:val="72"/>
          <w:szCs w:val="72"/>
          <w:highlight w:val="none"/>
        </w:rPr>
      </w:pPr>
    </w:p>
    <w:p>
      <w:pPr>
        <w:pStyle w:val="8"/>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8"/>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8"/>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8"/>
        <w:adjustRightInd w:val="0"/>
        <w:snapToGrid w:val="0"/>
        <w:spacing w:line="360" w:lineRule="auto"/>
        <w:rPr>
          <w:rFonts w:hint="eastAsia" w:ascii="仿宋" w:hAnsi="仿宋" w:eastAsia="仿宋" w:cs="仿宋"/>
          <w:b/>
          <w:color w:val="auto"/>
          <w:kern w:val="0"/>
          <w:sz w:val="24"/>
          <w:szCs w:val="24"/>
          <w:highlight w:val="none"/>
        </w:rPr>
      </w:pPr>
    </w:p>
    <w:p>
      <w:pPr>
        <w:pStyle w:val="8"/>
        <w:adjustRightInd w:val="0"/>
        <w:snapToGrid w:val="0"/>
        <w:spacing w:line="440" w:lineRule="exact"/>
        <w:rPr>
          <w:rFonts w:hint="eastAsia" w:ascii="仿宋" w:hAnsi="仿宋" w:eastAsia="仿宋" w:cs="仿宋"/>
          <w:b/>
          <w:color w:val="auto"/>
          <w:kern w:val="0"/>
          <w:sz w:val="24"/>
          <w:szCs w:val="24"/>
          <w:highlight w:val="none"/>
        </w:rPr>
      </w:pPr>
    </w:p>
    <w:p>
      <w:pPr>
        <w:pStyle w:val="8"/>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8"/>
        <w:spacing w:line="360" w:lineRule="auto"/>
        <w:rPr>
          <w:rFonts w:hint="eastAsia" w:ascii="仿宋" w:hAnsi="仿宋" w:eastAsia="仿宋" w:cs="仿宋"/>
          <w:b/>
          <w:color w:val="auto"/>
          <w:sz w:val="28"/>
          <w:szCs w:val="28"/>
          <w:highlight w:val="none"/>
        </w:rPr>
      </w:pPr>
    </w:p>
    <w:p>
      <w:pPr>
        <w:pStyle w:val="8"/>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8"/>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8"/>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8"/>
        <w:adjustRightInd w:val="0"/>
        <w:snapToGrid w:val="0"/>
        <w:spacing w:line="440" w:lineRule="exact"/>
        <w:rPr>
          <w:rFonts w:hint="eastAsia" w:ascii="仿宋" w:hAnsi="仿宋" w:eastAsia="仿宋" w:cs="仿宋"/>
          <w:b/>
          <w:color w:val="auto"/>
          <w:kern w:val="0"/>
          <w:sz w:val="24"/>
          <w:szCs w:val="24"/>
          <w:highlight w:val="none"/>
        </w:rPr>
      </w:pPr>
    </w:p>
    <w:p>
      <w:pPr>
        <w:pStyle w:val="8"/>
        <w:adjustRightInd w:val="0"/>
        <w:snapToGrid w:val="0"/>
        <w:spacing w:line="440" w:lineRule="exact"/>
        <w:rPr>
          <w:rFonts w:hint="eastAsia" w:ascii="仿宋" w:hAnsi="仿宋" w:eastAsia="仿宋" w:cs="仿宋"/>
          <w:b/>
          <w:color w:val="auto"/>
          <w:kern w:val="0"/>
          <w:sz w:val="24"/>
          <w:szCs w:val="24"/>
          <w:highlight w:val="none"/>
        </w:rPr>
      </w:pPr>
    </w:p>
    <w:p>
      <w:pPr>
        <w:pStyle w:val="8"/>
        <w:adjustRightInd w:val="0"/>
        <w:snapToGrid w:val="0"/>
        <w:spacing w:line="440" w:lineRule="exact"/>
        <w:rPr>
          <w:rFonts w:hint="eastAsia" w:ascii="仿宋" w:hAnsi="仿宋" w:eastAsia="仿宋" w:cs="仿宋"/>
          <w:b/>
          <w:color w:val="auto"/>
          <w:kern w:val="0"/>
          <w:sz w:val="24"/>
          <w:szCs w:val="24"/>
          <w:highlight w:val="none"/>
        </w:rPr>
      </w:pPr>
    </w:p>
    <w:p>
      <w:pPr>
        <w:pStyle w:val="8"/>
        <w:adjustRightInd w:val="0"/>
        <w:snapToGrid w:val="0"/>
        <w:spacing w:line="440" w:lineRule="exact"/>
        <w:rPr>
          <w:rFonts w:hint="eastAsia" w:ascii="仿宋" w:hAnsi="仿宋" w:eastAsia="仿宋" w:cs="仿宋"/>
          <w:b/>
          <w:color w:val="auto"/>
          <w:kern w:val="0"/>
          <w:sz w:val="24"/>
          <w:szCs w:val="24"/>
          <w:highlight w:val="none"/>
        </w:rPr>
      </w:pPr>
    </w:p>
    <w:p>
      <w:pPr>
        <w:pStyle w:val="8"/>
        <w:adjustRightInd w:val="0"/>
        <w:snapToGrid w:val="0"/>
        <w:spacing w:line="440" w:lineRule="exact"/>
        <w:rPr>
          <w:rFonts w:hint="eastAsia" w:ascii="仿宋" w:hAnsi="仿宋" w:eastAsia="仿宋" w:cs="仿宋"/>
          <w:b/>
          <w:color w:val="auto"/>
          <w:kern w:val="0"/>
          <w:sz w:val="24"/>
          <w:szCs w:val="24"/>
          <w:highlight w:val="none"/>
        </w:rPr>
      </w:pPr>
    </w:p>
    <w:p>
      <w:pPr>
        <w:pStyle w:val="8"/>
        <w:adjustRightInd w:val="0"/>
        <w:snapToGrid w:val="0"/>
        <w:spacing w:line="440" w:lineRule="exact"/>
        <w:rPr>
          <w:rFonts w:hint="eastAsia" w:ascii="仿宋" w:hAnsi="仿宋" w:eastAsia="仿宋" w:cs="仿宋"/>
          <w:b/>
          <w:color w:val="auto"/>
          <w:kern w:val="0"/>
          <w:sz w:val="24"/>
          <w:szCs w:val="24"/>
          <w:highlight w:val="none"/>
        </w:rPr>
      </w:pPr>
    </w:p>
    <w:p>
      <w:pPr>
        <w:pStyle w:val="8"/>
        <w:adjustRightInd w:val="0"/>
        <w:snapToGrid w:val="0"/>
        <w:spacing w:line="440" w:lineRule="exact"/>
        <w:rPr>
          <w:rFonts w:hint="eastAsia" w:ascii="仿宋" w:hAnsi="仿宋" w:eastAsia="仿宋" w:cs="仿宋"/>
          <w:b/>
          <w:color w:val="auto"/>
          <w:kern w:val="0"/>
          <w:sz w:val="24"/>
          <w:szCs w:val="24"/>
          <w:highlight w:val="none"/>
        </w:rPr>
      </w:pPr>
    </w:p>
    <w:p>
      <w:pPr>
        <w:pStyle w:val="8"/>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8"/>
        <w:adjustRightInd w:val="0"/>
        <w:snapToGrid w:val="0"/>
        <w:spacing w:line="440" w:lineRule="exact"/>
        <w:rPr>
          <w:rFonts w:hint="eastAsia" w:ascii="仿宋" w:hAnsi="仿宋" w:eastAsia="仿宋" w:cs="仿宋"/>
          <w:b/>
          <w:color w:val="auto"/>
          <w:kern w:val="0"/>
          <w:sz w:val="24"/>
          <w:szCs w:val="24"/>
          <w:highlight w:val="none"/>
        </w:rPr>
      </w:pPr>
    </w:p>
    <w:p>
      <w:pPr>
        <w:pStyle w:val="8"/>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8"/>
        <w:adjustRightInd w:val="0"/>
        <w:snapToGrid w:val="0"/>
        <w:spacing w:line="440" w:lineRule="exact"/>
        <w:rPr>
          <w:rFonts w:hint="eastAsia"/>
          <w:color w:val="auto"/>
          <w:highlight w:val="none"/>
        </w:rPr>
      </w:pPr>
      <w:bookmarkStart w:id="8" w:name="_Toc202254104"/>
      <w:bookmarkStart w:id="9" w:name="_Toc202252033"/>
      <w:bookmarkStart w:id="10" w:name="_Toc202820350"/>
      <w:bookmarkStart w:id="11" w:name="_Toc202251074"/>
      <w:bookmarkStart w:id="12" w:name="_Toc202819877"/>
      <w:bookmarkStart w:id="13" w:name="_Toc202816995"/>
      <w:bookmarkStart w:id="14" w:name="_Toc202251699"/>
      <w:r>
        <w:rPr>
          <w:color w:val="auto"/>
          <w:highlight w:val="none"/>
        </w:rPr>
        <w:br w:type="page"/>
      </w:r>
      <w:r>
        <w:rPr>
          <w:rFonts w:hint="eastAsia" w:ascii="仿宋" w:hAnsi="仿宋" w:eastAsia="仿宋" w:cs="仿宋"/>
          <w:b/>
          <w:bCs/>
          <w:color w:val="auto"/>
          <w:sz w:val="28"/>
          <w:highlight w:val="none"/>
        </w:rPr>
        <w:t xml:space="preserve">1 </w:t>
      </w:r>
      <w:bookmarkEnd w:id="8"/>
      <w:bookmarkEnd w:id="9"/>
      <w:bookmarkEnd w:id="10"/>
      <w:bookmarkEnd w:id="11"/>
      <w:bookmarkEnd w:id="12"/>
      <w:bookmarkEnd w:id="13"/>
      <w:bookmarkEnd w:id="14"/>
      <w:r>
        <w:rPr>
          <w:rFonts w:hint="eastAsia" w:ascii="仿宋" w:hAnsi="仿宋" w:eastAsia="仿宋" w:cs="仿宋"/>
          <w:b/>
          <w:bCs/>
          <w:color w:val="auto"/>
          <w:sz w:val="28"/>
          <w:highlight w:val="none"/>
        </w:rPr>
        <w:t>资格性/符合性自查表</w:t>
      </w:r>
    </w:p>
    <w:tbl>
      <w:tblPr>
        <w:tblStyle w:val="15"/>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2"/>
        <w:gridCol w:w="4264"/>
        <w:gridCol w:w="184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noWrap w:val="0"/>
            <w:vAlign w:val="top"/>
          </w:tcPr>
          <w:p>
            <w:pPr>
              <w:jc w:val="center"/>
              <w:rPr>
                <w:rFonts w:hint="eastAsia"/>
                <w:color w:val="auto"/>
                <w:highlight w:val="none"/>
              </w:rPr>
            </w:pPr>
            <w:r>
              <w:rPr>
                <w:rFonts w:hint="eastAsia" w:ascii="仿宋" w:hAnsi="仿宋" w:eastAsia="仿宋" w:cs="仿宋"/>
                <w:b/>
                <w:bCs/>
                <w:color w:val="auto"/>
                <w:szCs w:val="21"/>
                <w:highlight w:val="none"/>
              </w:rPr>
              <w:t>评审内容</w:t>
            </w:r>
          </w:p>
        </w:tc>
        <w:tc>
          <w:tcPr>
            <w:tcW w:w="4264"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49"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846" w:type="dxa"/>
            <w:vMerge w:val="restart"/>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rPr>
              <w:t>资格性审查</w:t>
            </w:r>
          </w:p>
        </w:tc>
        <w:tc>
          <w:tcPr>
            <w:tcW w:w="1052" w:type="dxa"/>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264"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49"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264"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供应商必须具有良好的商业信誉和健全的财务会计制度。可提供：①202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年至今任意一年经审计的审计报告复印件（包含审计报告中所涉及的财务报表和报表附注）；或②202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49"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264"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49"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264"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比选截止时间近12个月内任意一个月的依法缴纳社会保险凭据（如依法不需要缴纳社保，则须提供相应文件证明其依法不需要缴纳）或书面声明；</w:t>
            </w:r>
          </w:p>
        </w:tc>
        <w:tc>
          <w:tcPr>
            <w:tcW w:w="1849"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264"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49"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264"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49"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264"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264"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49"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264"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49"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264"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p>
        </w:tc>
        <w:tc>
          <w:tcPr>
            <w:tcW w:w="1849"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264"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本项目不属于专门面向中小企业采购的项目，本项目中小企业划分标准所属行业为：工业</w:t>
            </w:r>
            <w:r>
              <w:rPr>
                <w:rFonts w:hint="eastAsia" w:ascii="仿宋" w:hAnsi="仿宋" w:eastAsia="仿宋" w:cs="仿宋"/>
                <w:color w:val="auto"/>
                <w:szCs w:val="21"/>
                <w:highlight w:val="none"/>
                <w:lang w:eastAsia="zh-CN"/>
              </w:rPr>
              <w:t>。</w:t>
            </w:r>
          </w:p>
        </w:tc>
        <w:tc>
          <w:tcPr>
            <w:tcW w:w="1849"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pPr>
              <w:jc w:val="center"/>
              <w:rPr>
                <w:rFonts w:hint="eastAsia"/>
                <w:color w:val="auto"/>
                <w:highlight w:val="none"/>
              </w:rPr>
            </w:pPr>
          </w:p>
        </w:tc>
        <w:tc>
          <w:tcPr>
            <w:tcW w:w="1052" w:type="dxa"/>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264"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49"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spacing w:line="380" w:lineRule="exact"/>
              <w:ind w:left="40" w:leftChars="19"/>
              <w:jc w:val="center"/>
              <w:rPr>
                <w:rFonts w:hint="eastAsia"/>
                <w:color w:val="auto"/>
                <w:highlight w:val="none"/>
              </w:rPr>
            </w:pPr>
            <w:r>
              <w:rPr>
                <w:rFonts w:hint="eastAsia" w:ascii="仿宋" w:hAnsi="仿宋" w:eastAsia="仿宋" w:cs="仿宋"/>
                <w:color w:val="auto"/>
                <w:szCs w:val="21"/>
                <w:highlight w:val="none"/>
              </w:rPr>
              <w:t>符合性审查</w:t>
            </w:r>
          </w:p>
        </w:tc>
        <w:tc>
          <w:tcPr>
            <w:tcW w:w="1052" w:type="dxa"/>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264" w:type="dxa"/>
            <w:noWrap w:val="0"/>
            <w:vAlign w:val="center"/>
          </w:tcPr>
          <w:p>
            <w:pPr>
              <w:spacing w:line="240" w:lineRule="auto"/>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49"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052" w:type="dxa"/>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264" w:type="dxa"/>
            <w:noWrap w:val="0"/>
            <w:vAlign w:val="center"/>
          </w:tcPr>
          <w:p>
            <w:pPr>
              <w:tabs>
                <w:tab w:val="left" w:pos="2880"/>
              </w:tabs>
              <w:spacing w:line="380" w:lineRule="exact"/>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49"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264" w:type="dxa"/>
            <w:noWrap w:val="0"/>
            <w:vAlign w:val="center"/>
          </w:tcPr>
          <w:p>
            <w:pPr>
              <w:tabs>
                <w:tab w:val="left" w:pos="2880"/>
              </w:tabs>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49" w:type="dxa"/>
            <w:noWrap w:val="0"/>
            <w:vAlign w:val="center"/>
          </w:tcPr>
          <w:p>
            <w:pPr>
              <w:ind w:left="-17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264" w:type="dxa"/>
            <w:noWrap w:val="0"/>
            <w:vAlign w:val="center"/>
          </w:tcPr>
          <w:p>
            <w:pPr>
              <w:tabs>
                <w:tab w:val="left" w:pos="2880"/>
              </w:tabs>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49"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264" w:type="dxa"/>
            <w:noWrap w:val="0"/>
            <w:vAlign w:val="center"/>
          </w:tcPr>
          <w:p>
            <w:pPr>
              <w:tabs>
                <w:tab w:val="left" w:pos="2880"/>
              </w:tabs>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49"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05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264" w:type="dxa"/>
            <w:noWrap w:val="0"/>
            <w:vAlign w:val="center"/>
          </w:tcPr>
          <w:p>
            <w:pPr>
              <w:tabs>
                <w:tab w:val="left" w:pos="2880"/>
              </w:tabs>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49"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7"/>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djustRightInd w:val="0"/>
        <w:snapToGrid w:val="0"/>
        <w:spacing w:line="300" w:lineRule="auto"/>
        <w:rPr>
          <w:rFonts w:hint="eastAsia" w:ascii="仿宋" w:hAnsi="仿宋" w:eastAsia="仿宋" w:cs="仿宋"/>
          <w:color w:val="auto"/>
          <w:sz w:val="24"/>
          <w:highlight w:val="none"/>
        </w:rPr>
      </w:pPr>
    </w:p>
    <w:p>
      <w:pPr>
        <w:pStyle w:val="8"/>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5"/>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32"/>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6" w:type="dxa"/>
            <w:noWrap w:val="0"/>
            <w:vAlign w:val="center"/>
          </w:tcPr>
          <w:p>
            <w:pPr>
              <w:pStyle w:val="19"/>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19"/>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32" w:type="dxa"/>
            <w:noWrap w:val="0"/>
            <w:vAlign w:val="center"/>
          </w:tcPr>
          <w:p>
            <w:pPr>
              <w:pStyle w:val="19"/>
              <w:adjustRightInd/>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19"/>
              <w:adjustRightInd/>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pStyle w:val="19"/>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rPr>
              <w:t>对用户服务需求</w:t>
            </w:r>
            <w:r>
              <w:rPr>
                <w:rFonts w:hint="eastAsia" w:ascii="仿宋" w:hAnsi="仿宋" w:eastAsia="仿宋" w:cs="仿宋"/>
                <w:b w:val="0"/>
                <w:bCs w:val="0"/>
                <w:color w:val="auto"/>
                <w:kern w:val="2"/>
                <w:sz w:val="21"/>
                <w:szCs w:val="21"/>
                <w:highlight w:val="none"/>
                <w:lang w:eastAsia="zh-CN"/>
              </w:rPr>
              <w:t>中</w:t>
            </w:r>
            <w:r>
              <w:rPr>
                <w:rFonts w:hint="eastAsia" w:ascii="仿宋" w:hAnsi="仿宋" w:eastAsia="仿宋" w:cs="仿宋"/>
                <w:b w:val="0"/>
                <w:bCs w:val="0"/>
                <w:color w:val="auto"/>
                <w:kern w:val="2"/>
                <w:sz w:val="21"/>
                <w:szCs w:val="21"/>
                <w:highlight w:val="none"/>
              </w:rPr>
              <w:t>带▲号的响应程度</w:t>
            </w:r>
          </w:p>
        </w:tc>
        <w:tc>
          <w:tcPr>
            <w:tcW w:w="5232" w:type="dxa"/>
            <w:noWrap w:val="0"/>
            <w:vAlign w:val="center"/>
          </w:tcPr>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所投产品参数全部满足用户需求书中带▲的重要技术参数的，得</w:t>
            </w:r>
            <w:r>
              <w:rPr>
                <w:rFonts w:hint="eastAsia" w:ascii="仿宋" w:hAnsi="仿宋" w:eastAsia="仿宋" w:cs="仿宋"/>
                <w:color w:val="auto"/>
                <w:kern w:val="2"/>
                <w:sz w:val="21"/>
                <w:szCs w:val="21"/>
                <w:highlight w:val="none"/>
                <w:lang w:val="en-US" w:eastAsia="zh-CN"/>
              </w:rPr>
              <w:t>18</w:t>
            </w:r>
            <w:r>
              <w:rPr>
                <w:rFonts w:hint="eastAsia" w:ascii="仿宋" w:hAnsi="仿宋" w:eastAsia="仿宋" w:cs="仿宋"/>
                <w:color w:val="auto"/>
                <w:kern w:val="2"/>
                <w:sz w:val="21"/>
                <w:szCs w:val="21"/>
                <w:highlight w:val="none"/>
              </w:rPr>
              <w:t>分；一项不满足得</w:t>
            </w:r>
            <w:r>
              <w:rPr>
                <w:rFonts w:hint="eastAsia" w:ascii="仿宋" w:hAnsi="仿宋" w:eastAsia="仿宋" w:cs="仿宋"/>
                <w:color w:val="auto"/>
                <w:kern w:val="2"/>
                <w:sz w:val="21"/>
                <w:szCs w:val="21"/>
                <w:highlight w:val="none"/>
                <w:lang w:val="en-US" w:eastAsia="zh-CN"/>
              </w:rPr>
              <w:t>15</w:t>
            </w:r>
            <w:r>
              <w:rPr>
                <w:rFonts w:hint="eastAsia" w:ascii="仿宋" w:hAnsi="仿宋" w:eastAsia="仿宋" w:cs="仿宋"/>
                <w:color w:val="auto"/>
                <w:kern w:val="2"/>
                <w:sz w:val="21"/>
                <w:szCs w:val="21"/>
                <w:highlight w:val="none"/>
              </w:rPr>
              <w:t>分；两项不满足得</w:t>
            </w:r>
            <w:r>
              <w:rPr>
                <w:rFonts w:hint="eastAsia" w:ascii="仿宋" w:hAnsi="仿宋" w:eastAsia="仿宋" w:cs="仿宋"/>
                <w:color w:val="auto"/>
                <w:kern w:val="2"/>
                <w:sz w:val="21"/>
                <w:szCs w:val="21"/>
                <w:highlight w:val="none"/>
                <w:lang w:val="en-US" w:eastAsia="zh-CN"/>
              </w:rPr>
              <w:t>12</w:t>
            </w:r>
            <w:r>
              <w:rPr>
                <w:rFonts w:hint="eastAsia" w:ascii="仿宋" w:hAnsi="仿宋" w:eastAsia="仿宋" w:cs="仿宋"/>
                <w:color w:val="auto"/>
                <w:kern w:val="2"/>
                <w:sz w:val="21"/>
                <w:szCs w:val="21"/>
                <w:highlight w:val="none"/>
              </w:rPr>
              <w:t>分；如此类推，每不满足一项带▲的重要技术参数的得分减少3分，当达到</w:t>
            </w:r>
            <w:r>
              <w:rPr>
                <w:rFonts w:hint="eastAsia" w:ascii="仿宋" w:hAnsi="仿宋" w:eastAsia="仿宋" w:cs="仿宋"/>
                <w:color w:val="auto"/>
                <w:kern w:val="2"/>
                <w:sz w:val="21"/>
                <w:szCs w:val="21"/>
                <w:highlight w:val="none"/>
                <w:lang w:val="en-US" w:eastAsia="zh-CN"/>
              </w:rPr>
              <w:t>6</w:t>
            </w:r>
            <w:r>
              <w:rPr>
                <w:rFonts w:hint="eastAsia" w:ascii="仿宋" w:hAnsi="仿宋" w:eastAsia="仿宋" w:cs="仿宋"/>
                <w:color w:val="auto"/>
                <w:kern w:val="2"/>
                <w:sz w:val="21"/>
                <w:szCs w:val="21"/>
                <w:highlight w:val="none"/>
              </w:rPr>
              <w:t>项或以上时，视为严重偏离本项不得分。</w:t>
            </w:r>
          </w:p>
          <w:p>
            <w:pPr>
              <w:pStyle w:val="19"/>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注：①技术条款中要求提供证明资料的，则响应文件中应提供对应条款的证明资料，未提供不得分；②未要求提供证明资料的以响应供应商填写的技术/服务要求响应表为准。</w:t>
            </w:r>
          </w:p>
        </w:tc>
        <w:tc>
          <w:tcPr>
            <w:tcW w:w="1535" w:type="dxa"/>
            <w:noWrap w:val="0"/>
            <w:vAlign w:val="center"/>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pStyle w:val="1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对用户服务需求不带▲号的响应程度</w:t>
            </w:r>
          </w:p>
        </w:tc>
        <w:tc>
          <w:tcPr>
            <w:tcW w:w="5232" w:type="dxa"/>
            <w:noWrap w:val="0"/>
            <w:vAlign w:val="center"/>
          </w:tcPr>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根据各</w:t>
            </w:r>
            <w:r>
              <w:rPr>
                <w:rFonts w:hint="eastAsia" w:ascii="仿宋" w:hAnsi="仿宋" w:eastAsia="仿宋" w:cs="仿宋"/>
                <w:color w:val="auto"/>
                <w:kern w:val="2"/>
                <w:sz w:val="21"/>
                <w:szCs w:val="21"/>
                <w:highlight w:val="none"/>
                <w:lang w:eastAsia="zh-CN"/>
              </w:rPr>
              <w:t>响应供应商</w:t>
            </w:r>
            <w:r>
              <w:rPr>
                <w:rFonts w:hint="eastAsia" w:ascii="仿宋" w:hAnsi="仿宋" w:eastAsia="仿宋" w:cs="仿宋"/>
                <w:color w:val="auto"/>
                <w:kern w:val="2"/>
                <w:sz w:val="21"/>
                <w:szCs w:val="21"/>
                <w:highlight w:val="none"/>
              </w:rPr>
              <w:t>所提供的服务是否满足用户需求</w:t>
            </w:r>
            <w:r>
              <w:rPr>
                <w:rFonts w:hint="eastAsia" w:ascii="仿宋" w:hAnsi="仿宋" w:eastAsia="仿宋" w:cs="仿宋"/>
                <w:color w:val="auto"/>
                <w:kern w:val="2"/>
                <w:sz w:val="21"/>
                <w:szCs w:val="21"/>
                <w:highlight w:val="none"/>
                <w:lang w:eastAsia="zh-CN"/>
              </w:rPr>
              <w:t>书</w:t>
            </w:r>
            <w:r>
              <w:rPr>
                <w:rFonts w:hint="eastAsia" w:ascii="仿宋" w:hAnsi="仿宋" w:eastAsia="仿宋" w:cs="仿宋"/>
                <w:color w:val="auto"/>
                <w:kern w:val="2"/>
                <w:sz w:val="21"/>
                <w:szCs w:val="21"/>
                <w:highlight w:val="none"/>
              </w:rPr>
              <w:t>响应程度进行评分：</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eastAsia="zh-CN"/>
              </w:rPr>
              <w:t>完全满足</w:t>
            </w:r>
            <w:r>
              <w:rPr>
                <w:rFonts w:hint="eastAsia" w:ascii="仿宋" w:hAnsi="仿宋" w:eastAsia="仿宋" w:cs="仿宋"/>
                <w:color w:val="auto"/>
                <w:kern w:val="2"/>
                <w:sz w:val="21"/>
                <w:szCs w:val="21"/>
                <w:highlight w:val="none"/>
              </w:rPr>
              <w:t>不带▲号的一般技术参数，得</w:t>
            </w:r>
            <w:r>
              <w:rPr>
                <w:rFonts w:hint="eastAsia" w:ascii="仿宋" w:hAnsi="仿宋" w:eastAsia="仿宋" w:cs="仿宋"/>
                <w:color w:val="auto"/>
                <w:kern w:val="2"/>
                <w:sz w:val="21"/>
                <w:szCs w:val="21"/>
                <w:highlight w:val="none"/>
                <w:lang w:val="en-US" w:eastAsia="zh-CN"/>
              </w:rPr>
              <w:t>20</w:t>
            </w:r>
            <w:r>
              <w:rPr>
                <w:rFonts w:hint="eastAsia" w:ascii="仿宋" w:hAnsi="仿宋" w:eastAsia="仿宋" w:cs="仿宋"/>
                <w:color w:val="auto"/>
                <w:kern w:val="2"/>
                <w:sz w:val="21"/>
                <w:szCs w:val="21"/>
                <w:highlight w:val="none"/>
              </w:rPr>
              <w:t xml:space="preserve">分； </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有一项不带▲号条款负偏离，得</w:t>
            </w:r>
            <w:r>
              <w:rPr>
                <w:rFonts w:hint="eastAsia" w:ascii="仿宋" w:hAnsi="仿宋" w:eastAsia="仿宋" w:cs="仿宋"/>
                <w:color w:val="auto"/>
                <w:kern w:val="2"/>
                <w:sz w:val="21"/>
                <w:szCs w:val="21"/>
                <w:highlight w:val="none"/>
                <w:lang w:val="en-US" w:eastAsia="zh-CN"/>
              </w:rPr>
              <w:t>19</w:t>
            </w:r>
            <w:r>
              <w:rPr>
                <w:rFonts w:hint="eastAsia" w:ascii="仿宋" w:hAnsi="仿宋" w:eastAsia="仿宋" w:cs="仿宋"/>
                <w:color w:val="auto"/>
                <w:kern w:val="2"/>
                <w:sz w:val="21"/>
                <w:szCs w:val="21"/>
                <w:highlight w:val="none"/>
              </w:rPr>
              <w:t xml:space="preserve">分； </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有二项不带▲号条款负偏离，得</w:t>
            </w:r>
            <w:r>
              <w:rPr>
                <w:rFonts w:hint="eastAsia" w:ascii="仿宋" w:hAnsi="仿宋" w:eastAsia="仿宋" w:cs="仿宋"/>
                <w:color w:val="auto"/>
                <w:kern w:val="2"/>
                <w:sz w:val="21"/>
                <w:szCs w:val="21"/>
                <w:highlight w:val="none"/>
                <w:lang w:val="en-US" w:eastAsia="zh-CN"/>
              </w:rPr>
              <w:t>18</w:t>
            </w:r>
            <w:r>
              <w:rPr>
                <w:rFonts w:hint="eastAsia" w:ascii="仿宋" w:hAnsi="仿宋" w:eastAsia="仿宋" w:cs="仿宋"/>
                <w:color w:val="auto"/>
                <w:kern w:val="2"/>
                <w:sz w:val="21"/>
                <w:szCs w:val="21"/>
                <w:highlight w:val="none"/>
              </w:rPr>
              <w:t xml:space="preserve">分； </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有三项不带▲号条款负偏离，得</w:t>
            </w:r>
            <w:r>
              <w:rPr>
                <w:rFonts w:hint="eastAsia" w:ascii="仿宋" w:hAnsi="仿宋" w:eastAsia="仿宋" w:cs="仿宋"/>
                <w:color w:val="auto"/>
                <w:kern w:val="2"/>
                <w:sz w:val="21"/>
                <w:szCs w:val="21"/>
                <w:highlight w:val="none"/>
                <w:lang w:val="en-US" w:eastAsia="zh-CN"/>
              </w:rPr>
              <w:t>17</w:t>
            </w:r>
            <w:r>
              <w:rPr>
                <w:rFonts w:hint="eastAsia" w:ascii="仿宋" w:hAnsi="仿宋" w:eastAsia="仿宋" w:cs="仿宋"/>
                <w:color w:val="auto"/>
                <w:kern w:val="2"/>
                <w:sz w:val="21"/>
                <w:szCs w:val="21"/>
                <w:highlight w:val="none"/>
              </w:rPr>
              <w:t xml:space="preserve">分； </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有四项不带▲号条款负偏离，得</w:t>
            </w:r>
            <w:r>
              <w:rPr>
                <w:rFonts w:hint="eastAsia" w:ascii="仿宋" w:hAnsi="仿宋" w:eastAsia="仿宋" w:cs="仿宋"/>
                <w:color w:val="auto"/>
                <w:kern w:val="2"/>
                <w:sz w:val="21"/>
                <w:szCs w:val="21"/>
                <w:highlight w:val="none"/>
                <w:lang w:val="en-US" w:eastAsia="zh-CN"/>
              </w:rPr>
              <w:t>16</w:t>
            </w:r>
            <w:r>
              <w:rPr>
                <w:rFonts w:hint="eastAsia" w:ascii="仿宋" w:hAnsi="仿宋" w:eastAsia="仿宋" w:cs="仿宋"/>
                <w:color w:val="auto"/>
                <w:kern w:val="2"/>
                <w:sz w:val="21"/>
                <w:szCs w:val="21"/>
                <w:highlight w:val="none"/>
              </w:rPr>
              <w:t xml:space="preserve">分； </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有五项不带▲号条款负偏离，得</w:t>
            </w:r>
            <w:r>
              <w:rPr>
                <w:rFonts w:hint="eastAsia" w:ascii="仿宋" w:hAnsi="仿宋" w:eastAsia="仿宋" w:cs="仿宋"/>
                <w:color w:val="auto"/>
                <w:kern w:val="2"/>
                <w:sz w:val="21"/>
                <w:szCs w:val="21"/>
                <w:highlight w:val="none"/>
                <w:lang w:val="en-US" w:eastAsia="zh-CN"/>
              </w:rPr>
              <w:t>15</w:t>
            </w:r>
            <w:r>
              <w:rPr>
                <w:rFonts w:hint="eastAsia" w:ascii="仿宋" w:hAnsi="仿宋" w:eastAsia="仿宋" w:cs="仿宋"/>
                <w:color w:val="auto"/>
                <w:kern w:val="2"/>
                <w:sz w:val="21"/>
                <w:szCs w:val="21"/>
                <w:highlight w:val="none"/>
              </w:rPr>
              <w:t xml:space="preserve">分； </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以此类推，当不带▲号条款负偏离达到</w:t>
            </w:r>
            <w:r>
              <w:rPr>
                <w:rFonts w:hint="eastAsia" w:ascii="仿宋" w:hAnsi="仿宋" w:eastAsia="仿宋" w:cs="仿宋"/>
                <w:color w:val="auto"/>
                <w:kern w:val="2"/>
                <w:sz w:val="21"/>
                <w:szCs w:val="21"/>
                <w:highlight w:val="none"/>
                <w:lang w:val="en-US" w:eastAsia="zh-CN"/>
              </w:rPr>
              <w:t>20</w:t>
            </w:r>
            <w:r>
              <w:rPr>
                <w:rFonts w:hint="eastAsia" w:ascii="仿宋" w:hAnsi="仿宋" w:eastAsia="仿宋" w:cs="仿宋"/>
                <w:color w:val="auto"/>
                <w:kern w:val="2"/>
                <w:sz w:val="21"/>
                <w:szCs w:val="21"/>
                <w:highlight w:val="none"/>
              </w:rPr>
              <w:t>项（含）以上时，视为严重偏离此评分项不得分。</w:t>
            </w:r>
          </w:p>
          <w:p>
            <w:pPr>
              <w:pStyle w:val="19"/>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rPr>
              <w:t>注：</w:t>
            </w:r>
            <w:r>
              <w:rPr>
                <w:rFonts w:hint="eastAsia" w:ascii="仿宋" w:hAnsi="仿宋" w:eastAsia="仿宋" w:cs="仿宋"/>
                <w:color w:val="auto"/>
                <w:kern w:val="2"/>
                <w:sz w:val="21"/>
                <w:szCs w:val="21"/>
                <w:highlight w:val="none"/>
                <w:lang w:eastAsia="zh-CN"/>
              </w:rPr>
              <w:t>采购</w:t>
            </w:r>
            <w:r>
              <w:rPr>
                <w:rFonts w:hint="eastAsia" w:ascii="仿宋" w:hAnsi="仿宋" w:eastAsia="仿宋" w:cs="仿宋"/>
                <w:color w:val="auto"/>
                <w:kern w:val="2"/>
                <w:sz w:val="21"/>
                <w:szCs w:val="21"/>
                <w:highlight w:val="none"/>
              </w:rPr>
              <w:t>文件未要求提供证明材料的技术参数，以</w:t>
            </w:r>
            <w:r>
              <w:rPr>
                <w:rFonts w:hint="eastAsia" w:ascii="仿宋" w:hAnsi="仿宋" w:eastAsia="仿宋" w:cs="仿宋"/>
                <w:color w:val="auto"/>
                <w:kern w:val="2"/>
                <w:sz w:val="21"/>
                <w:szCs w:val="21"/>
                <w:highlight w:val="none"/>
                <w:lang w:eastAsia="zh-CN"/>
              </w:rPr>
              <w:t>响应</w:t>
            </w:r>
            <w:r>
              <w:rPr>
                <w:rFonts w:hint="eastAsia" w:ascii="仿宋" w:hAnsi="仿宋" w:eastAsia="仿宋" w:cs="仿宋"/>
                <w:color w:val="auto"/>
                <w:kern w:val="2"/>
                <w:sz w:val="21"/>
                <w:szCs w:val="21"/>
                <w:highlight w:val="none"/>
              </w:rPr>
              <w:t>文件格式技术和服务要求响应表为准。</w:t>
            </w:r>
          </w:p>
        </w:tc>
        <w:tc>
          <w:tcPr>
            <w:tcW w:w="1535" w:type="dxa"/>
            <w:noWrap w:val="0"/>
            <w:vAlign w:val="center"/>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pStyle w:val="1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项目实施组织情况</w:t>
            </w:r>
          </w:p>
        </w:tc>
        <w:tc>
          <w:tcPr>
            <w:tcW w:w="5232" w:type="dxa"/>
            <w:noWrap w:val="0"/>
            <w:vAlign w:val="center"/>
          </w:tcPr>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根据各</w:t>
            </w:r>
            <w:r>
              <w:rPr>
                <w:rFonts w:hint="eastAsia" w:ascii="仿宋" w:hAnsi="仿宋" w:eastAsia="仿宋" w:cs="仿宋"/>
                <w:color w:val="auto"/>
                <w:kern w:val="2"/>
                <w:sz w:val="21"/>
                <w:szCs w:val="21"/>
                <w:highlight w:val="none"/>
                <w:lang w:eastAsia="zh-CN"/>
              </w:rPr>
              <w:t>响应供应商</w:t>
            </w:r>
            <w:r>
              <w:rPr>
                <w:rFonts w:hint="eastAsia" w:ascii="仿宋" w:hAnsi="仿宋" w:eastAsia="仿宋" w:cs="仿宋"/>
                <w:color w:val="auto"/>
                <w:kern w:val="2"/>
                <w:sz w:val="21"/>
                <w:szCs w:val="21"/>
                <w:highlight w:val="none"/>
              </w:rPr>
              <w:t xml:space="preserve">提供的项目组织实施方案（包括实施方案、供货安装进度安排、组织情况、项目实施计划等内容）进行综合评审： </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rPr>
              <w:t>组织实施方案清晰、全面、合理，施工方案科学可操作性强，进度安排合理，组织、实施计划有条理性的，得</w:t>
            </w:r>
            <w:r>
              <w:rPr>
                <w:rFonts w:hint="eastAsia" w:ascii="仿宋" w:hAnsi="仿宋" w:eastAsia="仿宋" w:cs="仿宋"/>
                <w:color w:val="auto"/>
                <w:kern w:val="2"/>
                <w:sz w:val="21"/>
                <w:szCs w:val="21"/>
                <w:highlight w:val="none"/>
                <w:lang w:val="en-US" w:eastAsia="zh-CN"/>
              </w:rPr>
              <w:t>10</w:t>
            </w:r>
            <w:r>
              <w:rPr>
                <w:rFonts w:hint="eastAsia" w:ascii="仿宋" w:hAnsi="仿宋" w:eastAsia="仿宋" w:cs="仿宋"/>
                <w:color w:val="auto"/>
                <w:kern w:val="2"/>
                <w:sz w:val="21"/>
                <w:szCs w:val="21"/>
                <w:highlight w:val="none"/>
              </w:rPr>
              <w:t>分；</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rPr>
              <w:t>组织实施方案较清晰、较全面、较合理，施工方案可行，进度安排较合理，组织、实施计划基本有条理性的，得</w:t>
            </w:r>
            <w:r>
              <w:rPr>
                <w:rFonts w:hint="eastAsia" w:ascii="仿宋" w:hAnsi="仿宋" w:eastAsia="仿宋" w:cs="仿宋"/>
                <w:color w:val="auto"/>
                <w:kern w:val="2"/>
                <w:sz w:val="21"/>
                <w:szCs w:val="21"/>
                <w:highlight w:val="none"/>
                <w:lang w:val="en-US" w:eastAsia="zh-CN"/>
              </w:rPr>
              <w:t>6</w:t>
            </w:r>
            <w:r>
              <w:rPr>
                <w:rFonts w:hint="eastAsia" w:ascii="仿宋" w:hAnsi="仿宋" w:eastAsia="仿宋" w:cs="仿宋"/>
                <w:color w:val="auto"/>
                <w:kern w:val="2"/>
                <w:sz w:val="21"/>
                <w:szCs w:val="21"/>
                <w:highlight w:val="none"/>
              </w:rPr>
              <w:t>分；</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3.</w:t>
            </w:r>
            <w:r>
              <w:rPr>
                <w:rFonts w:hint="eastAsia" w:ascii="仿宋" w:hAnsi="仿宋" w:eastAsia="仿宋" w:cs="仿宋"/>
                <w:color w:val="auto"/>
                <w:kern w:val="2"/>
                <w:sz w:val="21"/>
                <w:szCs w:val="21"/>
                <w:highlight w:val="none"/>
              </w:rPr>
              <w:t>组织实施方案简单、基本合理，施工方案科学基本可行，进度安排一般，组织、实施计划欠缺条理性的，得</w:t>
            </w: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rPr>
              <w:t>分。</w:t>
            </w:r>
          </w:p>
          <w:p>
            <w:pPr>
              <w:pStyle w:val="19"/>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无提供不得分。</w:t>
            </w:r>
          </w:p>
        </w:tc>
        <w:tc>
          <w:tcPr>
            <w:tcW w:w="1535" w:type="dxa"/>
            <w:noWrap w:val="0"/>
            <w:vAlign w:val="center"/>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6" w:type="dxa"/>
            <w:noWrap w:val="0"/>
            <w:vAlign w:val="center"/>
          </w:tcPr>
          <w:p>
            <w:pPr>
              <w:pStyle w:val="1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质量保障措施方案</w:t>
            </w:r>
          </w:p>
        </w:tc>
        <w:tc>
          <w:tcPr>
            <w:tcW w:w="5232" w:type="dxa"/>
            <w:noWrap w:val="0"/>
            <w:vAlign w:val="center"/>
          </w:tcPr>
          <w:p>
            <w:pPr>
              <w:pStyle w:val="19"/>
              <w:rPr>
                <w:rFonts w:hint="eastAsia" w:ascii="仿宋" w:hAnsi="仿宋" w:eastAsia="仿宋" w:cs="仿宋"/>
                <w:color w:val="auto"/>
                <w:kern w:val="2"/>
                <w:sz w:val="21"/>
                <w:szCs w:val="21"/>
                <w:highlight w:val="none"/>
                <w:lang w:val="en-GB" w:eastAsia="zh-CN"/>
              </w:rPr>
            </w:pPr>
            <w:r>
              <w:rPr>
                <w:rFonts w:hint="eastAsia" w:ascii="仿宋" w:hAnsi="仿宋" w:eastAsia="仿宋" w:cs="仿宋"/>
                <w:color w:val="auto"/>
                <w:kern w:val="2"/>
                <w:sz w:val="21"/>
                <w:szCs w:val="21"/>
                <w:highlight w:val="none"/>
              </w:rPr>
              <w:t>根据各</w:t>
            </w:r>
            <w:r>
              <w:rPr>
                <w:rFonts w:hint="eastAsia" w:ascii="仿宋" w:hAnsi="仿宋" w:eastAsia="仿宋" w:cs="仿宋"/>
                <w:color w:val="auto"/>
                <w:kern w:val="2"/>
                <w:sz w:val="21"/>
                <w:szCs w:val="21"/>
                <w:highlight w:val="none"/>
                <w:lang w:eastAsia="zh-CN"/>
              </w:rPr>
              <w:t>响应供应商</w:t>
            </w:r>
            <w:r>
              <w:rPr>
                <w:rFonts w:hint="eastAsia" w:ascii="仿宋" w:hAnsi="仿宋" w:eastAsia="仿宋" w:cs="仿宋"/>
                <w:color w:val="auto"/>
                <w:kern w:val="2"/>
                <w:sz w:val="21"/>
                <w:szCs w:val="21"/>
                <w:highlight w:val="none"/>
              </w:rPr>
              <w:t>提供的</w:t>
            </w:r>
            <w:r>
              <w:rPr>
                <w:rFonts w:hint="eastAsia" w:ascii="仿宋" w:hAnsi="仿宋" w:eastAsia="仿宋" w:cs="仿宋"/>
                <w:color w:val="auto"/>
                <w:kern w:val="2"/>
                <w:sz w:val="21"/>
                <w:szCs w:val="21"/>
                <w:highlight w:val="none"/>
                <w:lang w:val="en-GB" w:eastAsia="zh-CN"/>
              </w:rPr>
              <w:t>质量保证措施方案</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GB" w:eastAsia="zh-CN"/>
              </w:rPr>
              <w:t xml:space="preserve">方案内容包括但不限于：质量保障措施、质量保障承诺、保障措施资源配置等内容）进行综合评审： </w:t>
            </w:r>
          </w:p>
          <w:p>
            <w:pPr>
              <w:pStyle w:val="19"/>
              <w:rPr>
                <w:rFonts w:hint="eastAsia" w:ascii="仿宋" w:hAnsi="仿宋" w:eastAsia="仿宋" w:cs="仿宋"/>
                <w:color w:val="auto"/>
                <w:kern w:val="2"/>
                <w:sz w:val="21"/>
                <w:szCs w:val="21"/>
                <w:highlight w:val="none"/>
                <w:lang w:val="en-GB" w:eastAsia="zh-CN"/>
              </w:rPr>
            </w:pP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val="en-GB" w:eastAsia="zh-CN"/>
              </w:rPr>
              <w:t>方案详细、具体，可操作性强，有完善可行的质保承诺，得</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lang w:val="en-GB" w:eastAsia="zh-CN"/>
              </w:rPr>
              <w:t>分；</w:t>
            </w:r>
          </w:p>
          <w:p>
            <w:pPr>
              <w:pStyle w:val="19"/>
              <w:rPr>
                <w:rFonts w:hint="eastAsia" w:ascii="仿宋" w:hAnsi="仿宋" w:eastAsia="仿宋" w:cs="仿宋"/>
                <w:color w:val="auto"/>
                <w:kern w:val="2"/>
                <w:sz w:val="21"/>
                <w:szCs w:val="21"/>
                <w:highlight w:val="none"/>
                <w:lang w:val="en-GB" w:eastAsia="zh-CN"/>
              </w:rPr>
            </w:pP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lang w:val="en-GB" w:eastAsia="zh-CN"/>
              </w:rPr>
              <w:t>方案比较详细、比较具体、可操作性较强，有比较完善可行的质保承诺，得</w:t>
            </w:r>
            <w:r>
              <w:rPr>
                <w:rFonts w:hint="eastAsia" w:ascii="仿宋" w:hAnsi="仿宋" w:eastAsia="仿宋" w:cs="仿宋"/>
                <w:color w:val="auto"/>
                <w:kern w:val="2"/>
                <w:sz w:val="21"/>
                <w:szCs w:val="21"/>
                <w:highlight w:val="none"/>
                <w:lang w:val="en-US" w:eastAsia="zh-CN"/>
              </w:rPr>
              <w:t>3</w:t>
            </w:r>
            <w:r>
              <w:rPr>
                <w:rFonts w:hint="eastAsia" w:ascii="仿宋" w:hAnsi="仿宋" w:eastAsia="仿宋" w:cs="仿宋"/>
                <w:color w:val="auto"/>
                <w:kern w:val="2"/>
                <w:sz w:val="21"/>
                <w:szCs w:val="21"/>
                <w:highlight w:val="none"/>
                <w:lang w:val="en-GB" w:eastAsia="zh-CN"/>
              </w:rPr>
              <w:t>分；</w:t>
            </w:r>
          </w:p>
          <w:p>
            <w:pPr>
              <w:pStyle w:val="19"/>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w:t>
            </w:r>
            <w:r>
              <w:rPr>
                <w:rFonts w:hint="eastAsia" w:ascii="仿宋" w:hAnsi="仿宋" w:eastAsia="仿宋" w:cs="仿宋"/>
                <w:color w:val="auto"/>
                <w:kern w:val="2"/>
                <w:sz w:val="21"/>
                <w:szCs w:val="21"/>
                <w:highlight w:val="none"/>
                <w:lang w:val="en-GB" w:eastAsia="zh-CN"/>
              </w:rPr>
              <w:t>方案一般，可操作性一般，有质保承诺但可行性一般，得</w:t>
            </w: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val="en-GB" w:eastAsia="zh-CN"/>
              </w:rPr>
              <w:t>分；</w:t>
            </w:r>
          </w:p>
          <w:p>
            <w:pPr>
              <w:pStyle w:val="19"/>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lang w:val="en-GB" w:eastAsia="zh-CN"/>
              </w:rPr>
              <w:t>无提供不得分。</w:t>
            </w:r>
          </w:p>
        </w:tc>
        <w:tc>
          <w:tcPr>
            <w:tcW w:w="1535" w:type="dxa"/>
            <w:noWrap w:val="0"/>
            <w:vAlign w:val="center"/>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1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培训方案</w:t>
            </w:r>
          </w:p>
        </w:tc>
        <w:tc>
          <w:tcPr>
            <w:tcW w:w="5232" w:type="dxa"/>
            <w:noWrap w:val="0"/>
            <w:vAlign w:val="center"/>
          </w:tcPr>
          <w:p>
            <w:pPr>
              <w:pStyle w:val="19"/>
              <w:rPr>
                <w:rFonts w:hint="eastAsia" w:ascii="仿宋" w:hAnsi="仿宋" w:eastAsia="仿宋" w:cs="仿宋"/>
                <w:color w:val="auto"/>
                <w:kern w:val="2"/>
                <w:sz w:val="21"/>
                <w:szCs w:val="21"/>
                <w:highlight w:val="none"/>
                <w:lang w:val="en-GB"/>
              </w:rPr>
            </w:pPr>
            <w:r>
              <w:rPr>
                <w:rFonts w:hint="eastAsia" w:ascii="仿宋" w:hAnsi="仿宋" w:eastAsia="仿宋" w:cs="仿宋"/>
                <w:color w:val="auto"/>
                <w:kern w:val="2"/>
                <w:sz w:val="21"/>
                <w:szCs w:val="21"/>
                <w:highlight w:val="none"/>
                <w:lang w:val="en-GB"/>
              </w:rPr>
              <w:t>根据各供应商提供的培训方案（包括培训团队、培训计划、培训内容等）进行评审。</w:t>
            </w:r>
          </w:p>
          <w:p>
            <w:pPr>
              <w:pStyle w:val="19"/>
              <w:rPr>
                <w:rFonts w:hint="eastAsia" w:ascii="仿宋" w:hAnsi="仿宋" w:eastAsia="仿宋" w:cs="仿宋"/>
                <w:color w:val="auto"/>
                <w:kern w:val="2"/>
                <w:sz w:val="21"/>
                <w:szCs w:val="21"/>
                <w:highlight w:val="none"/>
                <w:lang w:val="en-GB"/>
              </w:rPr>
            </w:pPr>
            <w:r>
              <w:rPr>
                <w:rFonts w:hint="eastAsia" w:ascii="仿宋" w:hAnsi="仿宋" w:eastAsia="仿宋" w:cs="仿宋"/>
                <w:color w:val="auto"/>
                <w:kern w:val="2"/>
                <w:sz w:val="21"/>
                <w:szCs w:val="21"/>
                <w:highlight w:val="none"/>
                <w:lang w:val="en-GB"/>
              </w:rPr>
              <w:t>1.方案内容完整、详细、表述清晰、科学合理、切实可行，优于或满足采购要求，得</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lang w:val="en-GB"/>
              </w:rPr>
              <w:t>分；</w:t>
            </w:r>
          </w:p>
          <w:p>
            <w:pPr>
              <w:pStyle w:val="19"/>
              <w:rPr>
                <w:rFonts w:hint="eastAsia" w:ascii="仿宋" w:hAnsi="仿宋" w:eastAsia="仿宋" w:cs="仿宋"/>
                <w:color w:val="auto"/>
                <w:kern w:val="2"/>
                <w:sz w:val="21"/>
                <w:szCs w:val="21"/>
                <w:highlight w:val="none"/>
                <w:lang w:val="en-GB"/>
              </w:rPr>
            </w:pPr>
            <w:r>
              <w:rPr>
                <w:rFonts w:hint="eastAsia" w:ascii="仿宋" w:hAnsi="仿宋" w:eastAsia="仿宋" w:cs="仿宋"/>
                <w:color w:val="auto"/>
                <w:kern w:val="2"/>
                <w:sz w:val="21"/>
                <w:szCs w:val="21"/>
                <w:highlight w:val="none"/>
                <w:lang w:val="en-GB"/>
              </w:rPr>
              <w:t>2.方案内容基本满足采购要求，得</w:t>
            </w:r>
            <w:r>
              <w:rPr>
                <w:rFonts w:hint="eastAsia" w:ascii="仿宋" w:hAnsi="仿宋" w:eastAsia="仿宋" w:cs="仿宋"/>
                <w:color w:val="auto"/>
                <w:kern w:val="2"/>
                <w:sz w:val="21"/>
                <w:szCs w:val="21"/>
                <w:highlight w:val="none"/>
                <w:lang w:val="en-US" w:eastAsia="zh-CN"/>
              </w:rPr>
              <w:t>3</w:t>
            </w:r>
            <w:r>
              <w:rPr>
                <w:rFonts w:hint="eastAsia" w:ascii="仿宋" w:hAnsi="仿宋" w:eastAsia="仿宋" w:cs="仿宋"/>
                <w:color w:val="auto"/>
                <w:kern w:val="2"/>
                <w:sz w:val="21"/>
                <w:szCs w:val="21"/>
                <w:highlight w:val="none"/>
                <w:lang w:val="en-GB"/>
              </w:rPr>
              <w:t>分；</w:t>
            </w:r>
          </w:p>
          <w:p>
            <w:pPr>
              <w:pStyle w:val="19"/>
              <w:rPr>
                <w:rFonts w:hint="eastAsia" w:ascii="仿宋" w:hAnsi="仿宋" w:eastAsia="仿宋" w:cs="仿宋"/>
                <w:color w:val="auto"/>
                <w:kern w:val="2"/>
                <w:sz w:val="21"/>
                <w:szCs w:val="21"/>
                <w:highlight w:val="none"/>
                <w:lang w:val="en-GB"/>
              </w:rPr>
            </w:pPr>
            <w:r>
              <w:rPr>
                <w:rFonts w:hint="eastAsia" w:ascii="仿宋" w:hAnsi="仿宋" w:eastAsia="仿宋" w:cs="仿宋"/>
                <w:color w:val="auto"/>
                <w:kern w:val="2"/>
                <w:sz w:val="21"/>
                <w:szCs w:val="21"/>
                <w:highlight w:val="none"/>
                <w:lang w:val="en-GB"/>
              </w:rPr>
              <w:t>3.仅提供方案但无法满足采购需求，得</w:t>
            </w: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val="en-GB"/>
              </w:rPr>
              <w:t>分；</w:t>
            </w:r>
          </w:p>
          <w:p>
            <w:pPr>
              <w:pStyle w:val="1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GB"/>
              </w:rPr>
              <w:t>4.未提供方案不得分。</w:t>
            </w:r>
          </w:p>
        </w:tc>
        <w:tc>
          <w:tcPr>
            <w:tcW w:w="1535" w:type="dxa"/>
            <w:noWrap w:val="0"/>
            <w:vAlign w:val="center"/>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19"/>
              <w:jc w:val="cente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kern w:val="2"/>
                <w:sz w:val="21"/>
                <w:szCs w:val="21"/>
                <w:highlight w:val="none"/>
              </w:rPr>
              <w:t>同类业绩</w:t>
            </w:r>
          </w:p>
        </w:tc>
        <w:tc>
          <w:tcPr>
            <w:tcW w:w="5232" w:type="dxa"/>
            <w:noWrap w:val="0"/>
            <w:vAlign w:val="top"/>
          </w:tcPr>
          <w:p>
            <w:pPr>
              <w:pStyle w:val="1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供应商提供2022年1月1日至今承担过的同类业绩进行评分，每提供一个，得2分，满分6分。</w:t>
            </w:r>
            <w:r>
              <w:rPr>
                <w:rFonts w:hint="eastAsia" w:ascii="仿宋" w:hAnsi="仿宋" w:eastAsia="仿宋" w:cs="仿宋"/>
                <w:color w:val="auto"/>
                <w:kern w:val="2"/>
                <w:sz w:val="21"/>
                <w:szCs w:val="21"/>
                <w:highlight w:val="none"/>
                <w:lang w:eastAsia="zh-CN"/>
              </w:rPr>
              <w:t>注：</w:t>
            </w:r>
            <w:r>
              <w:rPr>
                <w:rFonts w:hint="eastAsia" w:ascii="仿宋" w:hAnsi="仿宋" w:eastAsia="仿宋" w:cs="仿宋"/>
                <w:color w:val="auto"/>
                <w:kern w:val="2"/>
                <w:sz w:val="21"/>
                <w:szCs w:val="21"/>
                <w:highlight w:val="none"/>
              </w:rPr>
              <w:t>同类业绩证明文件是中标/成交通知书或合同关键页的复印件或扫描件（合同关键页是指包括：①能显示设备名称等相关信息；②签订合同双方的单位名称、合同项目名称；③签订合同双方的签章、盖章及签订日期）</w:t>
            </w: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rPr>
              <w:t>无提供不得分。</w:t>
            </w:r>
          </w:p>
        </w:tc>
        <w:tc>
          <w:tcPr>
            <w:tcW w:w="1535" w:type="dxa"/>
            <w:noWrap w:val="0"/>
            <w:vAlign w:val="center"/>
          </w:tcPr>
          <w:p>
            <w:pPr>
              <w:widowControl/>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1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售后服务方案</w:t>
            </w:r>
          </w:p>
        </w:tc>
        <w:tc>
          <w:tcPr>
            <w:tcW w:w="5232" w:type="dxa"/>
            <w:noWrap w:val="0"/>
            <w:vAlign w:val="top"/>
          </w:tcPr>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对各</w:t>
            </w:r>
            <w:r>
              <w:rPr>
                <w:rFonts w:hint="eastAsia" w:ascii="仿宋" w:hAnsi="仿宋" w:eastAsia="仿宋" w:cs="仿宋"/>
                <w:color w:val="auto"/>
                <w:kern w:val="2"/>
                <w:sz w:val="21"/>
                <w:szCs w:val="21"/>
                <w:highlight w:val="none"/>
                <w:lang w:eastAsia="zh-CN"/>
              </w:rPr>
              <w:t>响应供应商</w:t>
            </w:r>
            <w:r>
              <w:rPr>
                <w:rFonts w:hint="eastAsia" w:ascii="仿宋" w:hAnsi="仿宋" w:eastAsia="仿宋" w:cs="仿宋"/>
                <w:color w:val="auto"/>
                <w:kern w:val="2"/>
                <w:sz w:val="21"/>
                <w:szCs w:val="21"/>
                <w:highlight w:val="none"/>
              </w:rPr>
              <w:t>提供的售后服务内容（包括质保期、维护保养方案、</w:t>
            </w:r>
            <w:r>
              <w:rPr>
                <w:rFonts w:hint="eastAsia" w:ascii="仿宋" w:hAnsi="仿宋" w:eastAsia="仿宋" w:cs="仿宋"/>
                <w:color w:val="auto"/>
                <w:kern w:val="2"/>
                <w:sz w:val="21"/>
                <w:szCs w:val="21"/>
                <w:highlight w:val="none"/>
                <w:lang w:eastAsia="zh-CN"/>
              </w:rPr>
              <w:t>服务响应时效</w:t>
            </w:r>
            <w:r>
              <w:rPr>
                <w:rFonts w:hint="eastAsia" w:ascii="仿宋" w:hAnsi="仿宋" w:eastAsia="仿宋" w:cs="仿宋"/>
                <w:color w:val="auto"/>
                <w:kern w:val="2"/>
                <w:sz w:val="21"/>
                <w:szCs w:val="21"/>
                <w:highlight w:val="none"/>
              </w:rPr>
              <w:t>、安排的合理性等）是否完善具体，各阶段服务计划是否详尽进行评分：</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rPr>
              <w:t>售后服务方案详细、具体，完全满足</w:t>
            </w:r>
            <w:r>
              <w:rPr>
                <w:rFonts w:hint="eastAsia" w:ascii="仿宋" w:hAnsi="仿宋" w:eastAsia="仿宋" w:cs="仿宋"/>
                <w:color w:val="auto"/>
                <w:kern w:val="2"/>
                <w:sz w:val="21"/>
                <w:szCs w:val="21"/>
                <w:highlight w:val="none"/>
                <w:lang w:eastAsia="zh-CN"/>
              </w:rPr>
              <w:t>或</w:t>
            </w:r>
            <w:r>
              <w:rPr>
                <w:rFonts w:hint="eastAsia" w:ascii="仿宋" w:hAnsi="仿宋" w:eastAsia="仿宋" w:cs="仿宋"/>
                <w:color w:val="auto"/>
                <w:kern w:val="2"/>
                <w:sz w:val="21"/>
                <w:szCs w:val="21"/>
                <w:highlight w:val="none"/>
              </w:rPr>
              <w:t>优于</w:t>
            </w:r>
            <w:r>
              <w:rPr>
                <w:rFonts w:hint="eastAsia" w:ascii="仿宋" w:hAnsi="仿宋" w:eastAsia="仿宋" w:cs="仿宋"/>
                <w:color w:val="auto"/>
                <w:kern w:val="2"/>
                <w:sz w:val="21"/>
                <w:szCs w:val="21"/>
                <w:highlight w:val="none"/>
                <w:lang w:eastAsia="zh-CN"/>
              </w:rPr>
              <w:t>比选文件</w:t>
            </w:r>
            <w:r>
              <w:rPr>
                <w:rFonts w:hint="eastAsia" w:ascii="仿宋" w:hAnsi="仿宋" w:eastAsia="仿宋" w:cs="仿宋"/>
                <w:color w:val="auto"/>
                <w:kern w:val="2"/>
                <w:sz w:val="21"/>
                <w:szCs w:val="21"/>
                <w:highlight w:val="none"/>
              </w:rPr>
              <w:t>要求</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各阶段服务计划</w:t>
            </w:r>
            <w:r>
              <w:rPr>
                <w:rFonts w:hint="eastAsia" w:ascii="仿宋" w:hAnsi="仿宋" w:eastAsia="仿宋" w:cs="仿宋"/>
                <w:color w:val="auto"/>
                <w:kern w:val="2"/>
                <w:sz w:val="21"/>
                <w:szCs w:val="21"/>
                <w:highlight w:val="none"/>
                <w:lang w:eastAsia="zh-CN"/>
              </w:rPr>
              <w:t>周全</w:t>
            </w:r>
            <w:r>
              <w:rPr>
                <w:rFonts w:hint="eastAsia" w:ascii="仿宋" w:hAnsi="仿宋" w:eastAsia="仿宋" w:cs="仿宋"/>
                <w:color w:val="auto"/>
                <w:kern w:val="2"/>
                <w:sz w:val="21"/>
                <w:szCs w:val="21"/>
                <w:highlight w:val="none"/>
              </w:rPr>
              <w:t>详尽，得</w:t>
            </w:r>
            <w:r>
              <w:rPr>
                <w:rFonts w:hint="eastAsia" w:ascii="仿宋" w:hAnsi="仿宋" w:eastAsia="仿宋" w:cs="仿宋"/>
                <w:color w:val="auto"/>
                <w:kern w:val="2"/>
                <w:sz w:val="21"/>
                <w:szCs w:val="21"/>
                <w:highlight w:val="none"/>
                <w:lang w:val="en-US" w:eastAsia="zh-CN"/>
              </w:rPr>
              <w:t>6</w:t>
            </w:r>
            <w:r>
              <w:rPr>
                <w:rFonts w:hint="eastAsia" w:ascii="仿宋" w:hAnsi="仿宋" w:eastAsia="仿宋" w:cs="仿宋"/>
                <w:color w:val="auto"/>
                <w:kern w:val="2"/>
                <w:sz w:val="21"/>
                <w:szCs w:val="21"/>
                <w:highlight w:val="none"/>
              </w:rPr>
              <w:t xml:space="preserve">分； </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rPr>
              <w:t>售后服务方案基本详细、具体，满足</w:t>
            </w:r>
            <w:r>
              <w:rPr>
                <w:rFonts w:hint="eastAsia" w:ascii="仿宋" w:hAnsi="仿宋" w:eastAsia="仿宋" w:cs="仿宋"/>
                <w:color w:val="auto"/>
                <w:kern w:val="2"/>
                <w:sz w:val="21"/>
                <w:szCs w:val="21"/>
                <w:highlight w:val="none"/>
                <w:lang w:eastAsia="zh-CN"/>
              </w:rPr>
              <w:t>比选文件</w:t>
            </w:r>
            <w:r>
              <w:rPr>
                <w:rFonts w:hint="eastAsia" w:ascii="仿宋" w:hAnsi="仿宋" w:eastAsia="仿宋" w:cs="仿宋"/>
                <w:color w:val="auto"/>
                <w:kern w:val="2"/>
                <w:sz w:val="21"/>
                <w:szCs w:val="21"/>
                <w:highlight w:val="none"/>
              </w:rPr>
              <w:t>要求</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各阶段服务计划</w:t>
            </w:r>
            <w:r>
              <w:rPr>
                <w:rFonts w:hint="eastAsia" w:ascii="仿宋" w:hAnsi="仿宋" w:eastAsia="仿宋" w:cs="仿宋"/>
                <w:color w:val="auto"/>
                <w:kern w:val="2"/>
                <w:sz w:val="21"/>
                <w:szCs w:val="21"/>
                <w:highlight w:val="none"/>
                <w:lang w:eastAsia="zh-CN"/>
              </w:rPr>
              <w:t>满足</w:t>
            </w:r>
            <w:r>
              <w:rPr>
                <w:rFonts w:hint="eastAsia" w:ascii="仿宋" w:hAnsi="仿宋" w:eastAsia="仿宋" w:cs="仿宋"/>
                <w:color w:val="auto"/>
                <w:kern w:val="2"/>
                <w:sz w:val="21"/>
                <w:szCs w:val="21"/>
                <w:highlight w:val="none"/>
              </w:rPr>
              <w:t>，得</w:t>
            </w: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分；</w:t>
            </w:r>
          </w:p>
          <w:p>
            <w:pPr>
              <w:pStyle w:val="1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3.</w:t>
            </w:r>
            <w:r>
              <w:rPr>
                <w:rFonts w:hint="eastAsia" w:ascii="仿宋" w:hAnsi="仿宋" w:eastAsia="仿宋" w:cs="仿宋"/>
                <w:color w:val="auto"/>
                <w:kern w:val="2"/>
                <w:sz w:val="21"/>
                <w:szCs w:val="21"/>
                <w:highlight w:val="none"/>
              </w:rPr>
              <w:t>售后服务方案不详细、具体，基本满足</w:t>
            </w:r>
            <w:r>
              <w:rPr>
                <w:rFonts w:hint="eastAsia" w:ascii="仿宋" w:hAnsi="仿宋" w:eastAsia="仿宋" w:cs="仿宋"/>
                <w:color w:val="auto"/>
                <w:kern w:val="2"/>
                <w:sz w:val="21"/>
                <w:szCs w:val="21"/>
                <w:highlight w:val="none"/>
                <w:lang w:eastAsia="zh-CN"/>
              </w:rPr>
              <w:t>比选文件</w:t>
            </w:r>
            <w:r>
              <w:rPr>
                <w:rFonts w:hint="eastAsia" w:ascii="仿宋" w:hAnsi="仿宋" w:eastAsia="仿宋" w:cs="仿宋"/>
                <w:color w:val="auto"/>
                <w:kern w:val="2"/>
                <w:sz w:val="21"/>
                <w:szCs w:val="21"/>
                <w:highlight w:val="none"/>
              </w:rPr>
              <w:t>要求</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各阶段服务计划不</w:t>
            </w:r>
            <w:r>
              <w:rPr>
                <w:rFonts w:hint="eastAsia" w:ascii="仿宋" w:hAnsi="仿宋" w:eastAsia="仿宋" w:cs="仿宋"/>
                <w:color w:val="auto"/>
                <w:kern w:val="2"/>
                <w:sz w:val="21"/>
                <w:szCs w:val="21"/>
                <w:highlight w:val="none"/>
                <w:lang w:eastAsia="zh-CN"/>
              </w:rPr>
              <w:t>完全</w:t>
            </w:r>
            <w:r>
              <w:rPr>
                <w:rFonts w:hint="eastAsia" w:ascii="仿宋" w:hAnsi="仿宋" w:eastAsia="仿宋" w:cs="仿宋"/>
                <w:color w:val="auto"/>
                <w:kern w:val="2"/>
                <w:sz w:val="21"/>
                <w:szCs w:val="21"/>
                <w:highlight w:val="none"/>
              </w:rPr>
              <w:t>齐全，得</w:t>
            </w: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rPr>
              <w:t>分；</w:t>
            </w:r>
          </w:p>
          <w:p>
            <w:pPr>
              <w:pStyle w:val="1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4.无提供不得分。</w:t>
            </w:r>
          </w:p>
        </w:tc>
        <w:tc>
          <w:tcPr>
            <w:tcW w:w="1535" w:type="dxa"/>
            <w:noWrap w:val="0"/>
            <w:vAlign w:val="center"/>
          </w:tcPr>
          <w:p>
            <w:pPr>
              <w:widowControl/>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报价得分</w:t>
            </w:r>
          </w:p>
        </w:tc>
        <w:tc>
          <w:tcPr>
            <w:tcW w:w="5232" w:type="dxa"/>
            <w:noWrap w:val="0"/>
            <w:vAlign w:val="top"/>
          </w:tcPr>
          <w:p>
            <w:pPr>
              <w:widowControl/>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报价得分＝（</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报价）×价格分值</w:t>
            </w:r>
          </w:p>
          <w:p>
            <w:pPr>
              <w:widowControl/>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【注：满足</w:t>
            </w:r>
            <w:r>
              <w:rPr>
                <w:rFonts w:hint="eastAsia" w:ascii="仿宋" w:hAnsi="仿宋" w:eastAsia="仿宋" w:cs="仿宋"/>
                <w:color w:val="auto"/>
                <w:kern w:val="0"/>
                <w:sz w:val="21"/>
                <w:szCs w:val="21"/>
                <w:highlight w:val="none"/>
                <w:lang w:eastAsia="zh-CN"/>
              </w:rPr>
              <w:t>比选</w:t>
            </w:r>
            <w:r>
              <w:rPr>
                <w:rFonts w:hint="eastAsia" w:ascii="仿宋" w:hAnsi="仿宋" w:eastAsia="仿宋" w:cs="仿宋"/>
                <w:color w:val="auto"/>
                <w:kern w:val="0"/>
                <w:sz w:val="21"/>
                <w:szCs w:val="21"/>
                <w:highlight w:val="none"/>
              </w:rPr>
              <w:t>文件要求且</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价格最低的</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报价为</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基准价】最低报价不是</w:t>
            </w:r>
            <w:r>
              <w:rPr>
                <w:rFonts w:hint="eastAsia" w:ascii="仿宋" w:hAnsi="仿宋" w:eastAsia="仿宋" w:cs="仿宋"/>
                <w:color w:val="auto"/>
                <w:kern w:val="0"/>
                <w:sz w:val="21"/>
                <w:szCs w:val="21"/>
                <w:highlight w:val="none"/>
                <w:lang w:eastAsia="zh-CN"/>
              </w:rPr>
              <w:t>成交</w:t>
            </w:r>
            <w:r>
              <w:rPr>
                <w:rFonts w:hint="eastAsia" w:ascii="仿宋" w:hAnsi="仿宋" w:eastAsia="仿宋" w:cs="仿宋"/>
                <w:color w:val="auto"/>
                <w:kern w:val="0"/>
                <w:sz w:val="21"/>
                <w:szCs w:val="21"/>
                <w:highlight w:val="none"/>
              </w:rPr>
              <w:t>的唯一依据。因落实政府采购政策进行价格调整的，以调整后的价格计算</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基准价和</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w:t>
            </w:r>
          </w:p>
        </w:tc>
        <w:tc>
          <w:tcPr>
            <w:tcW w:w="1535" w:type="dxa"/>
            <w:noWrap w:val="0"/>
            <w:vAlign w:val="center"/>
          </w:tcPr>
          <w:p>
            <w:pPr>
              <w:widowControl/>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bookmarkStart w:id="15" w:name="_Toc202816996"/>
      <w:bookmarkStart w:id="16" w:name="_Toc202251700"/>
      <w:bookmarkStart w:id="17" w:name="_Toc202254105"/>
      <w:bookmarkStart w:id="18" w:name="_Toc202252034"/>
      <w:bookmarkStart w:id="19" w:name="_Toc202251075"/>
      <w:bookmarkStart w:id="20" w:name="_Toc202820351"/>
      <w:bookmarkStart w:id="21" w:name="_Toc202819878"/>
      <w:r>
        <w:rPr>
          <w:rFonts w:hint="eastAsia" w:ascii="仿宋" w:hAnsi="仿宋" w:eastAsia="仿宋" w:cs="仿宋"/>
          <w:b/>
          <w:bCs/>
          <w:color w:val="auto"/>
          <w:sz w:val="28"/>
          <w:szCs w:val="28"/>
          <w:highlight w:val="none"/>
        </w:rPr>
        <w:t>3 资格性文件</w:t>
      </w:r>
      <w:bookmarkEnd w:id="15"/>
      <w:bookmarkEnd w:id="16"/>
      <w:bookmarkEnd w:id="17"/>
      <w:bookmarkEnd w:id="18"/>
      <w:bookmarkEnd w:id="19"/>
      <w:bookmarkEnd w:id="20"/>
      <w:bookmarkEnd w:id="21"/>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6"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6"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pPr>
        <w:spacing w:line="3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5.我方承诺在本次响应/响应文件中提供的一切文件，无论是原件还是复印件均为真实和准确的，绝无任何虚假、伪造和夸大的成份，否则，愿承担相应的后果和法律责任。</w:t>
      </w:r>
    </w:p>
    <w:p>
      <w:pPr>
        <w:spacing w:line="3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2"/>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0"/>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0"/>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0"/>
        <w:ind w:firstLine="48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0"/>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p>
    <w:p>
      <w:pPr>
        <w:pStyle w:val="20"/>
        <w:ind w:firstLine="480"/>
        <w:rPr>
          <w:rFonts w:hint="eastAsia" w:ascii="仿宋" w:hAnsi="仿宋" w:eastAsia="仿宋" w:cs="仿宋"/>
          <w:color w:val="auto"/>
          <w:sz w:val="24"/>
          <w:highlight w:val="none"/>
          <w:u w:val="single"/>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p>
    <w:p>
      <w:pPr>
        <w:pStyle w:val="20"/>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0"/>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经营范围：</w:t>
      </w:r>
      <w:r>
        <w:rPr>
          <w:rFonts w:hint="eastAsia" w:ascii="仿宋" w:hAnsi="仿宋" w:eastAsia="仿宋" w:cs="仿宋"/>
          <w:color w:val="auto"/>
          <w:sz w:val="24"/>
          <w:highlight w:val="none"/>
          <w:u w:val="single"/>
        </w:rPr>
        <w:t xml:space="preserve">            </w:t>
      </w:r>
    </w:p>
    <w:p>
      <w:pPr>
        <w:pStyle w:val="2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pStyle w:val="20"/>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0"/>
        <w:rPr>
          <w:rFonts w:ascii="仿宋" w:hAnsi="仿宋" w:eastAsia="仿宋" w:cs="仿宋"/>
          <w:color w:val="auto"/>
          <w:sz w:val="24"/>
          <w:szCs w:val="24"/>
          <w:highlight w:val="none"/>
        </w:rPr>
      </w:pP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0"/>
        <w:rPr>
          <w:rFonts w:ascii="仿宋" w:hAnsi="仿宋" w:eastAsia="仿宋" w:cs="仿宋"/>
          <w:color w:val="auto"/>
          <w:sz w:val="24"/>
          <w:szCs w:val="24"/>
          <w:highlight w:val="none"/>
        </w:rPr>
      </w:pP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0"/>
        <w:rPr>
          <w:rFonts w:ascii="仿宋" w:hAnsi="仿宋" w:eastAsia="仿宋" w:cs="仿宋"/>
          <w:color w:val="auto"/>
          <w:sz w:val="24"/>
          <w:szCs w:val="24"/>
          <w:highlight w:val="none"/>
        </w:rPr>
      </w:pP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028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5824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5824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b/>
          <w:color w:val="auto"/>
          <w:sz w:val="24"/>
          <w:highlight w:val="none"/>
        </w:rPr>
      </w:pP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法定代表人授权代表（签字或盖章）：</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5926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233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m+faXXAAAACQEAAA8AAAAAAAAA&#10;AQAgAAAAIgAAAGRycy9kb3ducmV2LnhtbFBLAQIUABQAAAAIAIdO4kAGoZGs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131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131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M/Wt10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年至今任意一年经审计的审计报告复印件（包含审计报告中所涉及的财务报表和报表附注）；或②202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rPr>
        <w:t>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5.本项目不接受联合体参加比选，不允许响应供应商对各比选项目进行分包或转包。(供应商出具声明函)</w:t>
      </w:r>
    </w:p>
    <w:p>
      <w:pPr>
        <w:tabs>
          <w:tab w:val="left" w:pos="0"/>
        </w:tabs>
        <w:wordWrap w:val="0"/>
        <w:spacing w:line="360" w:lineRule="auto"/>
        <w:jc w:val="left"/>
        <w:rPr>
          <w:rFonts w:hint="eastAsia" w:ascii="仿宋" w:hAnsi="仿宋" w:eastAsia="仿宋" w:cs="仿宋"/>
          <w:b w:val="0"/>
          <w:bCs w:val="0"/>
          <w:strike/>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w:t>
      </w:r>
      <w:r>
        <w:rPr>
          <w:rFonts w:hint="eastAsia" w:ascii="仿宋" w:hAnsi="仿宋" w:eastAsia="仿宋" w:cs="仿宋"/>
          <w:strike w:val="0"/>
          <w:color w:val="auto"/>
          <w:sz w:val="24"/>
          <w:highlight w:val="none"/>
          <w:lang w:eastAsia="zh-CN"/>
        </w:rPr>
        <w:t>不属于</w:t>
      </w:r>
      <w:r>
        <w:rPr>
          <w:rFonts w:hint="eastAsia" w:ascii="仿宋" w:hAnsi="仿宋" w:eastAsia="仿宋" w:cs="仿宋"/>
          <w:strike w:val="0"/>
          <w:color w:val="auto"/>
          <w:sz w:val="24"/>
          <w:highlight w:val="none"/>
        </w:rPr>
        <w:t>专门面向中小企业采购的项目</w:t>
      </w:r>
      <w:r>
        <w:rPr>
          <w:rFonts w:hint="eastAsia" w:ascii="仿宋" w:hAnsi="仿宋" w:eastAsia="仿宋" w:cs="仿宋"/>
          <w:strike w:val="0"/>
          <w:color w:val="auto"/>
          <w:sz w:val="24"/>
          <w:highlight w:val="none"/>
          <w:lang w:eastAsia="zh-CN"/>
        </w:rPr>
        <w:t>，</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分标准所属行业为</w:t>
      </w:r>
      <w:r>
        <w:rPr>
          <w:rFonts w:hint="eastAsia" w:ascii="仿宋" w:hAnsi="仿宋" w:eastAsia="仿宋" w:cs="仿宋"/>
          <w:b w:val="0"/>
          <w:bCs w:val="0"/>
          <w:strike w:val="0"/>
          <w:color w:val="auto"/>
          <w:sz w:val="24"/>
          <w:highlight w:val="none"/>
          <w:lang w:eastAsia="zh-CN"/>
        </w:rPr>
        <w:t>：</w:t>
      </w:r>
      <w:r>
        <w:rPr>
          <w:rFonts w:hint="eastAsia" w:ascii="仿宋" w:hAnsi="仿宋" w:eastAsia="仿宋" w:cs="仿宋"/>
          <w:b w:val="0"/>
          <w:bCs w:val="0"/>
          <w:strike w:val="0"/>
          <w:color w:val="auto"/>
          <w:sz w:val="24"/>
          <w:highlight w:val="none"/>
          <w:lang w:val="en-US" w:eastAsia="zh-CN"/>
        </w:rPr>
        <w:t>工业。</w:t>
      </w:r>
    </w:p>
    <w:p>
      <w:pPr>
        <w:tabs>
          <w:tab w:val="left" w:pos="0"/>
        </w:tabs>
        <w:wordWrap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bookmarkStart w:id="22" w:name="_Toc202251701"/>
      <w:bookmarkStart w:id="23" w:name="_Toc202251076"/>
      <w:bookmarkStart w:id="24" w:name="_Toc202252035"/>
      <w:bookmarkStart w:id="25" w:name="_Toc202820352"/>
      <w:bookmarkStart w:id="26" w:name="_Toc202816997"/>
      <w:bookmarkStart w:id="27" w:name="_Toc202254106"/>
      <w:bookmarkStart w:id="28" w:name="_Toc202819879"/>
    </w:p>
    <w:p>
      <w:pPr>
        <w:pStyle w:val="3"/>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bookmarkEnd w:id="22"/>
      <w:bookmarkEnd w:id="23"/>
      <w:bookmarkEnd w:id="24"/>
      <w:bookmarkEnd w:id="25"/>
      <w:bookmarkEnd w:id="26"/>
      <w:bookmarkEnd w:id="27"/>
      <w:bookmarkEnd w:id="28"/>
    </w:p>
    <w:p>
      <w:pPr>
        <w:tabs>
          <w:tab w:val="left" w:pos="540"/>
        </w:tabs>
        <w:spacing w:line="400" w:lineRule="exac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4.1</w:t>
      </w:r>
      <w:r>
        <w:rPr>
          <w:rFonts w:hint="eastAsia" w:ascii="仿宋" w:hAnsi="仿宋" w:eastAsia="仿宋" w:cs="仿宋"/>
          <w:b w:val="0"/>
          <w:bCs/>
          <w:color w:val="auto"/>
          <w:sz w:val="24"/>
          <w:highlight w:val="none"/>
          <w:lang w:val="en-GB"/>
        </w:rPr>
        <w:t>其它必需重要事项说明及承诺(单页)</w:t>
      </w:r>
    </w:p>
    <w:p>
      <w:pPr>
        <w:adjustRightInd w:val="0"/>
        <w:snapToGrid w:val="0"/>
        <w:spacing w:line="40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4.1.1</w:t>
      </w:r>
      <w:r>
        <w:rPr>
          <w:rFonts w:hint="eastAsia" w:ascii="仿宋" w:hAnsi="仿宋" w:eastAsia="仿宋" w:cs="仿宋"/>
          <w:b w:val="0"/>
          <w:bCs w:val="0"/>
          <w:color w:val="auto"/>
          <w:sz w:val="24"/>
          <w:highlight w:val="none"/>
        </w:rPr>
        <w:t>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7" w:leftChars="-257" w:firstLine="486"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pPr>
        <w:spacing w:line="400" w:lineRule="exact"/>
        <w:ind w:left="-547" w:leftChars="-257" w:firstLine="486"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7" w:leftChars="-257" w:firstLine="972"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5"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5"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7" w:leftChars="-257" w:firstLine="972"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5"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7" w:leftChars="-257" w:firstLine="972"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7" w:leftChars="-257" w:firstLine="972"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5"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w:t>
      </w:r>
    </w:p>
    <w:p>
      <w:pPr>
        <w:numPr>
          <w:ilvl w:val="0"/>
          <w:numId w:val="0"/>
        </w:numPr>
        <w:rPr>
          <w:rFonts w:hint="eastAsia" w:ascii="仿宋" w:hAnsi="仿宋" w:eastAsia="仿宋" w:cs="仿宋"/>
          <w:color w:val="auto"/>
          <w:sz w:val="24"/>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注：本函未填写或未勾选视作未做声明。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pPr>
        <w:adjustRightInd w:val="0"/>
        <w:snapToGrid w:val="0"/>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spacing w:line="380" w:lineRule="exact"/>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lang w:val="en-US" w:eastAsia="zh-CN"/>
              </w:rPr>
            </w:pPr>
          </w:p>
        </w:tc>
        <w:tc>
          <w:tcPr>
            <w:tcW w:w="736"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143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103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jc w:val="center"/>
              <w:rPr>
                <w:rFonts w:hint="eastAsia" w:ascii="仿宋" w:hAnsi="仿宋" w:eastAsia="仿宋" w:cs="仿宋"/>
                <w:color w:val="auto"/>
                <w:sz w:val="21"/>
                <w:szCs w:val="21"/>
                <w:highlight w:val="none"/>
              </w:rPr>
            </w:pPr>
          </w:p>
        </w:tc>
        <w:tc>
          <w:tcPr>
            <w:tcW w:w="3651"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rPr>
            </w:pPr>
          </w:p>
        </w:tc>
        <w:tc>
          <w:tcPr>
            <w:tcW w:w="736" w:type="dxa"/>
            <w:noWrap w:val="0"/>
            <w:vAlign w:val="top"/>
          </w:tcPr>
          <w:p>
            <w:pPr>
              <w:rPr>
                <w:rFonts w:hint="eastAsia" w:ascii="仿宋" w:hAnsi="仿宋" w:eastAsia="仿宋" w:cs="仿宋"/>
                <w:color w:val="auto"/>
                <w:szCs w:val="21"/>
                <w:highlight w:val="none"/>
              </w:rPr>
            </w:pPr>
          </w:p>
        </w:tc>
        <w:tc>
          <w:tcPr>
            <w:tcW w:w="1430" w:type="dxa"/>
            <w:noWrap w:val="0"/>
            <w:vAlign w:val="top"/>
          </w:tcPr>
          <w:p>
            <w:pPr>
              <w:rPr>
                <w:rFonts w:hint="eastAsia" w:ascii="仿宋" w:hAnsi="仿宋" w:eastAsia="仿宋" w:cs="仿宋"/>
                <w:color w:val="auto"/>
                <w:szCs w:val="21"/>
                <w:highlight w:val="none"/>
              </w:rPr>
            </w:pPr>
          </w:p>
        </w:tc>
        <w:tc>
          <w:tcPr>
            <w:tcW w:w="1030" w:type="dxa"/>
            <w:noWrap w:val="0"/>
            <w:vAlign w:val="top"/>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jc w:val="center"/>
              <w:rPr>
                <w:rFonts w:hint="eastAsia" w:ascii="仿宋" w:hAnsi="仿宋" w:eastAsia="仿宋" w:cs="仿宋"/>
                <w:color w:val="auto"/>
                <w:szCs w:val="21"/>
                <w:highlight w:val="none"/>
                <w:lang w:val="en-US" w:eastAsia="zh-CN"/>
              </w:rPr>
            </w:pPr>
          </w:p>
        </w:tc>
        <w:tc>
          <w:tcPr>
            <w:tcW w:w="1077" w:type="dxa"/>
            <w:noWrap w:val="0"/>
            <w:vAlign w:val="center"/>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rPr>
                <w:rFonts w:hint="eastAsia" w:ascii="仿宋" w:hAnsi="仿宋" w:eastAsia="仿宋" w:cs="仿宋"/>
                <w:color w:val="auto"/>
                <w:szCs w:val="21"/>
                <w:highlight w:val="none"/>
              </w:rPr>
            </w:pPr>
          </w:p>
        </w:tc>
        <w:tc>
          <w:tcPr>
            <w:tcW w:w="1430" w:type="dxa"/>
            <w:noWrap w:val="0"/>
            <w:vAlign w:val="top"/>
          </w:tcPr>
          <w:p>
            <w:pPr>
              <w:rPr>
                <w:rFonts w:hint="eastAsia" w:ascii="仿宋" w:hAnsi="仿宋" w:eastAsia="仿宋" w:cs="仿宋"/>
                <w:color w:val="auto"/>
                <w:szCs w:val="21"/>
                <w:highlight w:val="none"/>
              </w:rPr>
            </w:pPr>
          </w:p>
        </w:tc>
        <w:tc>
          <w:tcPr>
            <w:tcW w:w="1030" w:type="dxa"/>
            <w:noWrap w:val="0"/>
            <w:vAlign w:val="top"/>
          </w:tcPr>
          <w:p>
            <w:pPr>
              <w:rPr>
                <w:rFonts w:hint="eastAsia" w:ascii="仿宋" w:hAnsi="仿宋" w:eastAsia="仿宋" w:cs="仿宋"/>
                <w:color w:val="auto"/>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ascii="仿宋" w:hAnsi="仿宋" w:eastAsia="仿宋" w:cs="仿宋"/>
          <w:color w:val="auto"/>
          <w:sz w:val="24"/>
          <w:highlight w:val="none"/>
        </w:rPr>
      </w:pPr>
    </w:p>
    <w:p>
      <w:pPr>
        <w:pStyle w:val="4"/>
        <w:spacing w:before="0" w:after="0"/>
        <w:jc w:val="left"/>
        <w:rPr>
          <w:rFonts w:hint="eastAsia" w:ascii="仿宋" w:hAnsi="仿宋" w:eastAsia="仿宋" w:cs="仿宋"/>
          <w:color w:val="auto"/>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5"/>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w:t>
            </w:r>
            <w:r>
              <w:rPr>
                <w:rFonts w:hint="eastAsia" w:ascii="仿宋" w:hAnsi="仿宋" w:eastAsia="仿宋" w:cs="仿宋"/>
                <w:color w:val="auto"/>
                <w:szCs w:val="21"/>
                <w:highlight w:val="none"/>
                <w:lang w:eastAsia="zh-CN"/>
              </w:rPr>
              <w:t>商务</w:t>
            </w:r>
            <w:r>
              <w:rPr>
                <w:rFonts w:hint="eastAsia" w:ascii="仿宋" w:hAnsi="仿宋" w:eastAsia="仿宋" w:cs="仿宋"/>
                <w:color w:val="auto"/>
                <w:szCs w:val="21"/>
                <w:highlight w:val="none"/>
              </w:rPr>
              <w:t>条款要求</w:t>
            </w:r>
          </w:p>
        </w:tc>
        <w:tc>
          <w:tcPr>
            <w:tcW w:w="1381" w:type="dxa"/>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jc w:val="center"/>
              <w:rPr>
                <w:rFonts w:hint="eastAsia" w:ascii="仿宋" w:hAnsi="仿宋" w:eastAsia="仿宋" w:cs="仿宋"/>
                <w:color w:val="auto"/>
                <w:szCs w:val="21"/>
                <w:highlight w:val="none"/>
              </w:rPr>
            </w:pPr>
          </w:p>
        </w:tc>
        <w:tc>
          <w:tcPr>
            <w:tcW w:w="1391"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、合格的货物、工程和服务要求</w:t>
            </w:r>
          </w:p>
        </w:tc>
        <w:tc>
          <w:tcPr>
            <w:tcW w:w="1381" w:type="dxa"/>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jc w:val="center"/>
              <w:rPr>
                <w:rFonts w:hint="eastAsia" w:ascii="仿宋" w:hAnsi="仿宋" w:eastAsia="仿宋" w:cs="仿宋"/>
                <w:color w:val="auto"/>
                <w:szCs w:val="21"/>
                <w:highlight w:val="none"/>
              </w:rPr>
            </w:pPr>
          </w:p>
        </w:tc>
        <w:tc>
          <w:tcPr>
            <w:tcW w:w="1391"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的各项须知、规约要求和责任义务</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同意按本项目要求缴付相关款项</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同意采购方以任何形式对我方响应文件内容的真实性和有效性进行审查、验证</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pStyle w:val="12"/>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满足对服务的各项要求</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bookmarkStart w:id="29" w:name="_Toc202254107"/>
      <w:bookmarkStart w:id="30" w:name="_Toc202252036"/>
      <w:bookmarkStart w:id="31" w:name="_Toc202820353"/>
      <w:bookmarkStart w:id="32" w:name="_Toc202251702"/>
      <w:bookmarkStart w:id="33" w:name="_Toc202816998"/>
      <w:bookmarkStart w:id="34" w:name="_Toc202251077"/>
      <w:bookmarkStart w:id="35" w:name="_Toc202819880"/>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bookmarkStart w:id="36" w:name="_Toc20962"/>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bookmarkEnd w:id="3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pStyle w:val="22"/>
              <w:rPr>
                <w:rFonts w:hint="eastAsia" w:ascii="仿宋" w:hAnsi="仿宋" w:eastAsia="仿宋" w:cs="仿宋"/>
                <w:color w:val="auto"/>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2"/>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bookmarkEnd w:id="29"/>
      <w:bookmarkEnd w:id="30"/>
      <w:bookmarkEnd w:id="31"/>
      <w:bookmarkEnd w:id="32"/>
      <w:bookmarkEnd w:id="33"/>
      <w:bookmarkEnd w:id="34"/>
      <w:bookmarkEnd w:id="35"/>
    </w:p>
    <w:p>
      <w:pPr>
        <w:pStyle w:val="8"/>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bookmarkStart w:id="37" w:name="_Hlk76398443"/>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w:t>
      </w:r>
      <w:bookmarkEnd w:id="37"/>
      <w:r>
        <w:rPr>
          <w:rFonts w:hint="eastAsia" w:ascii="仿宋" w:hAnsi="仿宋" w:eastAsia="仿宋" w:cs="仿宋"/>
          <w:b/>
          <w:color w:val="auto"/>
          <w:sz w:val="24"/>
          <w:highlight w:val="none"/>
        </w:rPr>
        <w:t>响应表（单页填写）</w:t>
      </w:r>
    </w:p>
    <w:p>
      <w:pPr>
        <w:pStyle w:val="8"/>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5"/>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ind w:firstLine="3159"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4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897"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41"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897" w:type="dxa"/>
            <w:noWrap w:val="0"/>
            <w:vAlign w:val="center"/>
          </w:tcPr>
          <w:p>
            <w:pPr>
              <w:adjustRightInd w:val="0"/>
              <w:snapToGrid w:val="0"/>
              <w:spacing w:line="360" w:lineRule="auto"/>
              <w:rPr>
                <w:rFonts w:hint="eastAsia" w:ascii="仿宋" w:hAnsi="仿宋" w:eastAsia="仿宋" w:cs="仿宋"/>
                <w:color w:val="auto"/>
                <w:sz w:val="21"/>
                <w:szCs w:val="21"/>
                <w:highlight w:val="none"/>
                <w:lang w:val="en-US"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41"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897" w:type="dxa"/>
            <w:noWrap w:val="0"/>
            <w:vAlign w:val="top"/>
          </w:tcPr>
          <w:p>
            <w:pPr>
              <w:spacing w:line="380" w:lineRule="exact"/>
              <w:ind w:left="40" w:leftChars="19"/>
              <w:jc w:val="left"/>
              <w:rPr>
                <w:rFonts w:hint="eastAsia" w:ascii="仿宋" w:hAnsi="仿宋" w:eastAsia="仿宋" w:cs="仿宋"/>
                <w:color w:val="auto"/>
                <w:sz w:val="21"/>
                <w:szCs w:val="21"/>
                <w:highlight w:val="none"/>
                <w:lang w:val="en-US"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pPr>
              <w:spacing w:line="380" w:lineRule="exact"/>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41" w:type="dxa"/>
            <w:noWrap w:val="0"/>
            <w:vAlign w:val="center"/>
          </w:tcPr>
          <w:p>
            <w:pPr>
              <w:spacing w:line="20" w:lineRule="atLeast"/>
              <w:jc w:val="center"/>
              <w:rPr>
                <w:rFonts w:hint="eastAsia" w:ascii="仿宋" w:hAnsi="仿宋" w:eastAsia="仿宋" w:cs="仿宋"/>
                <w:color w:val="auto"/>
                <w:sz w:val="24"/>
                <w:highlight w:val="none"/>
              </w:rPr>
            </w:pPr>
          </w:p>
        </w:tc>
        <w:tc>
          <w:tcPr>
            <w:tcW w:w="1897" w:type="dxa"/>
            <w:noWrap w:val="0"/>
            <w:vAlign w:val="top"/>
          </w:tcPr>
          <w:p>
            <w:pPr>
              <w:spacing w:line="20" w:lineRule="atLeast"/>
              <w:rPr>
                <w:rFonts w:hint="eastAsia" w:ascii="仿宋" w:hAnsi="仿宋" w:eastAsia="仿宋" w:cs="仿宋"/>
                <w:color w:val="auto"/>
                <w:sz w:val="21"/>
                <w:szCs w:val="21"/>
                <w:highlight w:val="none"/>
              </w:rPr>
            </w:pPr>
          </w:p>
        </w:tc>
        <w:tc>
          <w:tcPr>
            <w:tcW w:w="1701" w:type="dxa"/>
            <w:noWrap w:val="0"/>
            <w:vAlign w:val="top"/>
          </w:tcPr>
          <w:p>
            <w:pPr>
              <w:spacing w:line="20" w:lineRule="atLeast"/>
              <w:rPr>
                <w:rFonts w:hint="eastAsia" w:ascii="仿宋" w:hAnsi="仿宋" w:eastAsia="仿宋" w:cs="仿宋"/>
                <w:color w:val="auto"/>
                <w:sz w:val="24"/>
                <w:highlight w:val="none"/>
              </w:rPr>
            </w:pPr>
          </w:p>
        </w:tc>
        <w:tc>
          <w:tcPr>
            <w:tcW w:w="871" w:type="dxa"/>
            <w:noWrap w:val="0"/>
            <w:vAlign w:val="top"/>
          </w:tcPr>
          <w:p>
            <w:pPr>
              <w:spacing w:line="20" w:lineRule="atLeast"/>
              <w:rPr>
                <w:rFonts w:hint="eastAsia" w:ascii="仿宋" w:hAnsi="仿宋" w:eastAsia="仿宋" w:cs="仿宋"/>
                <w:color w:val="auto"/>
                <w:sz w:val="24"/>
                <w:highlight w:val="none"/>
              </w:rPr>
            </w:pPr>
          </w:p>
        </w:tc>
        <w:tc>
          <w:tcPr>
            <w:tcW w:w="912" w:type="dxa"/>
            <w:noWrap w:val="0"/>
            <w:vAlign w:val="top"/>
          </w:tcPr>
          <w:p>
            <w:pPr>
              <w:spacing w:line="20" w:lineRule="atLeast"/>
              <w:rPr>
                <w:rFonts w:hint="eastAsia" w:ascii="仿宋" w:hAnsi="仿宋" w:eastAsia="仿宋" w:cs="仿宋"/>
                <w:color w:val="auto"/>
                <w:sz w:val="24"/>
                <w:highlight w:val="none"/>
              </w:rPr>
            </w:pPr>
          </w:p>
        </w:tc>
        <w:tc>
          <w:tcPr>
            <w:tcW w:w="775" w:type="dxa"/>
            <w:noWrap w:val="0"/>
            <w:vAlign w:val="top"/>
          </w:tcPr>
          <w:p>
            <w:pPr>
              <w:spacing w:line="20" w:lineRule="atLeast"/>
              <w:rPr>
                <w:rFonts w:hint="eastAsia" w:ascii="仿宋" w:hAnsi="仿宋" w:eastAsia="仿宋" w:cs="仿宋"/>
                <w:color w:val="auto"/>
                <w:sz w:val="24"/>
                <w:highlight w:val="none"/>
              </w:rPr>
            </w:pPr>
          </w:p>
        </w:tc>
        <w:tc>
          <w:tcPr>
            <w:tcW w:w="1141"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pPr>
              <w:spacing w:line="380" w:lineRule="exact"/>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41" w:type="dxa"/>
            <w:noWrap w:val="0"/>
            <w:vAlign w:val="top"/>
          </w:tcPr>
          <w:p>
            <w:pPr>
              <w:spacing w:line="20" w:lineRule="atLeast"/>
              <w:rPr>
                <w:rFonts w:hint="eastAsia" w:ascii="仿宋" w:hAnsi="仿宋" w:eastAsia="仿宋" w:cs="仿宋"/>
                <w:color w:val="auto"/>
                <w:sz w:val="24"/>
                <w:highlight w:val="none"/>
              </w:rPr>
            </w:pPr>
          </w:p>
        </w:tc>
        <w:tc>
          <w:tcPr>
            <w:tcW w:w="1897" w:type="dxa"/>
            <w:noWrap w:val="0"/>
            <w:vAlign w:val="top"/>
          </w:tcPr>
          <w:p>
            <w:pPr>
              <w:spacing w:line="20" w:lineRule="atLeast"/>
              <w:rPr>
                <w:rFonts w:hint="eastAsia" w:ascii="仿宋" w:hAnsi="仿宋" w:eastAsia="仿宋" w:cs="仿宋"/>
                <w:color w:val="auto"/>
                <w:sz w:val="24"/>
                <w:highlight w:val="none"/>
              </w:rPr>
            </w:pPr>
          </w:p>
        </w:tc>
        <w:tc>
          <w:tcPr>
            <w:tcW w:w="1701" w:type="dxa"/>
            <w:noWrap w:val="0"/>
            <w:vAlign w:val="top"/>
          </w:tcPr>
          <w:p>
            <w:pPr>
              <w:spacing w:line="20" w:lineRule="atLeast"/>
              <w:rPr>
                <w:rFonts w:hint="eastAsia" w:ascii="仿宋" w:hAnsi="仿宋" w:eastAsia="仿宋" w:cs="仿宋"/>
                <w:color w:val="auto"/>
                <w:sz w:val="24"/>
                <w:highlight w:val="none"/>
              </w:rPr>
            </w:pPr>
          </w:p>
        </w:tc>
        <w:tc>
          <w:tcPr>
            <w:tcW w:w="871" w:type="dxa"/>
            <w:noWrap w:val="0"/>
            <w:vAlign w:val="top"/>
          </w:tcPr>
          <w:p>
            <w:pPr>
              <w:spacing w:line="20" w:lineRule="atLeast"/>
              <w:rPr>
                <w:rFonts w:hint="eastAsia" w:ascii="仿宋" w:hAnsi="仿宋" w:eastAsia="仿宋" w:cs="仿宋"/>
                <w:color w:val="auto"/>
                <w:sz w:val="24"/>
                <w:highlight w:val="none"/>
              </w:rPr>
            </w:pPr>
          </w:p>
        </w:tc>
        <w:tc>
          <w:tcPr>
            <w:tcW w:w="912" w:type="dxa"/>
            <w:noWrap w:val="0"/>
            <w:vAlign w:val="top"/>
          </w:tcPr>
          <w:p>
            <w:pPr>
              <w:spacing w:line="20" w:lineRule="atLeast"/>
              <w:rPr>
                <w:rFonts w:hint="eastAsia" w:ascii="仿宋" w:hAnsi="仿宋" w:eastAsia="仿宋" w:cs="仿宋"/>
                <w:color w:val="auto"/>
                <w:sz w:val="24"/>
                <w:highlight w:val="none"/>
              </w:rPr>
            </w:pPr>
          </w:p>
        </w:tc>
        <w:tc>
          <w:tcPr>
            <w:tcW w:w="775" w:type="dxa"/>
            <w:noWrap w:val="0"/>
            <w:vAlign w:val="top"/>
          </w:tcPr>
          <w:p>
            <w:pPr>
              <w:spacing w:line="20" w:lineRule="atLeast"/>
              <w:rPr>
                <w:rFonts w:hint="eastAsia" w:ascii="仿宋" w:hAnsi="仿宋" w:eastAsia="仿宋" w:cs="仿宋"/>
                <w:color w:val="auto"/>
                <w:sz w:val="24"/>
                <w:highlight w:val="none"/>
              </w:rPr>
            </w:pPr>
          </w:p>
        </w:tc>
        <w:tc>
          <w:tcPr>
            <w:tcW w:w="1141" w:type="dxa"/>
            <w:noWrap w:val="0"/>
            <w:vAlign w:val="top"/>
          </w:tcPr>
          <w:p>
            <w:pPr>
              <w:spacing w:line="20" w:lineRule="atLeast"/>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8"/>
        <w:adjustRightInd w:val="0"/>
        <w:snapToGrid w:val="0"/>
        <w:spacing w:line="44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8"/>
        <w:adjustRightInd w:val="0"/>
        <w:snapToGrid w:val="0"/>
        <w:spacing w:line="440" w:lineRule="exact"/>
        <w:ind w:firstLine="486"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.2非实质性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5"/>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3060"/>
        <w:gridCol w:w="1620"/>
        <w:gridCol w:w="744"/>
        <w:gridCol w:w="826"/>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06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62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44"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826"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30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30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val="en-US" w:eastAsia="zh-CN"/>
              </w:rPr>
            </w:pP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服务要求的内容逐条响应。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5"/>
        <w:tblW w:w="8750" w:type="dxa"/>
        <w:jc w:val="center"/>
        <w:tblLayout w:type="fixed"/>
        <w:tblCellMar>
          <w:top w:w="0" w:type="dxa"/>
          <w:left w:w="108" w:type="dxa"/>
          <w:bottom w:w="0" w:type="dxa"/>
          <w:right w:w="108" w:type="dxa"/>
        </w:tblCellMar>
      </w:tblPr>
      <w:tblGrid>
        <w:gridCol w:w="771"/>
        <w:gridCol w:w="1692"/>
        <w:gridCol w:w="1728"/>
        <w:gridCol w:w="708"/>
        <w:gridCol w:w="672"/>
        <w:gridCol w:w="1056"/>
        <w:gridCol w:w="1104"/>
        <w:gridCol w:w="1019"/>
      </w:tblGrid>
      <w:tr>
        <w:tblPrEx>
          <w:tblCellMar>
            <w:top w:w="0" w:type="dxa"/>
            <w:left w:w="108" w:type="dxa"/>
            <w:bottom w:w="0" w:type="dxa"/>
            <w:right w:w="108" w:type="dxa"/>
          </w:tblCellMar>
        </w:tblPrEx>
        <w:trPr>
          <w:trHeight w:val="645"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rPr>
            </w:pPr>
            <w:r>
              <w:rPr>
                <w:rFonts w:hint="eastAsia" w:ascii="仿宋" w:hAnsi="仿宋" w:eastAsia="仿宋" w:cs="仿宋"/>
                <w:i w:val="0"/>
                <w:iCs w:val="0"/>
                <w:color w:val="auto"/>
                <w:kern w:val="0"/>
                <w:sz w:val="24"/>
                <w:szCs w:val="24"/>
                <w:highlight w:val="none"/>
                <w:u w:val="none"/>
                <w:lang w:val="en-US" w:eastAsia="zh-CN" w:bidi="ar"/>
              </w:rPr>
              <w:t>采购标的名称</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rPr>
            </w:pPr>
            <w:r>
              <w:rPr>
                <w:rFonts w:hint="eastAsia" w:ascii="仿宋" w:hAnsi="仿宋" w:eastAsia="仿宋" w:cs="仿宋"/>
                <w:i w:val="0"/>
                <w:iCs w:val="0"/>
                <w:color w:val="auto"/>
                <w:kern w:val="0"/>
                <w:sz w:val="24"/>
                <w:szCs w:val="24"/>
                <w:highlight w:val="none"/>
                <w:u w:val="none"/>
                <w:lang w:val="en-US" w:eastAsia="zh-CN" w:bidi="ar"/>
              </w:rPr>
              <w:t>规格型号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 w:hAnsi="仿宋" w:eastAsia="仿宋" w:cs="仿宋"/>
                <w:color w:val="auto"/>
                <w:kern w:val="0"/>
                <w:szCs w:val="21"/>
                <w:highlight w:val="none"/>
              </w:rPr>
            </w:pPr>
            <w:r>
              <w:rPr>
                <w:rFonts w:hint="eastAsia" w:ascii="仿宋" w:hAnsi="仿宋" w:eastAsia="仿宋" w:cs="仿宋"/>
                <w:i w:val="0"/>
                <w:iCs w:val="0"/>
                <w:color w:val="auto"/>
                <w:kern w:val="0"/>
                <w:sz w:val="24"/>
                <w:szCs w:val="24"/>
                <w:highlight w:val="none"/>
                <w:u w:val="none"/>
                <w:lang w:val="en-US" w:eastAsia="zh-CN" w:bidi="ar"/>
              </w:rPr>
              <w:t>单价（元）</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金额（元）</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制造商</w:t>
            </w:r>
          </w:p>
        </w:tc>
      </w:tr>
      <w:tr>
        <w:tblPrEx>
          <w:tblCellMar>
            <w:top w:w="0" w:type="dxa"/>
            <w:left w:w="108" w:type="dxa"/>
            <w:bottom w:w="0" w:type="dxa"/>
            <w:right w:w="108" w:type="dxa"/>
          </w:tblCellMar>
        </w:tblPrEx>
        <w:trPr>
          <w:trHeight w:val="505"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eastAsia="zh-CN"/>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eastAsia="zh-CN"/>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eastAsia="zh-CN"/>
              </w:rPr>
            </w:pPr>
          </w:p>
        </w:tc>
      </w:tr>
      <w:tr>
        <w:tblPrEx>
          <w:tblCellMar>
            <w:top w:w="0" w:type="dxa"/>
            <w:left w:w="108" w:type="dxa"/>
            <w:bottom w:w="0" w:type="dxa"/>
            <w:right w:w="108" w:type="dxa"/>
          </w:tblCellMar>
        </w:tblPrEx>
        <w:trPr>
          <w:trHeight w:val="565"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eastAsia="zh-CN"/>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eastAsia="zh-CN"/>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eastAsia="zh-CN"/>
              </w:rPr>
            </w:pPr>
          </w:p>
        </w:tc>
      </w:tr>
      <w:tr>
        <w:tblPrEx>
          <w:tblCellMar>
            <w:top w:w="0" w:type="dxa"/>
            <w:left w:w="108" w:type="dxa"/>
            <w:bottom w:w="0" w:type="dxa"/>
            <w:right w:w="108" w:type="dxa"/>
          </w:tblCellMar>
        </w:tblPrEx>
        <w:trPr>
          <w:trHeight w:val="431"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eastAsia="zh-CN"/>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eastAsia="zh-CN"/>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Cs w:val="21"/>
                <w:highlight w:val="none"/>
                <w:lang w:val="en-US" w:eastAsia="zh-C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eastAsia="zh-CN"/>
              </w:rPr>
            </w:pPr>
          </w:p>
        </w:tc>
      </w:tr>
      <w:tr>
        <w:tblPrEx>
          <w:tblCellMar>
            <w:top w:w="0" w:type="dxa"/>
            <w:left w:w="108" w:type="dxa"/>
            <w:bottom w:w="0" w:type="dxa"/>
            <w:right w:w="108" w:type="dxa"/>
          </w:tblCellMar>
        </w:tblPrEx>
        <w:trPr>
          <w:trHeight w:val="431" w:hRule="atLeast"/>
          <w:jc w:val="center"/>
        </w:trPr>
        <w:tc>
          <w:tcPr>
            <w:tcW w:w="875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合计</w:t>
            </w: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pPr>
        <w:rPr>
          <w:color w:val="auto"/>
          <w:highlight w:val="none"/>
        </w:rPr>
      </w:pPr>
    </w:p>
    <w:p>
      <w:pPr>
        <w:rPr>
          <w:b/>
          <w:bCs/>
          <w:color w:val="auto"/>
          <w:highlight w:val="none"/>
        </w:rPr>
      </w:pPr>
    </w:p>
    <w:p>
      <w:pPr>
        <w:rPr>
          <w:color w:val="auto"/>
          <w:highlight w:val="none"/>
        </w:rPr>
      </w:pPr>
    </w:p>
    <w:bookmarkEnd w:id="0"/>
    <w:p>
      <w:pPr>
        <w:rPr>
          <w:color w:val="auto"/>
          <w:highlight w:val="none"/>
        </w:rPr>
      </w:pPr>
    </w:p>
    <w:p>
      <w:pPr>
        <w:rPr>
          <w:color w:val="auto"/>
        </w:rPr>
      </w:pPr>
    </w:p>
    <w:bookmarkEnd w:id="1"/>
    <w:bookmarkEnd w:id="2"/>
    <w:p>
      <w:pPr>
        <w:rPr>
          <w:color w:val="auto"/>
        </w:rPr>
      </w:pPr>
    </w:p>
    <w:p>
      <w:pPr>
        <w:bidi w:val="0"/>
        <w:rPr>
          <w:rFonts w:ascii="Calibri" w:hAnsi="Calibri"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6864"/>
        </w:tabs>
        <w:bidi w:val="0"/>
        <w:jc w:val="left"/>
        <w:rPr>
          <w:lang w:val="en-US" w:eastAsia="zh-CN"/>
        </w:rPr>
      </w:pPr>
      <w:r>
        <w:rPr>
          <w:rFonts w:hint="eastAsia"/>
          <w:lang w:val="en-US" w:eastAsia="zh-CN"/>
        </w:rPr>
        <w:tab/>
      </w:r>
    </w:p>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FangSong_GB2312-Identity-H">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52</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52</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08A9BB30"/>
    <w:multiLevelType w:val="singleLevel"/>
    <w:tmpl w:val="08A9BB30"/>
    <w:lvl w:ilvl="0" w:tentative="0">
      <w:start w:val="12"/>
      <w:numFmt w:val="chineseCounting"/>
      <w:suff w:val="nothing"/>
      <w:lvlText w:val="%1、"/>
      <w:lvlJc w:val="left"/>
      <w:rPr>
        <w:rFonts w:hint="eastAsia"/>
      </w:rPr>
    </w:lvl>
  </w:abstractNum>
  <w:abstractNum w:abstractNumId="2">
    <w:nsid w:val="569C8C25"/>
    <w:multiLevelType w:val="singleLevel"/>
    <w:tmpl w:val="569C8C25"/>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D76E6"/>
    <w:rsid w:val="02F5363B"/>
    <w:rsid w:val="112C51F5"/>
    <w:rsid w:val="166B434F"/>
    <w:rsid w:val="16A34339"/>
    <w:rsid w:val="19127B2B"/>
    <w:rsid w:val="1A3D488F"/>
    <w:rsid w:val="1CEE151B"/>
    <w:rsid w:val="211B133B"/>
    <w:rsid w:val="230B002A"/>
    <w:rsid w:val="2646292A"/>
    <w:rsid w:val="28734921"/>
    <w:rsid w:val="29487125"/>
    <w:rsid w:val="312F02AF"/>
    <w:rsid w:val="36440680"/>
    <w:rsid w:val="36587A2D"/>
    <w:rsid w:val="3B602644"/>
    <w:rsid w:val="3E394B06"/>
    <w:rsid w:val="406464CA"/>
    <w:rsid w:val="4A724AE1"/>
    <w:rsid w:val="4B595551"/>
    <w:rsid w:val="4F37247B"/>
    <w:rsid w:val="572F3F8B"/>
    <w:rsid w:val="58BC38C1"/>
    <w:rsid w:val="5972163E"/>
    <w:rsid w:val="5CA574CE"/>
    <w:rsid w:val="610B690D"/>
    <w:rsid w:val="634B3F30"/>
    <w:rsid w:val="67F601DE"/>
    <w:rsid w:val="70A1177B"/>
    <w:rsid w:val="7505542E"/>
    <w:rsid w:val="76BF1240"/>
    <w:rsid w:val="7A5D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caption"/>
    <w:basedOn w:val="1"/>
    <w:next w:val="1"/>
    <w:qFormat/>
    <w:uiPriority w:val="0"/>
    <w:rPr>
      <w:rFonts w:ascii="Cambria" w:hAnsi="Cambria" w:eastAsia="黑体" w:cs="Times New Roman"/>
      <w:sz w:val="20"/>
      <w:szCs w:val="20"/>
    </w:rPr>
  </w:style>
  <w:style w:type="paragraph" w:styleId="6">
    <w:name w:val="annotation text"/>
    <w:basedOn w:val="1"/>
    <w:qFormat/>
    <w:uiPriority w:val="0"/>
    <w:pPr>
      <w:jc w:val="left"/>
    </w:pPr>
  </w:style>
  <w:style w:type="paragraph" w:styleId="7">
    <w:name w:val="Body Text 3"/>
    <w:basedOn w:val="1"/>
    <w:qFormat/>
    <w:uiPriority w:val="0"/>
    <w:pPr>
      <w:spacing w:after="120"/>
    </w:pPr>
    <w:rPr>
      <w:sz w:val="16"/>
      <w:szCs w:val="16"/>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index heading"/>
    <w:basedOn w:val="1"/>
    <w:next w:val="13"/>
    <w:qFormat/>
    <w:uiPriority w:val="0"/>
    <w:rPr>
      <w:szCs w:val="20"/>
    </w:rPr>
  </w:style>
  <w:style w:type="paragraph" w:styleId="13">
    <w:name w:val="index 1"/>
    <w:basedOn w:val="1"/>
    <w:next w:val="1"/>
    <w:qFormat/>
    <w:uiPriority w:val="0"/>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7">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18">
    <w:name w:val="列出段落1"/>
    <w:basedOn w:val="1"/>
    <w:qFormat/>
    <w:uiPriority w:val="0"/>
    <w:pPr>
      <w:ind w:firstLine="420" w:firstLineChars="200"/>
    </w:pPr>
    <w:rPr>
      <w:rFonts w:ascii="Calibri" w:hAnsi="Calibri" w:eastAsia="宋体" w:cs="Times New Roman"/>
    </w:rPr>
  </w:style>
  <w:style w:type="paragraph" w:customStyle="1" w:styleId="19">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0">
    <w:name w:val="null3"/>
    <w:qFormat/>
    <w:uiPriority w:val="0"/>
    <w:rPr>
      <w:rFonts w:hint="eastAsia" w:ascii="Calibri" w:hAnsi="Calibri" w:eastAsia="宋体" w:cs="Times New Roman"/>
      <w:lang w:val="en-US" w:eastAsia="zh-Hans"/>
    </w:rPr>
  </w:style>
  <w:style w:type="paragraph" w:customStyle="1" w:styleId="2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2">
    <w:name w:val="题注4"/>
    <w:basedOn w:val="1"/>
    <w:next w:val="5"/>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2025-04-21T06:46:00Z</dcterms:created>
  <dc:creator>Administrator.FY-202308300715</dc:creator>
  <cp:lastModifiedBy>Mao</cp:lastModifiedBy>
  <dcterms:modified xsi:type="dcterms:W3CDTF">2025-12-16T03:00:09Z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