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jc w:val="center"/>
        <w:rPr>
          <w:rFonts w:hint="eastAsia" w:ascii="仿宋" w:hAnsi="仿宋" w:eastAsia="仿宋" w:cs="仿宋"/>
          <w:b/>
          <w:color w:val="auto"/>
          <w:sz w:val="72"/>
          <w:szCs w:val="72"/>
          <w:highlight w:val="none"/>
          <w:lang w:eastAsia="zh-CN"/>
        </w:rPr>
      </w:pPr>
    </w:p>
    <w:p>
      <w:pPr>
        <w:tabs>
          <w:tab w:val="left" w:pos="420"/>
          <w:tab w:val="left" w:pos="6660"/>
        </w:tabs>
        <w:spacing w:line="1600" w:lineRule="atLeast"/>
        <w:jc w:val="center"/>
        <w:rPr>
          <w:rFonts w:hint="eastAsia" w:ascii="仿宋" w:hAnsi="仿宋" w:eastAsia="仿宋" w:cs="仿宋"/>
          <w:b/>
          <w:color w:val="auto"/>
          <w:sz w:val="72"/>
          <w:szCs w:val="72"/>
          <w:highlight w:val="none"/>
          <w:lang w:eastAsia="zh-CN"/>
        </w:rPr>
      </w:pPr>
      <w:r>
        <w:rPr>
          <w:rFonts w:hint="eastAsia" w:ascii="仿宋" w:hAnsi="仿宋" w:eastAsia="仿宋" w:cs="仿宋"/>
          <w:b/>
          <w:color w:val="auto"/>
          <w:sz w:val="72"/>
          <w:szCs w:val="72"/>
          <w:highlight w:val="none"/>
          <w:lang w:eastAsia="zh-CN"/>
        </w:rPr>
        <w:t>惠州市第一妇幼保健院</w:t>
      </w:r>
    </w:p>
    <w:p>
      <w:pPr>
        <w:tabs>
          <w:tab w:val="left" w:pos="420"/>
          <w:tab w:val="left" w:pos="6660"/>
        </w:tabs>
        <w:spacing w:line="1600" w:lineRule="atLeast"/>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 xml:space="preserve"> 院内比选文件</w:t>
      </w: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eastAsia" w:ascii="仿宋" w:hAnsi="仿宋" w:eastAsia="仿宋" w:cs="仿宋"/>
          <w:b/>
          <w:color w:val="auto"/>
          <w:sz w:val="28"/>
          <w:szCs w:val="28"/>
          <w:highlight w:val="none"/>
        </w:rPr>
      </w:pPr>
    </w:p>
    <w:p>
      <w:pPr>
        <w:spacing w:line="500" w:lineRule="exact"/>
        <w:jc w:val="center"/>
        <w:rPr>
          <w:rFonts w:hint="eastAsia" w:ascii="仿宋" w:hAnsi="仿宋" w:eastAsia="仿宋" w:cs="仿宋"/>
          <w:b/>
          <w:color w:val="auto"/>
          <w:sz w:val="28"/>
          <w:szCs w:val="28"/>
          <w:highlight w:val="none"/>
        </w:rPr>
      </w:pP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default" w:eastAsia="仿宋"/>
          <w:color w:val="auto"/>
          <w:highlight w:val="none"/>
          <w:lang w:val="en-US" w:eastAsia="zh-CN"/>
        </w:rPr>
      </w:pPr>
      <w:r>
        <w:rPr>
          <w:rFonts w:hint="eastAsia" w:ascii="仿宋" w:hAnsi="仿宋" w:eastAsia="仿宋" w:cs="仿宋"/>
          <w:b/>
          <w:color w:val="auto"/>
          <w:sz w:val="28"/>
          <w:szCs w:val="28"/>
          <w:highlight w:val="none"/>
        </w:rPr>
        <w:t>项目编号：</w:t>
      </w:r>
      <w:r>
        <w:rPr>
          <w:rFonts w:hint="eastAsia" w:ascii="仿宋" w:hAnsi="仿宋" w:eastAsia="仿宋" w:cs="仿宋"/>
          <w:b/>
          <w:color w:val="auto"/>
          <w:sz w:val="28"/>
          <w:szCs w:val="28"/>
          <w:highlight w:val="none"/>
          <w:lang w:val="en-US" w:eastAsia="zh-CN"/>
        </w:rPr>
        <w:t>ZCB-YN-2025054</w:t>
      </w: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28"/>
          <w:szCs w:val="28"/>
          <w:highlight w:val="none"/>
        </w:rPr>
        <w:t xml:space="preserve"> 项目名称：</w:t>
      </w:r>
      <w:r>
        <w:rPr>
          <w:rFonts w:hint="eastAsia" w:ascii="Times New Roman" w:hAnsi="Times New Roman" w:eastAsia="方正仿宋_GBK" w:cs="Times New Roman"/>
          <w:b w:val="0"/>
          <w:bCs w:val="0"/>
          <w:color w:val="auto"/>
          <w:kern w:val="2"/>
          <w:sz w:val="32"/>
          <w:szCs w:val="32"/>
          <w:highlight w:val="none"/>
          <w:lang w:val="en-US" w:eastAsia="zh-CN" w:bidi="ar-SA"/>
        </w:rPr>
        <w:t>学龄前儿童持续性注意力测评及3-6岁儿童执行功能软件</w:t>
      </w:r>
    </w:p>
    <w:p>
      <w:pPr>
        <w:jc w:val="both"/>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p>
    <w:p>
      <w:pPr>
        <w:pStyle w:val="2"/>
        <w:rPr>
          <w:rFonts w:hint="eastAsia" w:ascii="仿宋" w:hAnsi="仿宋" w:eastAsia="仿宋" w:cs="仿宋"/>
          <w:b/>
          <w:color w:val="auto"/>
          <w:sz w:val="32"/>
          <w:szCs w:val="32"/>
          <w:highlight w:val="none"/>
        </w:rPr>
      </w:pPr>
    </w:p>
    <w:p>
      <w:pP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惠州市第一妇幼保健院</w:t>
      </w:r>
      <w:r>
        <w:rPr>
          <w:rFonts w:hint="eastAsia" w:ascii="仿宋" w:hAnsi="仿宋" w:eastAsia="仿宋" w:cs="仿宋"/>
          <w:b/>
          <w:color w:val="auto"/>
          <w:sz w:val="32"/>
          <w:szCs w:val="32"/>
          <w:highlight w:val="none"/>
        </w:rPr>
        <w:t>编制</w:t>
      </w: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2025</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12</w:t>
      </w:r>
      <w:r>
        <w:rPr>
          <w:rFonts w:hint="eastAsia" w:ascii="仿宋" w:hAnsi="仿宋" w:eastAsia="仿宋" w:cs="仿宋"/>
          <w:b/>
          <w:color w:val="auto"/>
          <w:sz w:val="32"/>
          <w:szCs w:val="32"/>
          <w:highlight w:val="none"/>
        </w:rPr>
        <w:t>月</w:t>
      </w:r>
    </w:p>
    <w:p>
      <w:pPr>
        <w:jc w:val="center"/>
        <w:rPr>
          <w:rFonts w:hint="eastAsia" w:ascii="仿宋" w:hAnsi="仿宋" w:eastAsia="仿宋" w:cs="仿宋"/>
          <w:b/>
          <w:bCs/>
          <w:color w:val="auto"/>
          <w:sz w:val="52"/>
          <w:szCs w:val="52"/>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jc w:val="center"/>
        <w:rPr>
          <w:rFonts w:hint="eastAsia" w:ascii="仿宋" w:hAnsi="仿宋" w:eastAsia="仿宋" w:cs="仿宋"/>
          <w:b/>
          <w:bCs/>
          <w:color w:val="auto"/>
          <w:sz w:val="52"/>
          <w:szCs w:val="52"/>
          <w:highlight w:val="none"/>
          <w:lang w:eastAsia="zh-CN"/>
        </w:rPr>
      </w:pPr>
      <w:r>
        <w:rPr>
          <w:rFonts w:hint="eastAsia" w:ascii="仿宋" w:hAnsi="仿宋" w:eastAsia="仿宋" w:cs="仿宋"/>
          <w:b/>
          <w:bCs/>
          <w:color w:val="auto"/>
          <w:sz w:val="52"/>
          <w:szCs w:val="52"/>
          <w:highlight w:val="none"/>
        </w:rPr>
        <w:t>目      录</w:t>
      </w:r>
    </w:p>
    <w:p>
      <w:pPr>
        <w:pStyle w:val="7"/>
        <w:rPr>
          <w:rFonts w:hint="eastAsia"/>
          <w:color w:val="auto"/>
          <w:highlight w:val="none"/>
          <w:lang w:eastAsia="zh-CN"/>
        </w:rPr>
      </w:pPr>
    </w:p>
    <w:p>
      <w:pPr>
        <w:pStyle w:val="12"/>
        <w:tabs>
          <w:tab w:val="right" w:leader="dot" w:pos="9174"/>
        </w:tabs>
        <w:spacing w:line="360" w:lineRule="auto"/>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第一部分  比选邀请函</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第二部分  采购项目内容</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第三部分  响应供应商须知</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第四部分  合同书格式</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第五部分  响应文件格式</w:t>
      </w:r>
    </w:p>
    <w:p>
      <w:pPr>
        <w:spacing w:line="360" w:lineRule="auto"/>
        <w:rPr>
          <w:rFonts w:hint="eastAsia" w:ascii="仿宋" w:hAnsi="仿宋" w:eastAsia="仿宋" w:cs="仿宋"/>
          <w:b/>
          <w:color w:val="auto"/>
          <w:kern w:val="0"/>
          <w:sz w:val="28"/>
          <w:szCs w:val="28"/>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2"/>
          <w:cols w:space="720" w:num="1"/>
          <w:docGrid w:type="lines" w:linePitch="312" w:charSpace="0"/>
        </w:sectPr>
      </w:pPr>
    </w:p>
    <w:p>
      <w:pPr>
        <w:spacing w:line="420" w:lineRule="exact"/>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第一部分 比选邀请函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各（潜在）供应商</w:t>
      </w:r>
      <w:r>
        <w:rPr>
          <w:rFonts w:hint="eastAsia" w:ascii="仿宋" w:hAnsi="仿宋" w:eastAsia="仿宋" w:cs="仿宋"/>
          <w:color w:val="auto"/>
          <w:kern w:val="0"/>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惠州市第一妇幼保健院学龄前儿童持续性注意力测评及3-6岁儿童执行功能软件项目</w:t>
      </w:r>
      <w:r>
        <w:rPr>
          <w:rFonts w:hint="eastAsia" w:ascii="仿宋" w:hAnsi="仿宋" w:eastAsia="仿宋" w:cs="仿宋"/>
          <w:color w:val="auto"/>
          <w:sz w:val="24"/>
          <w:highlight w:val="none"/>
        </w:rPr>
        <w:t>将进行院内比选采购，</w:t>
      </w:r>
      <w:r>
        <w:rPr>
          <w:rFonts w:hint="eastAsia" w:ascii="仿宋" w:hAnsi="仿宋" w:eastAsia="仿宋" w:cs="仿宋"/>
          <w:color w:val="auto"/>
          <w:sz w:val="24"/>
          <w:highlight w:val="none"/>
          <w:lang w:val="zh-CN"/>
        </w:rPr>
        <w:t>欢迎符合资格条件</w:t>
      </w:r>
      <w:r>
        <w:rPr>
          <w:rFonts w:hint="eastAsia" w:ascii="仿宋" w:hAnsi="仿宋" w:eastAsia="仿宋" w:cs="仿宋"/>
          <w:color w:val="auto"/>
          <w:sz w:val="24"/>
          <w:highlight w:val="none"/>
        </w:rPr>
        <w:t>的供应商响应。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一、项目</w:t>
      </w:r>
      <w:r>
        <w:rPr>
          <w:rFonts w:hint="eastAsia" w:ascii="仿宋" w:hAnsi="仿宋" w:eastAsia="仿宋" w:cs="仿宋"/>
          <w:color w:val="auto"/>
          <w:sz w:val="24"/>
          <w:highlight w:val="none"/>
          <w:lang w:val="zh-CN"/>
        </w:rPr>
        <w:t>编号：</w:t>
      </w:r>
      <w:r>
        <w:rPr>
          <w:rFonts w:hint="eastAsia" w:ascii="仿宋" w:hAnsi="仿宋" w:eastAsia="仿宋" w:cs="仿宋"/>
          <w:color w:val="auto"/>
          <w:sz w:val="24"/>
          <w:highlight w:val="none"/>
          <w:lang w:eastAsia="zh-CN"/>
        </w:rPr>
        <w:t>ZCB-YN-20250</w:t>
      </w:r>
      <w:r>
        <w:rPr>
          <w:rFonts w:hint="eastAsia" w:ascii="仿宋" w:hAnsi="仿宋" w:eastAsia="仿宋" w:cs="仿宋"/>
          <w:color w:val="auto"/>
          <w:sz w:val="24"/>
          <w:highlight w:val="none"/>
          <w:lang w:val="en-US" w:eastAsia="zh-CN"/>
        </w:rPr>
        <w:t>54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u w:val="single"/>
          <w:lang w:val="zh-CN"/>
        </w:rPr>
      </w:pPr>
      <w:r>
        <w:rPr>
          <w:rFonts w:hint="eastAsia" w:ascii="仿宋" w:hAnsi="仿宋" w:eastAsia="仿宋" w:cs="仿宋"/>
          <w:color w:val="auto"/>
          <w:sz w:val="24"/>
          <w:highlight w:val="none"/>
          <w:lang w:val="zh-CN"/>
        </w:rPr>
        <w:t>二、项目名称：</w:t>
      </w:r>
      <w:r>
        <w:rPr>
          <w:rFonts w:hint="eastAsia" w:ascii="仿宋" w:hAnsi="仿宋" w:eastAsia="仿宋" w:cs="仿宋"/>
          <w:color w:val="auto"/>
          <w:sz w:val="24"/>
          <w:highlight w:val="none"/>
          <w:lang w:eastAsia="zh-CN"/>
        </w:rPr>
        <w:t>学龄前儿童持续性注意力测评及3-6岁儿童执行功能软件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三、项目内容：</w:t>
      </w:r>
    </w:p>
    <w:tbl>
      <w:tblPr>
        <w:tblStyle w:val="14"/>
        <w:tblW w:w="7831" w:type="dxa"/>
        <w:jc w:val="center"/>
        <w:tblLayout w:type="fixed"/>
        <w:tblCellMar>
          <w:top w:w="0" w:type="dxa"/>
          <w:left w:w="108" w:type="dxa"/>
          <w:bottom w:w="0" w:type="dxa"/>
          <w:right w:w="108" w:type="dxa"/>
        </w:tblCellMar>
      </w:tblPr>
      <w:tblGrid>
        <w:gridCol w:w="727"/>
        <w:gridCol w:w="2076"/>
        <w:gridCol w:w="714"/>
        <w:gridCol w:w="720"/>
        <w:gridCol w:w="1608"/>
        <w:gridCol w:w="1986"/>
      </w:tblGrid>
      <w:tr>
        <w:tblPrEx>
          <w:tblCellMar>
            <w:top w:w="0" w:type="dxa"/>
            <w:left w:w="108" w:type="dxa"/>
            <w:bottom w:w="0" w:type="dxa"/>
            <w:right w:w="108" w:type="dxa"/>
          </w:tblCellMar>
        </w:tblPrEx>
        <w:trPr>
          <w:trHeight w:val="465"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序号</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项目</w:t>
            </w:r>
            <w:r>
              <w:rPr>
                <w:rFonts w:hint="eastAsia" w:ascii="仿宋" w:hAnsi="仿宋" w:eastAsia="仿宋" w:cs="仿宋"/>
                <w:color w:val="auto"/>
                <w:kern w:val="0"/>
                <w:szCs w:val="21"/>
                <w:highlight w:val="none"/>
              </w:rPr>
              <w:t>名称</w:t>
            </w: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数量</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单位</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最高限价（元）</w:t>
            </w:r>
          </w:p>
        </w:tc>
        <w:tc>
          <w:tcPr>
            <w:tcW w:w="19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r>
      <w:tr>
        <w:tblPrEx>
          <w:tblCellMar>
            <w:top w:w="0" w:type="dxa"/>
            <w:left w:w="108" w:type="dxa"/>
            <w:bottom w:w="0" w:type="dxa"/>
            <w:right w:w="108" w:type="dxa"/>
          </w:tblCellMar>
        </w:tblPrEx>
        <w:trPr>
          <w:trHeight w:val="653"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1</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学龄前儿童持续性注意力测评及3-6岁儿童执行功能软件</w:t>
            </w: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项</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95000.00</w:t>
            </w:r>
          </w:p>
        </w:tc>
        <w:tc>
          <w:tcPr>
            <w:tcW w:w="19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详细</w:t>
            </w:r>
            <w:r>
              <w:rPr>
                <w:rFonts w:hint="eastAsia" w:ascii="仿宋" w:hAnsi="仿宋" w:eastAsia="仿宋" w:cs="仿宋"/>
                <w:color w:val="auto"/>
                <w:kern w:val="0"/>
                <w:szCs w:val="21"/>
                <w:highlight w:val="none"/>
                <w:lang w:val="en-US" w:eastAsia="zh-CN"/>
              </w:rPr>
              <w:t>项目</w:t>
            </w:r>
            <w:r>
              <w:rPr>
                <w:rFonts w:hint="eastAsia" w:ascii="仿宋" w:hAnsi="仿宋" w:eastAsia="仿宋" w:cs="仿宋"/>
                <w:color w:val="auto"/>
                <w:kern w:val="0"/>
                <w:szCs w:val="21"/>
                <w:highlight w:val="none"/>
                <w:lang w:eastAsia="zh-CN"/>
              </w:rPr>
              <w:t>要求</w:t>
            </w:r>
            <w:r>
              <w:rPr>
                <w:rFonts w:hint="eastAsia" w:ascii="仿宋" w:hAnsi="仿宋" w:eastAsia="仿宋" w:cs="仿宋"/>
                <w:color w:val="auto"/>
                <w:kern w:val="0"/>
                <w:szCs w:val="21"/>
                <w:highlight w:val="none"/>
              </w:rPr>
              <w:t>请参阅</w:t>
            </w:r>
            <w:r>
              <w:rPr>
                <w:rFonts w:hint="eastAsia" w:ascii="仿宋" w:hAnsi="仿宋" w:eastAsia="仿宋" w:cs="仿宋"/>
                <w:color w:val="auto"/>
                <w:kern w:val="0"/>
                <w:szCs w:val="21"/>
                <w:highlight w:val="none"/>
                <w:lang w:val="en-US" w:eastAsia="zh-CN"/>
              </w:rPr>
              <w:t>比选</w:t>
            </w:r>
            <w:r>
              <w:rPr>
                <w:rFonts w:hint="eastAsia" w:ascii="仿宋" w:hAnsi="仿宋" w:eastAsia="仿宋" w:cs="仿宋"/>
                <w:color w:val="auto"/>
                <w:kern w:val="0"/>
                <w:szCs w:val="21"/>
                <w:highlight w:val="none"/>
              </w:rPr>
              <w:t>文件中的采购项目内容。</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zh-CN"/>
        </w:rPr>
        <w:t>四、拟参加</w:t>
      </w:r>
      <w:r>
        <w:rPr>
          <w:rFonts w:hint="eastAsia" w:ascii="仿宋" w:hAnsi="仿宋" w:eastAsia="仿宋" w:cs="仿宋"/>
          <w:color w:val="auto"/>
          <w:sz w:val="24"/>
          <w:highlight w:val="none"/>
        </w:rPr>
        <w:t>响应的供应商应当在20</w:t>
      </w:r>
      <w:r>
        <w:rPr>
          <w:rFonts w:hint="eastAsia" w:ascii="仿宋" w:hAnsi="仿宋" w:eastAsia="仿宋" w:cs="仿宋"/>
          <w:color w:val="auto"/>
          <w:sz w:val="24"/>
          <w:highlight w:val="none"/>
          <w:lang w:val="en-US" w:eastAsia="zh-CN"/>
        </w:rPr>
        <w:t>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19</w:t>
      </w:r>
      <w:r>
        <w:rPr>
          <w:rFonts w:hint="eastAsia" w:ascii="仿宋" w:hAnsi="仿宋" w:eastAsia="仿宋" w:cs="仿宋"/>
          <w:color w:val="auto"/>
          <w:sz w:val="24"/>
          <w:highlight w:val="none"/>
        </w:rPr>
        <w:t>日起至202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25</w:t>
      </w:r>
      <w:r>
        <w:rPr>
          <w:rFonts w:hint="eastAsia" w:ascii="仿宋" w:hAnsi="仿宋" w:eastAsia="仿宋" w:cs="仿宋"/>
          <w:color w:val="auto"/>
          <w:sz w:val="24"/>
          <w:highlight w:val="none"/>
        </w:rPr>
        <w:t>日（上午08:00-12:00，</w:t>
      </w:r>
      <w:r>
        <w:rPr>
          <w:rFonts w:hint="eastAsia" w:ascii="仿宋" w:hAnsi="仿宋" w:eastAsia="仿宋" w:cs="仿宋"/>
          <w:color w:val="auto"/>
          <w:sz w:val="24"/>
          <w:highlight w:val="none"/>
          <w:lang w:eastAsia="zh-CN"/>
        </w:rPr>
        <w:t>14:</w:t>
      </w:r>
      <w:r>
        <w:rPr>
          <w:rFonts w:hint="eastAsia" w:ascii="仿宋" w:hAnsi="仿宋" w:eastAsia="仿宋" w:cs="仿宋"/>
          <w:color w:val="auto"/>
          <w:sz w:val="24"/>
          <w:highlight w:val="none"/>
        </w:rPr>
        <w:t>30-17:30，法定节假日除外）</w:t>
      </w:r>
      <w:r>
        <w:rPr>
          <w:rFonts w:hint="eastAsia" w:ascii="仿宋" w:hAnsi="仿宋" w:eastAsia="仿宋" w:cs="仿宋"/>
          <w:color w:val="auto"/>
          <w:kern w:val="0"/>
          <w:sz w:val="24"/>
          <w:highlight w:val="none"/>
        </w:rPr>
        <w:t>通过惠州市第一妇幼保健院</w:t>
      </w:r>
      <w:r>
        <w:rPr>
          <w:rFonts w:hint="eastAsia" w:ascii="仿宋" w:hAnsi="仿宋" w:eastAsia="仿宋" w:cs="仿宋"/>
          <w:color w:val="auto"/>
          <w:kern w:val="0"/>
          <w:sz w:val="24"/>
          <w:highlight w:val="none"/>
          <w:lang w:eastAsia="zh-CN"/>
        </w:rPr>
        <w:t>医院办公室</w:t>
      </w:r>
      <w:r>
        <w:rPr>
          <w:rFonts w:hint="eastAsia" w:ascii="仿宋" w:hAnsi="仿宋" w:eastAsia="仿宋" w:cs="仿宋"/>
          <w:color w:val="auto"/>
          <w:kern w:val="0"/>
          <w:sz w:val="24"/>
          <w:highlight w:val="none"/>
        </w:rPr>
        <w:t>邮箱报名</w:t>
      </w:r>
      <w:r>
        <w:rPr>
          <w:rFonts w:hint="eastAsia" w:ascii="仿宋" w:hAnsi="仿宋" w:eastAsia="仿宋" w:cs="仿宋"/>
          <w:color w:val="auto"/>
          <w:kern w:val="0"/>
          <w:sz w:val="24"/>
          <w:highlight w:val="none"/>
          <w:lang w:eastAsia="zh-CN"/>
        </w:rPr>
        <w:t>或现场报名</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医院办公室</w:t>
      </w:r>
      <w:r>
        <w:rPr>
          <w:rFonts w:hint="eastAsia" w:ascii="仿宋" w:hAnsi="仿宋" w:eastAsia="仿宋" w:cs="仿宋"/>
          <w:color w:val="auto"/>
          <w:kern w:val="0"/>
          <w:sz w:val="24"/>
          <w:highlight w:val="none"/>
        </w:rPr>
        <w:t>邮箱：dyfyzcb@huizhou.gov.cn</w:t>
      </w:r>
      <w:r>
        <w:rPr>
          <w:rFonts w:hint="eastAsia" w:ascii="仿宋" w:hAnsi="仿宋" w:eastAsia="仿宋" w:cs="仿宋"/>
          <w:color w:val="auto"/>
          <w:kern w:val="0"/>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五、响应文件递交截止时间：202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26</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09</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00分</w:t>
      </w:r>
      <w:r>
        <w:rPr>
          <w:rFonts w:hint="eastAsia" w:ascii="仿宋" w:hAnsi="仿宋" w:eastAsia="仿宋" w:cs="仿宋"/>
          <w:color w:val="auto"/>
          <w:sz w:val="24"/>
          <w:highlight w:val="none"/>
        </w:rPr>
        <w:t>（北京时间）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六、响应文件送达地点：</w:t>
      </w:r>
      <w:r>
        <w:rPr>
          <w:rFonts w:hint="eastAsia" w:ascii="仿宋" w:hAnsi="仿宋" w:eastAsia="仿宋" w:cs="仿宋"/>
          <w:color w:val="auto"/>
          <w:sz w:val="24"/>
          <w:highlight w:val="none"/>
          <w:lang w:val="zh-CN"/>
        </w:rPr>
        <w:t>惠州市惠城区演达四路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惠州市第一妇幼保健院发热门诊二楼。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七、比选时间：202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26</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09</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00分</w:t>
      </w:r>
      <w:r>
        <w:rPr>
          <w:rFonts w:hint="eastAsia" w:ascii="仿宋" w:hAnsi="仿宋" w:eastAsia="仿宋" w:cs="仿宋"/>
          <w:color w:val="auto"/>
          <w:sz w:val="24"/>
          <w:highlight w:val="none"/>
        </w:rPr>
        <w:t>（北京时间）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八、比选地点：</w:t>
      </w:r>
      <w:r>
        <w:rPr>
          <w:rFonts w:hint="eastAsia" w:ascii="仿宋" w:hAnsi="仿宋" w:eastAsia="仿宋" w:cs="仿宋"/>
          <w:color w:val="auto"/>
          <w:sz w:val="24"/>
          <w:highlight w:val="none"/>
          <w:lang w:val="zh-CN"/>
        </w:rPr>
        <w:t>惠州市惠城区演达四路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惠州市第一妇幼保健院发热门诊二楼</w:t>
      </w: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lang w:eastAsia="zh-CN"/>
        </w:rPr>
        <w:t>惠州市第一妇幼保健院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赵工</w:t>
      </w:r>
      <w:r>
        <w:rPr>
          <w:rFonts w:hint="eastAsia" w:ascii="仿宋" w:hAnsi="仿宋" w:eastAsia="仿宋" w:cs="仿宋"/>
          <w:color w:val="auto"/>
          <w:sz w:val="24"/>
          <w:highlight w:val="none"/>
        </w:rPr>
        <w:t xml:space="preserve">                         电话：</w:t>
      </w:r>
      <w:r>
        <w:rPr>
          <w:rFonts w:ascii="仿宋" w:hAnsi="仿宋" w:eastAsia="仿宋" w:cs="仿宋"/>
          <w:color w:val="auto"/>
          <w:sz w:val="24"/>
          <w:highlight w:val="none"/>
        </w:rPr>
        <w:t>0752-</w:t>
      </w:r>
      <w:r>
        <w:rPr>
          <w:rFonts w:hint="eastAsia" w:ascii="仿宋" w:hAnsi="仿宋" w:eastAsia="仿宋" w:cs="仿宋"/>
          <w:color w:val="auto"/>
          <w:sz w:val="24"/>
          <w:highlight w:val="none"/>
          <w:lang w:val="en-US" w:eastAsia="zh-CN"/>
        </w:rPr>
        <w:t>7806068</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联系地址：惠州市演达四路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邮编：516001</w:t>
      </w:r>
    </w:p>
    <w:p>
      <w:pPr>
        <w:keepNext w:val="0"/>
        <w:keepLines w:val="0"/>
        <w:pageBreakBefore w:val="0"/>
        <w:widowControl w:val="0"/>
        <w:kinsoku/>
        <w:wordWrap/>
        <w:overflowPunct/>
        <w:topLinePunct w:val="0"/>
        <w:autoSpaceDE/>
        <w:autoSpaceDN/>
        <w:bidi w:val="0"/>
        <w:adjustRightInd/>
        <w:snapToGrid/>
        <w:spacing w:line="360" w:lineRule="auto"/>
        <w:ind w:left="0" w:firstLine="3720" w:firstLineChars="155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pStyle w:val="16"/>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firstLine="3720" w:firstLineChars="155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firstLine="3720" w:firstLineChars="1550"/>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惠州市第一妇幼保健院</w:t>
      </w:r>
    </w:p>
    <w:p>
      <w:pPr>
        <w:keepNext w:val="0"/>
        <w:keepLines w:val="0"/>
        <w:pageBreakBefore w:val="0"/>
        <w:widowControl w:val="0"/>
        <w:kinsoku/>
        <w:wordWrap/>
        <w:overflowPunct/>
        <w:topLinePunct w:val="0"/>
        <w:autoSpaceDE/>
        <w:autoSpaceDN/>
        <w:bidi w:val="0"/>
        <w:adjustRightInd/>
        <w:snapToGrid/>
        <w:spacing w:line="360" w:lineRule="auto"/>
        <w:ind w:left="0" w:firstLine="4800" w:firstLineChars="20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18</w:t>
      </w:r>
      <w:r>
        <w:rPr>
          <w:rFonts w:hint="eastAsia" w:ascii="仿宋" w:hAnsi="仿宋" w:eastAsia="仿宋" w:cs="仿宋"/>
          <w:color w:val="auto"/>
          <w:sz w:val="24"/>
          <w:highlight w:val="none"/>
        </w:rPr>
        <w:t>日</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仿宋" w:hAnsi="仿宋" w:eastAsia="仿宋" w:cs="仿宋"/>
          <w:b/>
          <w:color w:val="auto"/>
          <w:sz w:val="28"/>
          <w:szCs w:val="28"/>
          <w:highlight w:val="none"/>
        </w:rPr>
      </w:pPr>
      <w:r>
        <w:rPr>
          <w:rFonts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第二部分　采购项目内容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kern w:val="2"/>
          <w:sz w:val="24"/>
          <w:szCs w:val="24"/>
          <w:lang w:val="en-US" w:eastAsia="zh-CN" w:bidi="ar-SA"/>
        </w:rPr>
        <w:t>一、</w:t>
      </w:r>
      <w:r>
        <w:rPr>
          <w:rFonts w:hint="eastAsia" w:ascii="仿宋" w:hAnsi="仿宋" w:eastAsia="仿宋" w:cs="仿宋"/>
          <w:b/>
          <w:bCs/>
          <w:color w:val="auto"/>
          <w:sz w:val="24"/>
          <w:highlight w:val="none"/>
          <w:lang w:val="en-US" w:eastAsia="zh-CN"/>
        </w:rPr>
        <w:t>响应供应商</w:t>
      </w:r>
      <w:r>
        <w:rPr>
          <w:rFonts w:hint="eastAsia" w:ascii="仿宋" w:hAnsi="仿宋" w:eastAsia="仿宋" w:cs="仿宋"/>
          <w:b/>
          <w:bCs/>
          <w:color w:val="auto"/>
          <w:sz w:val="24"/>
          <w:highlight w:val="none"/>
        </w:rPr>
        <w:t>资格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1.具备《政府采购法》第二十二条规定的条件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且提供以下证明文件：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（1）在中华人民共和国境内注册的具有独立承担民事责任能力的法人或其他组织</w:t>
      </w:r>
      <w:r>
        <w:rPr>
          <w:rFonts w:hint="eastAsia" w:ascii="仿宋" w:hAnsi="仿宋" w:eastAsia="仿宋" w:cs="仿宋"/>
          <w:b/>
          <w:bCs/>
          <w:color w:val="auto"/>
          <w:sz w:val="24"/>
          <w:highlight w:val="none"/>
        </w:rPr>
        <w:t>（提供营业执照等证明文件）</w:t>
      </w: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（2）供应商必须具有良好的商业信誉和健全的财务会计制度。可提供：①</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rPr>
        <w:t>年至今任意一年经审计的审计报告复印件（包含审计报告中所涉及的财务报表和报表附注）；或②</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rPr>
        <w:t>年度至今任意一年</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内部的财务报表复印件（新成立公司提供成立至今的月或季度财务报表复印件）；或③截至</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文件递交截止日</w:t>
      </w:r>
      <w:r>
        <w:rPr>
          <w:rFonts w:hint="eastAsia" w:ascii="仿宋" w:hAnsi="仿宋" w:eastAsia="仿宋" w:cs="仿宋"/>
          <w:color w:val="auto"/>
          <w:sz w:val="24"/>
          <w:highlight w:val="none"/>
          <w:lang w:eastAsia="zh-CN"/>
        </w:rPr>
        <w:t>近</w:t>
      </w:r>
      <w:r>
        <w:rPr>
          <w:rFonts w:hint="eastAsia" w:ascii="仿宋" w:hAnsi="仿宋" w:eastAsia="仿宋" w:cs="仿宋"/>
          <w:color w:val="auto"/>
          <w:sz w:val="24"/>
          <w:szCs w:val="24"/>
          <w:highlight w:val="none"/>
          <w:lang w:eastAsia="zh-CN"/>
        </w:rPr>
        <w:t>12个月内</w:t>
      </w:r>
      <w:r>
        <w:rPr>
          <w:rFonts w:hint="eastAsia" w:ascii="仿宋" w:hAnsi="仿宋" w:eastAsia="仿宋" w:cs="仿宋"/>
          <w:color w:val="auto"/>
          <w:sz w:val="24"/>
          <w:highlight w:val="none"/>
        </w:rPr>
        <w:t>银行出具的资信证明（复印件）；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截止时间</w:t>
      </w:r>
      <w:r>
        <w:rPr>
          <w:rFonts w:hint="eastAsia" w:ascii="仿宋" w:hAnsi="仿宋" w:eastAsia="仿宋" w:cs="仿宋"/>
          <w:color w:val="auto"/>
          <w:sz w:val="24"/>
          <w:highlight w:val="none"/>
          <w:lang w:eastAsia="zh-CN"/>
        </w:rPr>
        <w:t>近12个月内</w:t>
      </w:r>
      <w:r>
        <w:rPr>
          <w:rFonts w:hint="eastAsia" w:ascii="仿宋" w:hAnsi="仿宋" w:eastAsia="仿宋" w:cs="仿宋"/>
          <w:color w:val="auto"/>
          <w:sz w:val="24"/>
          <w:highlight w:val="none"/>
        </w:rPr>
        <w:t>任意一个月的依法缴纳税收证明材料</w:t>
      </w:r>
      <w:r>
        <w:rPr>
          <w:rFonts w:hint="eastAsia" w:ascii="仿宋" w:hAnsi="仿宋" w:eastAsia="仿宋" w:cs="仿宋"/>
          <w:b/>
          <w:bCs/>
          <w:color w:val="auto"/>
          <w:sz w:val="24"/>
          <w:highlight w:val="none"/>
        </w:rPr>
        <w:t>（如依法免税，则须提供相应文件证明其依法免税）</w:t>
      </w: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截止时间</w:t>
      </w:r>
      <w:r>
        <w:rPr>
          <w:rFonts w:hint="eastAsia" w:ascii="仿宋" w:hAnsi="仿宋" w:eastAsia="仿宋" w:cs="仿宋"/>
          <w:color w:val="auto"/>
          <w:sz w:val="24"/>
          <w:highlight w:val="none"/>
          <w:lang w:eastAsia="zh-CN"/>
        </w:rPr>
        <w:t>近12个月内</w:t>
      </w:r>
      <w:r>
        <w:rPr>
          <w:rFonts w:hint="eastAsia" w:ascii="仿宋" w:hAnsi="仿宋" w:eastAsia="仿宋" w:cs="仿宋"/>
          <w:color w:val="auto"/>
          <w:sz w:val="24"/>
          <w:highlight w:val="none"/>
        </w:rPr>
        <w:t>任意一个月的依法缴纳社会保险凭据</w:t>
      </w:r>
      <w:r>
        <w:rPr>
          <w:rFonts w:hint="eastAsia" w:ascii="仿宋" w:hAnsi="仿宋" w:eastAsia="仿宋" w:cs="仿宋"/>
          <w:b/>
          <w:bCs/>
          <w:color w:val="auto"/>
          <w:sz w:val="24"/>
          <w:highlight w:val="none"/>
        </w:rPr>
        <w:t>（如依法不需要缴纳社保，则须提供相应文件证明其依法不需要缴纳）或书面声明</w:t>
      </w: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（5）履行合同所必需的设备和专业技术能力的</w:t>
      </w:r>
      <w:r>
        <w:rPr>
          <w:rFonts w:hint="eastAsia" w:ascii="仿宋" w:hAnsi="仿宋" w:eastAsia="仿宋" w:cs="仿宋"/>
          <w:b/>
          <w:bCs/>
          <w:color w:val="auto"/>
          <w:sz w:val="24"/>
          <w:highlight w:val="none"/>
        </w:rPr>
        <w:t>证明材料或书面声明</w:t>
      </w: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3.单位负责人为同一人或者存在直接控股、管理关系的不同供应商，不得参加同一包号</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或者未划分包号的同一采购项目。</w:t>
      </w:r>
      <w:r>
        <w:rPr>
          <w:rFonts w:hint="eastAsia" w:ascii="仿宋" w:hAnsi="仿宋" w:eastAsia="仿宋" w:cs="仿宋"/>
          <w:color w:val="auto"/>
          <w:sz w:val="24"/>
          <w:highlight w:val="none"/>
          <w:lang w:eastAsia="zh-CN"/>
        </w:rPr>
        <w:t>（</w:t>
      </w:r>
      <w:r>
        <w:rPr>
          <w:rFonts w:hint="eastAsia" w:ascii="仿宋" w:hAnsi="仿宋" w:eastAsia="仿宋" w:cs="仿宋"/>
          <w:b/>
          <w:bCs/>
          <w:color w:val="auto"/>
          <w:sz w:val="24"/>
          <w:highlight w:val="none"/>
        </w:rPr>
        <w:t>供应商出具声明函</w:t>
      </w:r>
      <w:r>
        <w:rPr>
          <w:rFonts w:hint="eastAsia" w:ascii="仿宋" w:hAnsi="仿宋" w:eastAsia="仿宋" w:cs="仿宋"/>
          <w:b/>
          <w:bCs/>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4.为采购项目提供整体设计、规范编制或者项目管理、监理、检测等服务的供应商，不得再参加该采购项目的其他采购活动。</w:t>
      </w:r>
      <w:r>
        <w:rPr>
          <w:rFonts w:hint="eastAsia" w:ascii="仿宋" w:hAnsi="仿宋" w:eastAsia="仿宋" w:cs="仿宋"/>
          <w:color w:val="auto"/>
          <w:sz w:val="24"/>
          <w:highlight w:val="none"/>
          <w:lang w:eastAsia="zh-CN"/>
        </w:rPr>
        <w:t>（</w:t>
      </w:r>
      <w:r>
        <w:rPr>
          <w:rFonts w:hint="eastAsia" w:ascii="仿宋" w:hAnsi="仿宋" w:eastAsia="仿宋" w:cs="仿宋"/>
          <w:b/>
          <w:bCs/>
          <w:color w:val="auto"/>
          <w:sz w:val="24"/>
          <w:highlight w:val="none"/>
        </w:rPr>
        <w:t>供应商出具声明函</w:t>
      </w:r>
      <w:r>
        <w:rPr>
          <w:rFonts w:hint="eastAsia" w:ascii="仿宋" w:hAnsi="仿宋" w:eastAsia="仿宋" w:cs="仿宋"/>
          <w:b/>
          <w:bCs/>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5.本项目不接受联合体参加</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，不允许响应供应商对各</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项目进行分包或转包</w:t>
      </w:r>
      <w:r>
        <w:rPr>
          <w:rFonts w:hint="eastAsia" w:ascii="仿宋" w:hAnsi="仿宋" w:eastAsia="仿宋" w:cs="仿宋"/>
          <w:color w:val="auto"/>
          <w:sz w:val="24"/>
          <w:highlight w:val="none"/>
          <w:lang w:eastAsia="zh-CN"/>
        </w:rPr>
        <w:t>（</w:t>
      </w:r>
      <w:r>
        <w:rPr>
          <w:rFonts w:hint="eastAsia" w:ascii="仿宋" w:hAnsi="仿宋" w:eastAsia="仿宋" w:cs="仿宋"/>
          <w:b/>
          <w:bCs/>
          <w:color w:val="auto"/>
          <w:sz w:val="24"/>
          <w:highlight w:val="none"/>
        </w:rPr>
        <w:t>供应商出具声明函</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w:t>
      </w:r>
    </w:p>
    <w:p>
      <w:pPr>
        <w:keepNext w:val="0"/>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color w:val="auto"/>
          <w:highlight w:val="none"/>
        </w:rPr>
      </w:pPr>
      <w:r>
        <w:rPr>
          <w:rFonts w:hint="eastAsia" w:ascii="仿宋" w:hAnsi="仿宋" w:eastAsia="仿宋" w:cs="仿宋"/>
          <w:color w:val="auto"/>
          <w:sz w:val="24"/>
          <w:highlight w:val="none"/>
        </w:rPr>
        <w:t>6.</w:t>
      </w:r>
      <w:r>
        <w:rPr>
          <w:rFonts w:hint="eastAsia" w:ascii="仿宋" w:hAnsi="仿宋" w:eastAsia="仿宋" w:cs="仿宋"/>
          <w:strike w:val="0"/>
          <w:color w:val="auto"/>
          <w:sz w:val="24"/>
          <w:highlight w:val="none"/>
          <w:lang w:eastAsia="zh-CN"/>
        </w:rPr>
        <w:t>本项目是专门面向中小企业采购的项目。（提供《中小企业声明函》,具体格式文件见比选文件</w:t>
      </w:r>
      <w:r>
        <w:rPr>
          <w:rFonts w:hint="eastAsia" w:ascii="仿宋" w:hAnsi="仿宋" w:eastAsia="仿宋" w:cs="仿宋"/>
          <w:b/>
          <w:bCs/>
          <w:strike w:val="0"/>
          <w:color w:val="auto"/>
          <w:sz w:val="24"/>
          <w:highlight w:val="none"/>
          <w:lang w:eastAsia="zh-CN"/>
        </w:rPr>
        <w:t>P53</w:t>
      </w:r>
      <w:r>
        <w:rPr>
          <w:rFonts w:hint="eastAsia" w:ascii="仿宋" w:hAnsi="仿宋" w:eastAsia="仿宋" w:cs="仿宋"/>
          <w:strike w:val="0"/>
          <w:color w:val="auto"/>
          <w:sz w:val="24"/>
          <w:highlight w:val="none"/>
          <w:lang w:eastAsia="zh-CN"/>
        </w:rPr>
        <w:t>中小企业声明函（工程、服务），未按要求提供声明函的将导致响应无效）。</w:t>
      </w:r>
      <w:r>
        <w:rPr>
          <w:rFonts w:hint="eastAsia" w:ascii="仿宋" w:hAnsi="仿宋" w:eastAsia="仿宋" w:cs="仿宋"/>
          <w:strike w:val="0"/>
          <w:color w:val="auto"/>
          <w:sz w:val="24"/>
          <w:highlight w:val="none"/>
        </w:rPr>
        <w:t>本项目中小企业划</w:t>
      </w:r>
      <w:r>
        <w:rPr>
          <w:rFonts w:hint="eastAsia" w:ascii="仿宋" w:hAnsi="仿宋" w:eastAsia="仿宋" w:cs="仿宋"/>
          <w:b w:val="0"/>
          <w:bCs w:val="0"/>
          <w:strike w:val="0"/>
          <w:color w:val="auto"/>
          <w:sz w:val="24"/>
          <w:highlight w:val="none"/>
        </w:rPr>
        <w:t>分标准</w:t>
      </w:r>
      <w:r>
        <w:rPr>
          <w:rFonts w:hint="eastAsia" w:ascii="仿宋" w:hAnsi="仿宋" w:eastAsia="仿宋" w:cs="仿宋"/>
          <w:b/>
          <w:bCs/>
          <w:strike w:val="0"/>
          <w:color w:val="auto"/>
          <w:sz w:val="24"/>
          <w:highlight w:val="none"/>
        </w:rPr>
        <w:t>所属行业为</w:t>
      </w:r>
      <w:r>
        <w:rPr>
          <w:rFonts w:hint="eastAsia" w:ascii="仿宋" w:hAnsi="仿宋" w:eastAsia="仿宋" w:cs="仿宋"/>
          <w:b/>
          <w:bCs/>
          <w:strike w:val="0"/>
          <w:color w:val="auto"/>
          <w:sz w:val="24"/>
          <w:highlight w:val="none"/>
          <w:lang w:eastAsia="zh-CN"/>
        </w:rPr>
        <w:t>：</w:t>
      </w:r>
      <w:r>
        <w:rPr>
          <w:rFonts w:hint="eastAsia" w:ascii="仿宋" w:hAnsi="仿宋" w:eastAsia="仿宋" w:cs="仿宋"/>
          <w:b/>
          <w:bCs/>
          <w:color w:val="auto"/>
          <w:sz w:val="24"/>
          <w:highlight w:val="none"/>
          <w:lang w:bidi="ar"/>
        </w:rPr>
        <w:t>软件和信息技术服务业</w:t>
      </w: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宋体" w:cs="仿宋"/>
          <w:b/>
          <w:bCs/>
          <w:color w:val="auto"/>
          <w:sz w:val="24"/>
          <w:highlight w:val="none"/>
          <w:lang w:val="en-US" w:eastAsia="zh-CN"/>
        </w:rPr>
      </w:pPr>
      <w:r>
        <w:rPr>
          <w:rFonts w:hint="eastAsia" w:ascii="仿宋" w:hAnsi="仿宋" w:eastAsia="仿宋" w:cs="仿宋"/>
          <w:color w:val="auto"/>
          <w:sz w:val="24"/>
          <w:highlight w:val="none"/>
          <w:lang w:val="en-US" w:eastAsia="zh-CN"/>
        </w:rPr>
        <w:t>7.已在医院办公室报名。</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highlight w:val="none"/>
          <w:lang w:val="zh-CN"/>
        </w:rPr>
      </w:pPr>
      <w:r>
        <w:rPr>
          <w:rFonts w:hint="eastAsia" w:ascii="仿宋" w:hAnsi="仿宋" w:eastAsia="仿宋" w:cs="仿宋"/>
          <w:b/>
          <w:bCs/>
          <w:color w:val="auto"/>
          <w:sz w:val="24"/>
          <w:highlight w:val="none"/>
          <w:lang w:val="zh-CN"/>
        </w:rPr>
        <w:t>响应供应商必须满足以上资格要求并提供证明材料，如出现对任意一条不满足的，评审小组有权决定是否响应有效。</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highlight w:val="none"/>
          <w:lang w:val="zh-CN" w:eastAsia="zh-CN"/>
        </w:rPr>
      </w:pPr>
      <w:r>
        <w:rPr>
          <w:rFonts w:hint="eastAsia" w:ascii="仿宋" w:hAnsi="仿宋" w:eastAsia="仿宋" w:cs="仿宋"/>
          <w:b/>
          <w:color w:val="auto"/>
          <w:sz w:val="24"/>
          <w:highlight w:val="none"/>
        </w:rPr>
        <w:t>二、</w:t>
      </w:r>
      <w:r>
        <w:rPr>
          <w:rFonts w:hint="eastAsia" w:ascii="仿宋" w:hAnsi="仿宋" w:eastAsia="仿宋" w:cs="仿宋"/>
          <w:b/>
          <w:color w:val="auto"/>
          <w:sz w:val="24"/>
          <w:highlight w:val="none"/>
          <w:lang w:val="en-US" w:eastAsia="zh-CN"/>
        </w:rPr>
        <w:t>采购项目用户需求书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highlight w:val="none"/>
          <w:lang w:val="zh-CN" w:eastAsia="zh-CN"/>
        </w:rPr>
      </w:pPr>
      <w:r>
        <w:rPr>
          <w:rFonts w:hint="eastAsia" w:ascii="仿宋" w:hAnsi="仿宋" w:eastAsia="仿宋" w:cs="仿宋"/>
          <w:b/>
          <w:bCs/>
          <w:color w:val="auto"/>
          <w:sz w:val="24"/>
          <w:highlight w:val="none"/>
          <w:lang w:val="en-US" w:eastAsia="zh-CN"/>
        </w:rPr>
        <w:t>（一）响应</w:t>
      </w:r>
      <w:r>
        <w:rPr>
          <w:rFonts w:hint="eastAsia" w:ascii="仿宋" w:hAnsi="仿宋" w:eastAsia="仿宋" w:cs="仿宋"/>
          <w:b/>
          <w:bCs/>
          <w:color w:val="auto"/>
          <w:sz w:val="24"/>
          <w:highlight w:val="none"/>
          <w:lang w:val="zh-CN" w:eastAsia="zh-CN"/>
        </w:rPr>
        <w:t>基本要求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u w:val="none" w:color="auto"/>
        </w:rPr>
        <w:t>1</w:t>
      </w:r>
      <w:r>
        <w:rPr>
          <w:rFonts w:hint="eastAsia" w:ascii="仿宋" w:hAnsi="仿宋" w:eastAsia="仿宋" w:cs="仿宋"/>
          <w:b/>
          <w:color w:val="auto"/>
          <w:sz w:val="24"/>
          <w:highlight w:val="none"/>
          <w:u w:val="none" w:color="auto"/>
          <w:lang w:val="en-US" w:eastAsia="zh-CN"/>
        </w:rPr>
        <w:t>.</w:t>
      </w:r>
      <w:r>
        <w:rPr>
          <w:rFonts w:hint="eastAsia" w:ascii="仿宋" w:hAnsi="仿宋" w:eastAsia="仿宋" w:cs="仿宋"/>
          <w:b/>
          <w:color w:val="auto"/>
          <w:sz w:val="24"/>
          <w:highlight w:val="none"/>
          <w:u w:val="none" w:color="auto"/>
        </w:rPr>
        <w:t>本项目要求中所出现的产品工艺、材料、设备或参照的型号、品牌仅作为参考建议，不作为限制性要求。“采购项目技术参数要求”中所列参数为最低要求，供应商可以提供相当于或优于</w:t>
      </w:r>
      <w:r>
        <w:rPr>
          <w:rFonts w:hint="eastAsia" w:ascii="仿宋" w:hAnsi="仿宋" w:eastAsia="仿宋" w:cs="仿宋"/>
          <w:b/>
          <w:color w:val="auto"/>
          <w:sz w:val="24"/>
          <w:highlight w:val="none"/>
          <w:u w:val="none" w:color="auto"/>
          <w:lang w:eastAsia="zh-CN"/>
        </w:rPr>
        <w:t>比选</w:t>
      </w:r>
      <w:r>
        <w:rPr>
          <w:rFonts w:hint="eastAsia" w:ascii="仿宋" w:hAnsi="仿宋" w:eastAsia="仿宋" w:cs="仿宋"/>
          <w:b/>
          <w:color w:val="auto"/>
          <w:sz w:val="24"/>
          <w:highlight w:val="none"/>
          <w:u w:val="none" w:color="auto"/>
        </w:rPr>
        <w:t>文件参数的货物</w:t>
      </w:r>
      <w:r>
        <w:rPr>
          <w:rFonts w:hint="eastAsia" w:ascii="仿宋" w:hAnsi="仿宋" w:eastAsia="仿宋" w:cs="仿宋"/>
          <w:b/>
          <w:color w:val="auto"/>
          <w:sz w:val="24"/>
          <w:highlight w:val="none"/>
          <w:u w:val="none" w:color="auto"/>
          <w:lang w:eastAsia="zh-CN"/>
        </w:rPr>
        <w:t>，</w:t>
      </w:r>
      <w:r>
        <w:rPr>
          <w:rFonts w:hint="eastAsia" w:ascii="仿宋" w:hAnsi="仿宋" w:eastAsia="仿宋" w:cs="仿宋"/>
          <w:color w:val="auto"/>
          <w:sz w:val="24"/>
          <w:highlight w:val="none"/>
        </w:rPr>
        <w:t>至少应提供对主要技术参数的响应证明材料。响应供应商所响应产品应当提供厂商说明材料，厂商说明材料包括但不限于下列文件：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（1）响应产品的品牌、型号、详细配置参数；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color w:val="auto"/>
          <w:sz w:val="24"/>
          <w:highlight w:val="none"/>
          <w:u w:val="none" w:color="auto"/>
          <w:lang w:eastAsia="zh-CN"/>
        </w:rPr>
      </w:pPr>
      <w:r>
        <w:rPr>
          <w:rFonts w:hint="eastAsia" w:ascii="仿宋" w:hAnsi="仿宋" w:eastAsia="仿宋" w:cs="仿宋"/>
          <w:color w:val="auto"/>
          <w:sz w:val="24"/>
          <w:highlight w:val="none"/>
        </w:rPr>
        <w:t>（2）能证实产品技术、配置参数的证明材料（包括：①能体现响应技术参数厂商的中文说明书或彩页或厂家主要技术参数说明函等；或②厂商针对本项目的产品详细配置响应表；或③厂商官方网站的技术白皮书打印稿，同时注明材料来源于官方网站的网址。以上文件均需加盖厂商或响应供应商公章）。</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2</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本采购项目中标注★号的内容为实质性要求和条件，如果响应供应商所比选货物、服务与具体要求存在不响应或者负偏离，在符合性审查时将不予通过，响应无效。</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highlight w:val="none"/>
          <w:u w:val="none" w:color="auto"/>
        </w:rPr>
      </w:pPr>
      <w:r>
        <w:rPr>
          <w:rFonts w:hint="eastAsia" w:ascii="仿宋" w:hAnsi="仿宋" w:eastAsia="仿宋" w:cs="仿宋"/>
          <w:b/>
          <w:bCs/>
          <w:color w:val="auto"/>
          <w:kern w:val="0"/>
          <w:sz w:val="24"/>
          <w:highlight w:val="none"/>
          <w:u w:val="none" w:color="auto"/>
        </w:rPr>
        <w:t>3</w:t>
      </w:r>
      <w:r>
        <w:rPr>
          <w:rFonts w:hint="eastAsia" w:ascii="仿宋" w:hAnsi="仿宋" w:eastAsia="仿宋" w:cs="仿宋"/>
          <w:b/>
          <w:bCs/>
          <w:color w:val="auto"/>
          <w:kern w:val="0"/>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本采购项目中标注▲号的内容为择优要求和条件，负偏离或不响应▲号条款的响应供应商将影响综合得分。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4</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lang w:eastAsia="zh-CN"/>
        </w:rPr>
        <w:t>响应供应商</w:t>
      </w:r>
      <w:r>
        <w:rPr>
          <w:rFonts w:hint="eastAsia" w:ascii="仿宋" w:hAnsi="仿宋" w:eastAsia="仿宋" w:cs="仿宋"/>
          <w:b/>
          <w:bCs/>
          <w:color w:val="auto"/>
          <w:sz w:val="24"/>
          <w:highlight w:val="none"/>
          <w:u w:val="none" w:color="auto"/>
        </w:rPr>
        <w:t>须提供独立密封</w:t>
      </w:r>
      <w:r>
        <w:rPr>
          <w:rFonts w:hint="eastAsia" w:ascii="仿宋" w:hAnsi="仿宋" w:eastAsia="仿宋" w:cs="仿宋"/>
          <w:b/>
          <w:bCs/>
          <w:strike w:val="0"/>
          <w:dstrike w:val="0"/>
          <w:color w:val="auto"/>
          <w:sz w:val="24"/>
          <w:highlight w:val="none"/>
          <w:u w:val="none" w:color="auto"/>
        </w:rPr>
        <w:t>和</w:t>
      </w:r>
      <w:r>
        <w:rPr>
          <w:rFonts w:hint="eastAsia" w:ascii="仿宋" w:hAnsi="仿宋" w:eastAsia="仿宋" w:cs="仿宋"/>
          <w:b/>
          <w:bCs/>
          <w:color w:val="auto"/>
          <w:sz w:val="24"/>
          <w:highlight w:val="none"/>
          <w:u w:val="none" w:color="auto"/>
          <w:lang w:val="en-US" w:eastAsia="zh-CN"/>
        </w:rPr>
        <w:t>装订成册</w:t>
      </w:r>
      <w:r>
        <w:rPr>
          <w:rFonts w:hint="eastAsia" w:ascii="仿宋" w:hAnsi="仿宋" w:eastAsia="仿宋" w:cs="仿宋"/>
          <w:b/>
          <w:bCs/>
          <w:color w:val="auto"/>
          <w:sz w:val="24"/>
          <w:highlight w:val="none"/>
          <w:u w:val="none" w:color="auto"/>
        </w:rPr>
        <w:t>“</w:t>
      </w:r>
      <w:r>
        <w:rPr>
          <w:rFonts w:hint="eastAsia" w:ascii="仿宋" w:hAnsi="仿宋" w:eastAsia="仿宋" w:cs="仿宋"/>
          <w:b/>
          <w:bCs/>
          <w:color w:val="auto"/>
          <w:sz w:val="24"/>
          <w:highlight w:val="none"/>
          <w:u w:val="none" w:color="auto"/>
          <w:lang w:eastAsia="zh-CN"/>
        </w:rPr>
        <w:t>比选</w:t>
      </w:r>
      <w:r>
        <w:rPr>
          <w:rFonts w:hint="eastAsia" w:ascii="仿宋" w:hAnsi="仿宋" w:eastAsia="仿宋" w:cs="仿宋"/>
          <w:b/>
          <w:bCs/>
          <w:color w:val="auto"/>
          <w:sz w:val="24"/>
          <w:highlight w:val="none"/>
          <w:u w:val="none" w:color="auto"/>
        </w:rPr>
        <w:t>响应文件”</w:t>
      </w:r>
      <w:r>
        <w:rPr>
          <w:rFonts w:hint="eastAsia" w:ascii="仿宋" w:hAnsi="仿宋" w:eastAsia="仿宋" w:cs="仿宋"/>
          <w:b/>
          <w:bCs/>
          <w:color w:val="auto"/>
          <w:sz w:val="24"/>
          <w:highlight w:val="none"/>
          <w:u w:val="none" w:color="auto"/>
          <w:lang w:eastAsia="zh-CN"/>
        </w:rPr>
        <w:t>一式两份</w:t>
      </w:r>
      <w:r>
        <w:rPr>
          <w:rFonts w:hint="eastAsia" w:ascii="仿宋" w:hAnsi="仿宋" w:eastAsia="仿宋" w:cs="仿宋"/>
          <w:b/>
          <w:bCs/>
          <w:color w:val="auto"/>
          <w:sz w:val="24"/>
          <w:highlight w:val="none"/>
          <w:u w:val="none" w:color="auto"/>
        </w:rPr>
        <w:t>，否则其响应文件将被拒收。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eastAsia="zh-CN"/>
        </w:rPr>
        <w:t>（二）</w:t>
      </w:r>
      <w:r>
        <w:rPr>
          <w:rFonts w:hint="eastAsia" w:ascii="仿宋" w:hAnsi="仿宋" w:eastAsia="仿宋" w:cs="仿宋"/>
          <w:b/>
          <w:color w:val="auto"/>
          <w:sz w:val="24"/>
          <w:highlight w:val="none"/>
          <w:lang w:val="en-US" w:eastAsia="zh-CN"/>
        </w:rPr>
        <w:t>项目概况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本项目旨在通过引进一套科学、系统、高效的儿童心理与认知评估工具，全面提升我院在学龄前儿童注意力与执行功能方面的临床评估、科研支持及服务管理能力。具体目标包括：建立符合DSM-IV标准的4-7岁儿童持续性注意力测评体系，以游戏化、短时高效的评估方式弥补当前科室在该年龄段ADHD辅助诊断工具上的空白，为临床分型、干预随访及风险预测提供客观依据；完善适用于3-6岁儿童的执行功能评估机制，通过标准化问卷系统评估其抑制控制、工作记忆、情绪调节等关键能力，辅助识别发育行为问题；通过自动化报告、数据统计及科研支持功能，显著提升医护人员的工作效率与科研能力；最终增强我院在儿童发育行为领域的专业服务水平与学科影响力，为家长提供更可靠、规范的评估与指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（三）项目内容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ascii="仿宋" w:hAnsi="仿宋" w:eastAsia="仿宋" w:cs="仿宋"/>
          <w:b w:val="0"/>
          <w:bCs w:val="0"/>
          <w:color w:val="auto"/>
          <w:sz w:val="24"/>
          <w:highlight w:val="none"/>
          <w:lang w:val="en-US" w:eastAsia="zh-CN"/>
        </w:rPr>
        <w:t>1.服务内容</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5042"/>
        <w:gridCol w:w="1230"/>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blHeader/>
        </w:trPr>
        <w:tc>
          <w:tcPr>
            <w:tcW w:w="0" w:type="auto"/>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0" w:type="auto"/>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项目名称</w:t>
            </w:r>
          </w:p>
        </w:tc>
        <w:tc>
          <w:tcPr>
            <w:tcW w:w="0" w:type="auto"/>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数量（项）</w:t>
            </w:r>
          </w:p>
        </w:tc>
        <w:tc>
          <w:tcPr>
            <w:tcW w:w="0" w:type="auto"/>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0" w:type="auto"/>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w:t>
            </w:r>
          </w:p>
        </w:tc>
        <w:tc>
          <w:tcPr>
            <w:tcW w:w="0" w:type="auto"/>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学龄前儿童持续性注意力测评及3-6岁儿童执行功能软件</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w:t>
            </w:r>
          </w:p>
        </w:tc>
        <w:tc>
          <w:tcPr>
            <w:tcW w:w="0" w:type="auto"/>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95000.00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（1）4-7岁学龄前儿童持续性注意力测评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供应商提供的系统需是一个基于Windows操作系统的计算机程序测试软件，适用于4-7岁学龄前儿童，用于临床辅助诊断。测评时长约为7.5分钟，儿童需在无网络环境下，连接定制密码锁后，根据系统提示独立完成游戏化测评任务。系统核心功能模块包含10个测评模块，共计200次测验，从注意力缺陷、冲动性、注意力持续性和警觉性四个关键维度进行考察。测评结束后，系统能自动生成评估报告，并根据结果辅助识别ADHD注意力疏忽型、ADHD多动冲动型及ADHD混合型，为临床诊断提供客观依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（2）3-6岁儿童执行功能评测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供应商提供的系统需是一套标准化的评估工具，适用于3-6岁儿童，通过家长或临床医务人员填写问卷的方式，对儿童的日常执行功能行为表现进行观察与评估。评测无需儿童直接参与，由评估者根据儿童在真实场景中的表现进行填写，耗时约10分钟。系统测评维度涵盖工作记忆、抑制控制、转换灵活性、计划与组织能力、情绪组织能力以及执行功能总量表六个方面。该工具旨在系统化地捕捉儿童在执行功能方面的实际应用能力与潜在困难，为发育筛查、问题识别及教育干预提供结构化参考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2.服务要求</w:t>
      </w: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3"/>
        <w:gridCol w:w="2389"/>
        <w:gridCol w:w="1676"/>
        <w:gridCol w:w="39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系统名称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模块名称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内容描述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p>
        </w:tc>
        <w:tc>
          <w:tcPr>
            <w:tcW w:w="0" w:type="auto"/>
            <w:vMerge w:val="restart"/>
            <w:tcBorders>
              <w:top w:val="single" w:color="000000" w:sz="4" w:space="0"/>
              <w:left w:val="single" w:color="000000" w:sz="4" w:space="0"/>
              <w:right w:val="single" w:color="000000" w:sz="4" w:space="0"/>
            </w:tcBorders>
            <w:noWrap w:val="0"/>
            <w:vAlign w:val="center"/>
          </w:tcPr>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lang w:val="en-US" w:eastAsia="zh-CN"/>
              </w:rPr>
              <w:t>学龄前儿童持续性注意力测评及3-6岁儿童执行功能软件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4-7岁学龄前儿童持续性注意力测评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1.操作系统:windows系统</w:t>
            </w:r>
          </w:p>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2.测评时长：7.5分钟</w:t>
            </w:r>
          </w:p>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3.▲适用对象：4-7岁儿童(学龄前儿童)</w:t>
            </w:r>
          </w:p>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4.使用方式：测评需连接定制密码锁进行使用</w:t>
            </w:r>
          </w:p>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5.▲测评方式：儿童根据测评要求独立完成</w:t>
            </w:r>
          </w:p>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6.▲网络要求：无网络要求</w:t>
            </w:r>
          </w:p>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7.测评模块：10个模块200次测验</w:t>
            </w:r>
          </w:p>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8.▲考察维度：注意力缺陷、冲动性、注意力持续性、警觉性</w:t>
            </w:r>
          </w:p>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9.▲辅助诊断：ADHD注意力疏忽类型、ADHD多动神经类型、ADHD混合型</w:t>
            </w:r>
          </w:p>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10.▲测评报告：测评结束自动出报告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w:t>
            </w:r>
          </w:p>
        </w:tc>
        <w:tc>
          <w:tcPr>
            <w:tcW w:w="0" w:type="auto"/>
            <w:vMerge w:val="continue"/>
            <w:tcBorders>
              <w:left w:val="single" w:color="000000" w:sz="4" w:space="0"/>
              <w:bottom w:val="single" w:color="000000" w:sz="4" w:space="0"/>
              <w:right w:val="single" w:color="000000" w:sz="4" w:space="0"/>
            </w:tcBorders>
            <w:noWrap w:val="0"/>
            <w:vAlign w:val="center"/>
          </w:tcPr>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4"/>
                <w:highlight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3-6岁儿童执行功能评测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量表从6个维度测评项目，来帮助评估儿童执行功能：</w:t>
            </w:r>
          </w:p>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①▲工作记忆；②▲抑制；③▲转换；④▲计划/组织；⑤▲情绪组织；⑥▲总量表。</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（四）商务要求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1.报价要求：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（1）报价方式为供应商以总价报价的方式进行报价，为整体项目包干价。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（2）报价中应包括服务过程产生的但不限于人工、工具使用、各项税费及合同实施过程中的应预见和不可预见费用等完成合同规定责任和义务、达到合同目的的一切费用及企业利润。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（3）供应商应自行考虑本项目在实施期间的一切可能产生的费用。在合同执行过程中，采购人将不再另行支付与本项目相关的任何费用。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2.服务期限及质保服务期：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（1）服务期限：项目建设计划工期30个工作日，自合同签订后30个工作日内完成。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（2）质保服务期：项目验收后三年，维保期内，采购人无需为此支付额外费用，供应商提供给采购人软件应用的支持和培训服务，包括软件远程电话支持、用户培训、故障维护等。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（3）服务地点：惠州市第一妇幼保健院采购人指定地点。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3.付款方式：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（1）合同签订后10个工作日内，采购人支付合同中费用总额的30%；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（2）项目验收后20个工作日内，采购人支付合同中费用总额的70%；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（3）支付方式采用银行转账方式。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（4）供应商应向采购人出具合法有效完整的完税发票及凭证进行支付结算。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4.验收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（1）验收标准：验收的主要依据包括本项目的比选文件、响应文件、合同等。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总体验收：供应商须为验收提供必需的一切条件及相关费用，服务期届满后，当项目所有工作内容完成以后，由供应商提交验收申请，采购人组织验收小组，负责对项目进行全面验收。供应商必须提供本项目的相关文档和报告，并积极配合采购人进行完工验收工作，如果验收发现与详细业务需求不符或达不到规定的要求，采购人有权提出索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（3）在采购人的监督下，服务过程中的各项工作和文档，须达到比选文件中技术要求的标准。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5.售后服务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（1）供应商负责提供技术资料、操作手册。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（2）为采购人提供的服务方式包括远程服务、电话服务和上门服务三种服务方式，7×24小时技术响应，远程和电话均不能解决时，供应商在双方约定时间内到达现场进行技术支持服务。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（3）系统上线后对采购人的使用科室提供操作及维护培训，提供技术咨询。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rPr>
      </w:pPr>
      <w:r>
        <w:rPr>
          <w:rFonts w:hint="eastAsia" w:ascii="仿宋" w:hAnsi="仿宋" w:eastAsia="仿宋" w:cs="仿宋"/>
          <w:color w:val="auto"/>
          <w:sz w:val="24"/>
          <w:szCs w:val="24"/>
          <w:highlight w:val="none"/>
          <w:lang w:val="en-US" w:eastAsia="zh-CN"/>
        </w:rPr>
        <w:t>（4）接采购人报故障应在30分钟内响应，并进行远程网络排查，2小时内到达现场维修。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6.保密条款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供应商必须严格保守对因本项目的服务从采购人所获取的信息秘密，在未取得采购人书面同意的情况下，不得以任何形式向第三方披露。在依法必须披露的情况下，供应商应当立即通知采购人，除非按照法律规定或生效命令不得为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（2）保密义务不因合同履行完毕或解除而终止，除非保密信息已经对外披露或者公众所知。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7.其它要求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①培训要求：供应商提供详细的培训方案，包括但不限于培训计划、培训内容及列明培训时间、地点。因培训发生的所有费用应包含在总报价内；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②项目服务方案：要求供应商提供科学性、合理性、实施可行性、可靠性等的项目方案，包括但不限于实施改善项目方案、项目实施保障、预期成果；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③售后服务方案：要求供应商提供制定详细周全、科学合理、针对性强的售后服务方案，包括但不限于</w:t>
      </w:r>
      <w:r>
        <w:rPr>
          <w:rFonts w:hint="eastAsia" w:ascii="仿宋" w:hAnsi="仿宋" w:eastAsia="仿宋" w:cs="仿宋"/>
          <w:color w:val="auto"/>
          <w:sz w:val="24"/>
          <w:highlight w:val="none"/>
          <w:lang w:val="en-GB" w:eastAsia="zh-CN"/>
        </w:rPr>
        <w:t>质保期、维护保养方案、应急维修时间、维修的及时性、安排的合理性</w:t>
      </w:r>
      <w:r>
        <w:rPr>
          <w:rFonts w:hint="eastAsia" w:ascii="仿宋" w:hAnsi="仿宋" w:eastAsia="仿宋" w:cs="仿宋"/>
          <w:color w:val="auto"/>
          <w:sz w:val="24"/>
          <w:highlight w:val="none"/>
          <w:lang w:val="en-US" w:eastAsia="zh-CN"/>
        </w:rPr>
        <w:t>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④要求供应商提供质量保障措施，包括但不限于</w:t>
      </w:r>
      <w:r>
        <w:rPr>
          <w:rFonts w:hint="eastAsia" w:ascii="仿宋" w:hAnsi="仿宋" w:eastAsia="仿宋" w:cs="仿宋"/>
          <w:color w:val="auto"/>
          <w:sz w:val="24"/>
          <w:highlight w:val="none"/>
          <w:lang w:val="en-GB" w:eastAsia="zh-CN"/>
        </w:rPr>
        <w:t>总体质量控制、项目进度控制、服务过程中质量管理方案、服务过程中质量管理制度等</w:t>
      </w:r>
      <w:r>
        <w:rPr>
          <w:rFonts w:hint="eastAsia" w:ascii="仿宋" w:hAnsi="仿宋" w:eastAsia="仿宋" w:cs="仿宋"/>
          <w:color w:val="auto"/>
          <w:sz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⑤具有相关《计算机软件著作权登记证书》或授权证书；具有</w:t>
      </w:r>
      <w:r>
        <w:rPr>
          <w:rFonts w:hint="eastAsia" w:ascii="仿宋" w:hAnsi="仿宋" w:eastAsia="仿宋" w:cs="仿宋"/>
          <w:color w:val="auto"/>
          <w:sz w:val="24"/>
          <w:highlight w:val="none"/>
          <w:lang w:val="en-GB" w:eastAsia="zh-CN"/>
        </w:rPr>
        <w:t>管理体系认证证书。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lang w:val="en-US" w:eastAsia="zh-CN"/>
        </w:rPr>
        <w:t>⑥</w:t>
      </w:r>
      <w:r>
        <w:rPr>
          <w:rFonts w:hint="eastAsia" w:ascii="仿宋" w:hAnsi="仿宋" w:eastAsia="仿宋" w:cs="仿宋"/>
          <w:color w:val="auto"/>
          <w:sz w:val="24"/>
          <w:szCs w:val="24"/>
          <w:highlight w:val="none"/>
          <w:lang w:val="en-US" w:eastAsia="zh-CN"/>
        </w:rPr>
        <w:t>供应商需提供具备本项目要求的项目负责人及项目团队。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lang w:val="en-US" w:eastAsia="zh-CN"/>
        </w:rPr>
        <w:t>⑦要求供应商提供2022年1月1日至今（以合同签订时间为准）的同类项目业绩数量情况。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jc w:val="center"/>
        <w:textAlignment w:val="auto"/>
        <w:rPr>
          <w:rFonts w:hint="eastAsia" w:ascii="仿宋" w:hAnsi="仿宋" w:eastAsia="仿宋" w:cs="仿宋"/>
          <w:b/>
          <w:color w:val="auto"/>
          <w:sz w:val="28"/>
          <w:szCs w:val="28"/>
          <w:highlight w:val="none"/>
        </w:rPr>
      </w:pPr>
      <w:r>
        <w:rPr>
          <w:rFonts w:hint="eastAsia" w:ascii="仿宋" w:hAnsi="仿宋" w:eastAsia="仿宋" w:cs="仿宋"/>
          <w:color w:val="auto"/>
          <w:sz w:val="24"/>
          <w:highlight w:val="none"/>
          <w:lang w:val="en-US" w:eastAsia="zh-CN"/>
        </w:rPr>
        <w:br w:type="page"/>
      </w:r>
      <w:r>
        <w:rPr>
          <w:rFonts w:hint="eastAsia" w:ascii="仿宋" w:hAnsi="仿宋" w:eastAsia="仿宋" w:cs="仿宋"/>
          <w:b/>
          <w:color w:val="auto"/>
          <w:sz w:val="28"/>
          <w:szCs w:val="28"/>
          <w:highlight w:val="none"/>
        </w:rPr>
        <w:t>第三部分  响应供应商须知</w:t>
      </w:r>
    </w:p>
    <w:p>
      <w:pPr>
        <w:pStyle w:val="9"/>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仿宋" w:hAnsi="仿宋" w:eastAsia="仿宋" w:cs="仿宋"/>
          <w:color w:val="auto"/>
          <w:sz w:val="28"/>
          <w:szCs w:val="28"/>
          <w:highlight w:val="none"/>
        </w:rPr>
      </w:pP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一、</w:t>
      </w:r>
      <w:r>
        <w:rPr>
          <w:rFonts w:hint="eastAsia" w:ascii="仿宋" w:hAnsi="仿宋" w:eastAsia="仿宋" w:cs="仿宋"/>
          <w:b/>
          <w:color w:val="auto"/>
          <w:sz w:val="24"/>
          <w:szCs w:val="24"/>
          <w:highlight w:val="none"/>
          <w:lang w:val="en-US" w:eastAsia="zh-CN"/>
        </w:rPr>
        <w:t>名词解释</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1.定义</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“采购人”是指：</w:t>
      </w:r>
      <w:r>
        <w:rPr>
          <w:rFonts w:hint="eastAsia" w:ascii="仿宋" w:hAnsi="仿宋" w:eastAsia="仿宋" w:cs="仿宋"/>
          <w:color w:val="auto"/>
          <w:sz w:val="24"/>
          <w:szCs w:val="24"/>
          <w:highlight w:val="none"/>
          <w:u w:val="none"/>
          <w:lang w:eastAsia="zh-CN"/>
        </w:rPr>
        <w:t>惠州市第一妇幼保健院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是采购活动当事人之一，负责项目的整体规划、技术方案可行性设计论证与实施，作为合同</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（用户）的主体承担质疑回复、履行合同、验收与评价等义务。</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“监管部门”是指：</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项目监督管理部门。</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“响应供应商”是指响应本文件要求，参加</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的法人或者其他组织。</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合格的响应</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是指符合以下条件的：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snapToGrid w:val="0"/>
          <w:color w:val="auto"/>
          <w:kern w:val="0"/>
          <w:sz w:val="24"/>
          <w:szCs w:val="24"/>
          <w:highlight w:val="none"/>
        </w:rPr>
        <w:t>符合《政府采购法》第二十二条规定的供应商。</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val="en-US" w:eastAsia="zh-CN"/>
        </w:rPr>
        <w:t>供应商资格</w:t>
      </w:r>
      <w:r>
        <w:rPr>
          <w:rFonts w:hint="eastAsia" w:ascii="仿宋" w:hAnsi="仿宋" w:eastAsia="仿宋" w:cs="仿宋"/>
          <w:color w:val="auto"/>
          <w:sz w:val="24"/>
          <w:szCs w:val="24"/>
          <w:highlight w:val="none"/>
        </w:rPr>
        <w:t>”规定要求；</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lang w:val="hr-HR"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hr-HR" w:eastAsia="zh-CN"/>
        </w:rPr>
        <w:t>按要求进行</w:t>
      </w:r>
      <w:r>
        <w:rPr>
          <w:rFonts w:hint="eastAsia" w:ascii="仿宋" w:hAnsi="仿宋" w:eastAsia="仿宋" w:cs="仿宋"/>
          <w:color w:val="auto"/>
          <w:sz w:val="24"/>
          <w:szCs w:val="24"/>
          <w:highlight w:val="none"/>
          <w:lang w:val="en-US" w:eastAsia="zh-CN"/>
        </w:rPr>
        <w:t>资格性符合性审查（即满足采购条件和要求）</w:t>
      </w:r>
      <w:r>
        <w:rPr>
          <w:rFonts w:hint="eastAsia" w:ascii="仿宋" w:hAnsi="仿宋" w:eastAsia="仿宋" w:cs="仿宋"/>
          <w:color w:val="auto"/>
          <w:sz w:val="24"/>
          <w:szCs w:val="24"/>
          <w:highlight w:val="none"/>
          <w:lang w:val="hr-HR" w:eastAsia="zh-CN"/>
        </w:rPr>
        <w:t>并通过；</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供应商”是指经</w:t>
      </w:r>
      <w:r>
        <w:rPr>
          <w:rFonts w:hint="eastAsia" w:ascii="仿宋" w:hAnsi="仿宋" w:eastAsia="仿宋" w:cs="仿宋"/>
          <w:color w:val="auto"/>
          <w:sz w:val="24"/>
          <w:szCs w:val="24"/>
          <w:highlight w:val="none"/>
          <w:lang w:val="en-US" w:eastAsia="zh-CN"/>
        </w:rPr>
        <w:t>评审小组</w:t>
      </w:r>
      <w:r>
        <w:rPr>
          <w:rFonts w:hint="eastAsia" w:ascii="仿宋" w:hAnsi="仿宋" w:eastAsia="仿宋" w:cs="仿宋"/>
          <w:color w:val="auto"/>
          <w:sz w:val="24"/>
          <w:szCs w:val="24"/>
          <w:highlight w:val="none"/>
        </w:rPr>
        <w:t>评审确定的对</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文件做出实质性响应，经采购人按照规定在</w:t>
      </w:r>
      <w:r>
        <w:rPr>
          <w:rFonts w:hint="eastAsia" w:ascii="仿宋" w:hAnsi="仿宋" w:eastAsia="仿宋" w:cs="仿宋"/>
          <w:color w:val="auto"/>
          <w:sz w:val="24"/>
          <w:szCs w:val="24"/>
          <w:highlight w:val="none"/>
          <w:lang w:val="en-US" w:eastAsia="zh-CN"/>
        </w:rPr>
        <w:t>评审小组</w:t>
      </w:r>
      <w:r>
        <w:rPr>
          <w:rFonts w:hint="eastAsia" w:ascii="仿宋" w:hAnsi="仿宋" w:eastAsia="仿宋" w:cs="仿宋"/>
          <w:color w:val="auto"/>
          <w:sz w:val="24"/>
          <w:szCs w:val="24"/>
          <w:highlight w:val="none"/>
        </w:rPr>
        <w:t>推荐的</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候选人中确定的</w:t>
      </w:r>
      <w:r>
        <w:rPr>
          <w:rFonts w:hint="eastAsia" w:ascii="仿宋" w:hAnsi="仿宋" w:eastAsia="仿宋" w:cs="仿宋"/>
          <w:color w:val="auto"/>
          <w:sz w:val="24"/>
          <w:szCs w:val="24"/>
          <w:highlight w:val="none"/>
          <w:lang w:val="en-US" w:eastAsia="zh-CN"/>
        </w:rPr>
        <w:t>响应供应商</w:t>
      </w:r>
      <w:r>
        <w:rPr>
          <w:rFonts w:hint="eastAsia" w:ascii="仿宋" w:hAnsi="仿宋" w:eastAsia="仿宋" w:cs="仿宋"/>
          <w:color w:val="auto"/>
          <w:sz w:val="24"/>
          <w:szCs w:val="24"/>
          <w:highlight w:val="none"/>
        </w:rPr>
        <w:t>。</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（6）采购</w:t>
      </w:r>
      <w:r>
        <w:rPr>
          <w:rFonts w:hint="eastAsia" w:ascii="仿宋" w:hAnsi="仿宋" w:eastAsia="仿宋" w:cs="仿宋"/>
          <w:color w:val="auto"/>
          <w:sz w:val="24"/>
          <w:szCs w:val="24"/>
          <w:highlight w:val="none"/>
        </w:rPr>
        <w:t>文件：是指包括</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公告和</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文件及其补充、变更和澄清等一系列文件。</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（7）“响应文件”是指：供应商根据本文件要求，编制包含报价、技术和服务等所有内容的实质性响应文件。</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合格的货物和服务：</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napToGrid w:val="0"/>
          <w:color w:val="auto"/>
          <w:kern w:val="0"/>
          <w:sz w:val="24"/>
          <w:highlight w:val="none"/>
        </w:rPr>
      </w:pPr>
      <w:r>
        <w:rPr>
          <w:rFonts w:hint="eastAsia" w:ascii="仿宋" w:hAnsi="仿宋" w:eastAsia="仿宋" w:cs="仿宋"/>
          <w:color w:val="auto"/>
          <w:sz w:val="24"/>
          <w:highlight w:val="none"/>
        </w:rPr>
        <w:t>“货物”是指</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制造或组织符合</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文件要求的货物等。</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文件中没有提及</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货物来源地的，根据《政府采购法》的相关规定均应是本国货物。</w:t>
      </w:r>
      <w:r>
        <w:rPr>
          <w:rFonts w:hint="eastAsia" w:ascii="仿宋" w:hAnsi="仿宋" w:eastAsia="仿宋" w:cs="仿宋"/>
          <w:snapToGrid w:val="0"/>
          <w:color w:val="auto"/>
          <w:kern w:val="0"/>
          <w:sz w:val="24"/>
          <w:highlight w:val="none"/>
          <w:lang w:eastAsia="zh-CN"/>
        </w:rPr>
        <w:t>响应</w:t>
      </w:r>
      <w:r>
        <w:rPr>
          <w:rFonts w:hint="eastAsia" w:ascii="仿宋" w:hAnsi="仿宋" w:eastAsia="仿宋" w:cs="仿宋"/>
          <w:snapToGrid w:val="0"/>
          <w:color w:val="auto"/>
          <w:kern w:val="0"/>
          <w:sz w:val="24"/>
          <w:highlight w:val="none"/>
        </w:rPr>
        <w:t>的货物必须是其合法生产的符合国家有关标准要求的货物，并满足我院</w:t>
      </w:r>
      <w:r>
        <w:rPr>
          <w:rFonts w:hint="eastAsia" w:ascii="仿宋" w:hAnsi="仿宋" w:eastAsia="仿宋" w:cs="仿宋"/>
          <w:snapToGrid w:val="0"/>
          <w:color w:val="auto"/>
          <w:kern w:val="0"/>
          <w:sz w:val="24"/>
          <w:highlight w:val="none"/>
          <w:lang w:val="en-US" w:eastAsia="zh-CN"/>
        </w:rPr>
        <w:t>比选</w:t>
      </w:r>
      <w:r>
        <w:rPr>
          <w:rFonts w:hint="eastAsia" w:ascii="仿宋" w:hAnsi="仿宋" w:eastAsia="仿宋" w:cs="仿宋"/>
          <w:snapToGrid w:val="0"/>
          <w:color w:val="auto"/>
          <w:kern w:val="0"/>
          <w:sz w:val="24"/>
          <w:highlight w:val="none"/>
        </w:rPr>
        <w:t>文件规定的规格、参数、质量、价格、有效期、售后服务等要求。</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“服务”是指除货物和工程以外的采购对象，其中包括：</w:t>
      </w:r>
      <w:r>
        <w:rPr>
          <w:rFonts w:hint="eastAsia" w:ascii="仿宋" w:hAnsi="仿宋" w:eastAsia="仿宋" w:cs="仿宋"/>
          <w:snapToGrid w:val="0"/>
          <w:color w:val="auto"/>
          <w:kern w:val="0"/>
          <w:sz w:val="24"/>
          <w:highlight w:val="none"/>
          <w:lang w:val="en-US" w:eastAsia="zh-CN"/>
        </w:rPr>
        <w:t>响应供应商</w:t>
      </w:r>
      <w:r>
        <w:rPr>
          <w:rFonts w:hint="eastAsia" w:ascii="仿宋" w:hAnsi="仿宋" w:eastAsia="仿宋" w:cs="仿宋"/>
          <w:snapToGrid w:val="0"/>
          <w:color w:val="auto"/>
          <w:kern w:val="0"/>
          <w:sz w:val="24"/>
          <w:highlight w:val="none"/>
        </w:rPr>
        <w:t>需承担的运输、安装、技术支持、培训以及</w:t>
      </w:r>
      <w:r>
        <w:rPr>
          <w:rFonts w:hint="eastAsia" w:ascii="仿宋" w:hAnsi="仿宋" w:eastAsia="仿宋" w:cs="仿宋"/>
          <w:snapToGrid w:val="0"/>
          <w:color w:val="auto"/>
          <w:kern w:val="0"/>
          <w:sz w:val="24"/>
          <w:highlight w:val="none"/>
          <w:lang w:val="en-US" w:eastAsia="zh-CN"/>
        </w:rPr>
        <w:t>比选</w:t>
      </w:r>
      <w:r>
        <w:rPr>
          <w:rFonts w:hint="eastAsia" w:ascii="仿宋" w:hAnsi="仿宋" w:eastAsia="仿宋" w:cs="仿宋"/>
          <w:snapToGrid w:val="0"/>
          <w:color w:val="auto"/>
          <w:kern w:val="0"/>
          <w:sz w:val="24"/>
          <w:highlight w:val="none"/>
        </w:rPr>
        <w:t>文件规定的其他服务。</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 w:val="0"/>
          <w:bCs w:val="0"/>
          <w:snapToGrid w:val="0"/>
          <w:color w:val="auto"/>
          <w:kern w:val="0"/>
          <w:sz w:val="24"/>
          <w:highlight w:val="none"/>
          <w:u w:val="none"/>
        </w:rPr>
      </w:pPr>
      <w:r>
        <w:rPr>
          <w:rFonts w:hint="eastAsia" w:ascii="仿宋" w:hAnsi="仿宋" w:eastAsia="仿宋" w:cs="仿宋"/>
          <w:b w:val="0"/>
          <w:bCs w:val="0"/>
          <w:snapToGrid w:val="0"/>
          <w:color w:val="auto"/>
          <w:kern w:val="0"/>
          <w:sz w:val="24"/>
          <w:szCs w:val="21"/>
          <w:highlight w:val="none"/>
          <w:u w:val="none"/>
          <w:lang w:val="en-US" w:eastAsia="zh-CN" w:bidi="ar-SA"/>
        </w:rPr>
        <w:t>2</w:t>
      </w:r>
      <w:r>
        <w:rPr>
          <w:rFonts w:hint="eastAsia" w:ascii="仿宋" w:hAnsi="仿宋" w:eastAsia="仿宋" w:cs="仿宋"/>
          <w:b w:val="0"/>
          <w:bCs w:val="0"/>
          <w:snapToGrid w:val="0"/>
          <w:color w:val="auto"/>
          <w:kern w:val="0"/>
          <w:sz w:val="24"/>
          <w:highlight w:val="none"/>
          <w:u w:val="none"/>
          <w:lang w:val="en-US" w:eastAsia="zh-CN"/>
        </w:rPr>
        <w:t>.</w:t>
      </w:r>
      <w:r>
        <w:rPr>
          <w:rFonts w:hint="eastAsia" w:ascii="仿宋" w:hAnsi="仿宋" w:eastAsia="仿宋" w:cs="仿宋"/>
          <w:b w:val="0"/>
          <w:bCs w:val="0"/>
          <w:snapToGrid w:val="0"/>
          <w:color w:val="auto"/>
          <w:kern w:val="0"/>
          <w:sz w:val="24"/>
          <w:highlight w:val="none"/>
          <w:u w:val="none"/>
        </w:rPr>
        <w:t>响应费用：</w:t>
      </w:r>
      <w:r>
        <w:rPr>
          <w:rFonts w:hint="eastAsia" w:ascii="仿宋" w:hAnsi="仿宋" w:eastAsia="仿宋" w:cs="仿宋"/>
          <w:b w:val="0"/>
          <w:bCs w:val="0"/>
          <w:snapToGrid w:val="0"/>
          <w:color w:val="auto"/>
          <w:kern w:val="0"/>
          <w:sz w:val="24"/>
          <w:highlight w:val="none"/>
          <w:u w:val="none"/>
          <w:lang w:eastAsia="zh-CN"/>
        </w:rPr>
        <w:t>响应供应商</w:t>
      </w:r>
      <w:r>
        <w:rPr>
          <w:rFonts w:hint="eastAsia" w:ascii="仿宋" w:hAnsi="仿宋" w:eastAsia="仿宋" w:cs="仿宋"/>
          <w:b w:val="0"/>
          <w:bCs w:val="0"/>
          <w:snapToGrid w:val="0"/>
          <w:color w:val="auto"/>
          <w:kern w:val="0"/>
          <w:sz w:val="24"/>
          <w:highlight w:val="none"/>
          <w:u w:val="none"/>
        </w:rPr>
        <w:t>应承担所有与准备和参加响应有关的费用。</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3</w:t>
      </w:r>
      <w:r>
        <w:rPr>
          <w:rFonts w:hint="eastAsia" w:ascii="仿宋" w:hAnsi="仿宋" w:eastAsia="仿宋" w:cs="仿宋"/>
          <w:snapToGrid w:val="0"/>
          <w:color w:val="auto"/>
          <w:kern w:val="0"/>
          <w:sz w:val="24"/>
          <w:highlight w:val="none"/>
        </w:rPr>
        <w:t>.“响应供应商名称”及“</w:t>
      </w:r>
      <w:r>
        <w:rPr>
          <w:rFonts w:hint="eastAsia" w:ascii="仿宋" w:hAnsi="仿宋" w:eastAsia="仿宋" w:cs="仿宋"/>
          <w:snapToGrid w:val="0"/>
          <w:color w:val="auto"/>
          <w:kern w:val="0"/>
          <w:sz w:val="24"/>
          <w:highlight w:val="none"/>
          <w:lang w:eastAsia="zh-CN"/>
        </w:rPr>
        <w:t>盖章</w:t>
      </w:r>
      <w:r>
        <w:rPr>
          <w:rFonts w:hint="eastAsia" w:ascii="仿宋" w:hAnsi="仿宋" w:eastAsia="仿宋" w:cs="仿宋"/>
          <w:snapToGrid w:val="0"/>
          <w:color w:val="auto"/>
          <w:kern w:val="0"/>
          <w:sz w:val="24"/>
          <w:highlight w:val="none"/>
        </w:rPr>
        <w:t>”：在响应文件及相关的其他资料中，涉及“响应供应商名称”的应在对应文件编辑时使用文本录入方式，或在纸质响应文件上进行手写签名或电子印章</w:t>
      </w:r>
      <w:r>
        <w:rPr>
          <w:rFonts w:hint="eastAsia" w:ascii="仿宋" w:hAnsi="仿宋" w:eastAsia="仿宋" w:cs="仿宋"/>
          <w:snapToGrid w:val="0"/>
          <w:color w:val="auto"/>
          <w:kern w:val="0"/>
          <w:sz w:val="24"/>
          <w:highlight w:val="none"/>
          <w:lang w:eastAsia="zh-CN"/>
        </w:rPr>
        <w:t>。</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4.</w:t>
      </w:r>
      <w:r>
        <w:rPr>
          <w:rFonts w:hint="eastAsia" w:ascii="仿宋" w:hAnsi="仿宋" w:eastAsia="仿宋" w:cs="仿宋"/>
          <w:snapToGrid w:val="0"/>
          <w:color w:val="auto"/>
          <w:kern w:val="0"/>
          <w:sz w:val="24"/>
          <w:highlight w:val="none"/>
        </w:rPr>
        <w:t>“</w:t>
      </w:r>
      <w:r>
        <w:rPr>
          <w:rFonts w:hint="eastAsia" w:ascii="仿宋" w:hAnsi="仿宋" w:eastAsia="仿宋" w:cs="仿宋"/>
          <w:color w:val="auto"/>
          <w:sz w:val="24"/>
          <w:highlight w:val="none"/>
        </w:rPr>
        <w:t>响应供应商法定代表人</w:t>
      </w:r>
      <w:r>
        <w:rPr>
          <w:rFonts w:hint="eastAsia" w:ascii="仿宋" w:hAnsi="仿宋" w:eastAsia="仿宋" w:cs="仿宋"/>
          <w:snapToGrid w:val="0"/>
          <w:color w:val="auto"/>
          <w:kern w:val="0"/>
          <w:sz w:val="24"/>
          <w:highlight w:val="none"/>
        </w:rPr>
        <w:t>”及“</w:t>
      </w:r>
      <w:r>
        <w:rPr>
          <w:rFonts w:hint="eastAsia" w:ascii="仿宋" w:hAnsi="仿宋" w:eastAsia="仿宋" w:cs="仿宋"/>
          <w:color w:val="auto"/>
          <w:sz w:val="24"/>
          <w:highlight w:val="none"/>
        </w:rPr>
        <w:t>法定代表人授权代表</w:t>
      </w:r>
      <w:r>
        <w:rPr>
          <w:rFonts w:hint="eastAsia" w:ascii="仿宋" w:hAnsi="仿宋" w:eastAsia="仿宋" w:cs="仿宋"/>
          <w:snapToGrid w:val="0"/>
          <w:color w:val="auto"/>
          <w:kern w:val="0"/>
          <w:sz w:val="24"/>
          <w:highlight w:val="none"/>
        </w:rPr>
        <w:t>”</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响应供应商法定代表人（或法定代表人授权代表）</w:t>
      </w:r>
      <w:r>
        <w:rPr>
          <w:rFonts w:hint="eastAsia" w:ascii="仿宋" w:hAnsi="仿宋" w:eastAsia="仿宋" w:cs="仿宋"/>
          <w:color w:val="auto"/>
          <w:sz w:val="24"/>
          <w:highlight w:val="none"/>
          <w:lang w:eastAsia="zh-CN"/>
        </w:rPr>
        <w:t>”</w:t>
      </w:r>
      <w:r>
        <w:rPr>
          <w:rFonts w:hint="eastAsia" w:ascii="仿宋" w:hAnsi="仿宋" w:eastAsia="仿宋" w:cs="仿宋"/>
          <w:snapToGrid w:val="0"/>
          <w:color w:val="auto"/>
          <w:kern w:val="0"/>
          <w:sz w:val="24"/>
          <w:highlight w:val="none"/>
        </w:rPr>
        <w:t>：在响应文件及相关的其他资料中，涉及“</w:t>
      </w:r>
      <w:r>
        <w:rPr>
          <w:rFonts w:hint="eastAsia" w:ascii="仿宋" w:hAnsi="仿宋" w:eastAsia="仿宋" w:cs="仿宋"/>
          <w:b w:val="0"/>
          <w:bCs w:val="0"/>
          <w:snapToGrid w:val="0"/>
          <w:color w:val="auto"/>
          <w:kern w:val="0"/>
          <w:sz w:val="24"/>
          <w:highlight w:val="none"/>
          <w:u w:val="none"/>
          <w:lang w:eastAsia="zh-CN"/>
        </w:rPr>
        <w:t>响应供应商</w:t>
      </w:r>
      <w:r>
        <w:rPr>
          <w:rFonts w:hint="eastAsia" w:ascii="仿宋" w:hAnsi="仿宋" w:eastAsia="仿宋" w:cs="仿宋"/>
          <w:snapToGrid w:val="0"/>
          <w:color w:val="auto"/>
          <w:kern w:val="0"/>
          <w:sz w:val="24"/>
          <w:highlight w:val="none"/>
        </w:rPr>
        <w:t>代表签字”或“授权代表”应在响应文件编辑时使用文本录入方式，或在纸质响应文件上进行手写签名或电子印章</w:t>
      </w:r>
      <w:r>
        <w:rPr>
          <w:rFonts w:hint="eastAsia" w:ascii="仿宋" w:hAnsi="仿宋" w:eastAsia="仿宋" w:cs="仿宋"/>
          <w:snapToGrid w:val="0"/>
          <w:color w:val="auto"/>
          <w:kern w:val="0"/>
          <w:sz w:val="24"/>
          <w:highlight w:val="none"/>
          <w:lang w:eastAsia="zh-CN"/>
        </w:rPr>
        <w:t>。</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二、说明</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1.总则</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采购人及</w:t>
      </w:r>
      <w:r>
        <w:rPr>
          <w:rFonts w:hint="eastAsia" w:ascii="仿宋" w:hAnsi="仿宋" w:eastAsia="仿宋" w:cs="仿宋"/>
          <w:b w:val="0"/>
          <w:bCs/>
          <w:color w:val="auto"/>
          <w:sz w:val="24"/>
          <w:szCs w:val="24"/>
          <w:highlight w:val="none"/>
          <w:lang w:eastAsia="zh-CN"/>
        </w:rPr>
        <w:t>响应供应商</w:t>
      </w:r>
      <w:r>
        <w:rPr>
          <w:rFonts w:hint="eastAsia" w:ascii="仿宋" w:hAnsi="仿宋" w:eastAsia="仿宋" w:cs="仿宋"/>
          <w:b w:val="0"/>
          <w:bCs/>
          <w:color w:val="auto"/>
          <w:sz w:val="24"/>
          <w:szCs w:val="24"/>
          <w:highlight w:val="none"/>
        </w:rPr>
        <w:t>进行的本次采购活动参考《中华人民共和国政府采购法》及医院的采购制度。</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响应供应商</w:t>
      </w:r>
      <w:r>
        <w:rPr>
          <w:rFonts w:hint="eastAsia" w:ascii="仿宋" w:hAnsi="仿宋" w:eastAsia="仿宋" w:cs="仿宋"/>
          <w:b w:val="0"/>
          <w:bCs/>
          <w:color w:val="auto"/>
          <w:sz w:val="24"/>
          <w:szCs w:val="24"/>
          <w:highlight w:val="none"/>
        </w:rPr>
        <w:t>应仔细阅读本项目</w:t>
      </w:r>
      <w:r>
        <w:rPr>
          <w:rFonts w:hint="eastAsia" w:ascii="仿宋" w:hAnsi="仿宋" w:eastAsia="仿宋" w:cs="仿宋"/>
          <w:b w:val="0"/>
          <w:bCs/>
          <w:color w:val="auto"/>
          <w:sz w:val="24"/>
          <w:szCs w:val="24"/>
          <w:highlight w:val="none"/>
          <w:lang w:val="en-US" w:eastAsia="zh-CN"/>
        </w:rPr>
        <w:t>比选</w:t>
      </w:r>
      <w:r>
        <w:rPr>
          <w:rFonts w:hint="eastAsia" w:ascii="仿宋" w:hAnsi="仿宋" w:eastAsia="仿宋" w:cs="仿宋"/>
          <w:b w:val="0"/>
          <w:bCs/>
          <w:color w:val="auto"/>
          <w:sz w:val="24"/>
          <w:szCs w:val="24"/>
          <w:highlight w:val="none"/>
        </w:rPr>
        <w:t>公告及</w:t>
      </w:r>
      <w:r>
        <w:rPr>
          <w:rFonts w:hint="eastAsia" w:ascii="仿宋" w:hAnsi="仿宋" w:eastAsia="仿宋" w:cs="仿宋"/>
          <w:b w:val="0"/>
          <w:bCs/>
          <w:color w:val="auto"/>
          <w:sz w:val="24"/>
          <w:szCs w:val="24"/>
          <w:highlight w:val="none"/>
          <w:lang w:eastAsia="zh-CN"/>
        </w:rPr>
        <w:t>比选文件</w:t>
      </w:r>
      <w:r>
        <w:rPr>
          <w:rFonts w:hint="eastAsia" w:ascii="仿宋" w:hAnsi="仿宋" w:eastAsia="仿宋" w:cs="仿宋"/>
          <w:b w:val="0"/>
          <w:bCs/>
          <w:color w:val="auto"/>
          <w:sz w:val="24"/>
          <w:szCs w:val="24"/>
          <w:highlight w:val="none"/>
        </w:rPr>
        <w:t>的所有内容（包括变更、补充、澄清以及修改等，且均为</w:t>
      </w:r>
      <w:r>
        <w:rPr>
          <w:rFonts w:hint="eastAsia" w:ascii="仿宋" w:hAnsi="仿宋" w:eastAsia="仿宋" w:cs="仿宋"/>
          <w:b w:val="0"/>
          <w:bCs/>
          <w:color w:val="auto"/>
          <w:sz w:val="24"/>
          <w:szCs w:val="24"/>
          <w:highlight w:val="none"/>
          <w:lang w:eastAsia="zh-CN"/>
        </w:rPr>
        <w:t>比选文件</w:t>
      </w:r>
      <w:r>
        <w:rPr>
          <w:rFonts w:hint="eastAsia" w:ascii="仿宋" w:hAnsi="仿宋" w:eastAsia="仿宋" w:cs="仿宋"/>
          <w:b w:val="0"/>
          <w:bCs/>
          <w:color w:val="auto"/>
          <w:sz w:val="24"/>
          <w:szCs w:val="24"/>
          <w:highlight w:val="none"/>
        </w:rPr>
        <w:t>的组成部分），按照</w:t>
      </w:r>
      <w:r>
        <w:rPr>
          <w:rFonts w:hint="eastAsia" w:ascii="仿宋" w:hAnsi="仿宋" w:eastAsia="仿宋" w:cs="仿宋"/>
          <w:b w:val="0"/>
          <w:bCs/>
          <w:color w:val="auto"/>
          <w:sz w:val="24"/>
          <w:szCs w:val="24"/>
          <w:highlight w:val="none"/>
          <w:lang w:eastAsia="zh-CN"/>
        </w:rPr>
        <w:t>比选文件</w:t>
      </w:r>
      <w:r>
        <w:rPr>
          <w:rFonts w:hint="eastAsia" w:ascii="仿宋" w:hAnsi="仿宋" w:eastAsia="仿宋" w:cs="仿宋"/>
          <w:b w:val="0"/>
          <w:bCs/>
          <w:color w:val="auto"/>
          <w:sz w:val="24"/>
          <w:szCs w:val="24"/>
          <w:highlight w:val="none"/>
        </w:rPr>
        <w:t>要求以及格式编制</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文件，并保证其真实性，否则一切后果自负。</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 w:val="0"/>
          <w:bCs/>
          <w:color w:val="auto"/>
          <w:sz w:val="24"/>
          <w:szCs w:val="24"/>
          <w:highlight w:val="none"/>
        </w:rPr>
        <w:t>本次</w:t>
      </w:r>
      <w:r>
        <w:rPr>
          <w:rFonts w:hint="eastAsia" w:ascii="仿宋" w:hAnsi="仿宋" w:eastAsia="仿宋" w:cs="仿宋"/>
          <w:b w:val="0"/>
          <w:bCs/>
          <w:color w:val="auto"/>
          <w:sz w:val="24"/>
          <w:szCs w:val="24"/>
          <w:highlight w:val="none"/>
          <w:lang w:eastAsia="zh-CN"/>
        </w:rPr>
        <w:t>院</w:t>
      </w:r>
      <w:r>
        <w:rPr>
          <w:rFonts w:hint="eastAsia" w:ascii="仿宋" w:hAnsi="仿宋" w:eastAsia="仿宋" w:cs="仿宋"/>
          <w:bCs/>
          <w:color w:val="auto"/>
          <w:sz w:val="24"/>
          <w:szCs w:val="24"/>
          <w:highlight w:val="none"/>
          <w:lang w:eastAsia="zh-CN"/>
        </w:rPr>
        <w:t>内比选</w:t>
      </w:r>
      <w:r>
        <w:rPr>
          <w:rFonts w:hint="eastAsia" w:ascii="仿宋" w:hAnsi="仿宋" w:eastAsia="仿宋" w:cs="仿宋"/>
          <w:bCs/>
          <w:color w:val="auto"/>
          <w:sz w:val="24"/>
          <w:szCs w:val="24"/>
          <w:highlight w:val="none"/>
        </w:rPr>
        <w:t>项目，是以</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公告的方式邀请非特定的</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参加</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strike w:val="0"/>
          <w:dstrike w:val="0"/>
          <w:color w:val="auto"/>
          <w:sz w:val="24"/>
          <w:szCs w:val="24"/>
          <w:highlight w:val="none"/>
        </w:rPr>
      </w:pPr>
      <w:r>
        <w:rPr>
          <w:rFonts w:hint="eastAsia" w:ascii="仿宋" w:hAnsi="仿宋" w:eastAsia="仿宋" w:cs="仿宋"/>
          <w:b/>
          <w:bCs/>
          <w:color w:val="auto"/>
          <w:sz w:val="24"/>
          <w:highlight w:val="none"/>
          <w:lang w:val="en-US" w:eastAsia="zh-CN"/>
        </w:rPr>
        <w:t>2.适用范围：</w:t>
      </w:r>
      <w:r>
        <w:rPr>
          <w:rFonts w:hint="eastAsia" w:ascii="仿宋" w:hAnsi="仿宋" w:eastAsia="仿宋" w:cs="仿宋"/>
          <w:strike w:val="0"/>
          <w:dstrike w:val="0"/>
          <w:color w:val="auto"/>
          <w:sz w:val="24"/>
          <w:szCs w:val="24"/>
          <w:highlight w:val="none"/>
        </w:rPr>
        <w:t>本</w:t>
      </w:r>
      <w:r>
        <w:rPr>
          <w:rFonts w:hint="eastAsia" w:ascii="仿宋" w:hAnsi="仿宋" w:eastAsia="仿宋" w:cs="仿宋"/>
          <w:strike w:val="0"/>
          <w:dstrike w:val="0"/>
          <w:color w:val="auto"/>
          <w:sz w:val="24"/>
          <w:szCs w:val="24"/>
          <w:highlight w:val="none"/>
          <w:lang w:eastAsia="zh-CN"/>
        </w:rPr>
        <w:t>比选</w:t>
      </w:r>
      <w:r>
        <w:rPr>
          <w:rFonts w:hint="eastAsia" w:ascii="仿宋" w:hAnsi="仿宋" w:eastAsia="仿宋" w:cs="仿宋"/>
          <w:strike w:val="0"/>
          <w:dstrike w:val="0"/>
          <w:color w:val="auto"/>
          <w:sz w:val="24"/>
          <w:szCs w:val="24"/>
          <w:highlight w:val="none"/>
        </w:rPr>
        <w:t>文件适用于本</w:t>
      </w:r>
      <w:r>
        <w:rPr>
          <w:rFonts w:hint="eastAsia" w:ascii="仿宋" w:hAnsi="仿宋" w:eastAsia="仿宋" w:cs="仿宋"/>
          <w:strike w:val="0"/>
          <w:dstrike w:val="0"/>
          <w:color w:val="auto"/>
          <w:sz w:val="24"/>
          <w:szCs w:val="24"/>
          <w:highlight w:val="none"/>
          <w:lang w:eastAsia="zh-CN"/>
        </w:rPr>
        <w:t>比</w:t>
      </w:r>
      <w:r>
        <w:rPr>
          <w:rFonts w:hint="eastAsia" w:ascii="仿宋" w:hAnsi="仿宋" w:eastAsia="仿宋" w:cs="仿宋"/>
          <w:strike w:val="0"/>
          <w:dstrike w:val="0"/>
          <w:color w:val="auto"/>
          <w:sz w:val="24"/>
          <w:szCs w:val="24"/>
          <w:highlight w:val="none"/>
          <w:lang w:val="en-US" w:eastAsia="zh-CN"/>
        </w:rPr>
        <w:t>选</w:t>
      </w:r>
      <w:r>
        <w:rPr>
          <w:rFonts w:hint="eastAsia" w:ascii="仿宋" w:hAnsi="仿宋" w:eastAsia="仿宋" w:cs="仿宋"/>
          <w:strike w:val="0"/>
          <w:dstrike w:val="0"/>
          <w:color w:val="auto"/>
          <w:sz w:val="24"/>
          <w:szCs w:val="24"/>
          <w:highlight w:val="none"/>
        </w:rPr>
        <w:t>邀请中所述项目的采购项目。</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strike w:val="0"/>
          <w:dstrike w:val="0"/>
          <w:color w:val="auto"/>
          <w:sz w:val="24"/>
          <w:szCs w:val="24"/>
          <w:highlight w:val="none"/>
          <w:lang w:val="en-US" w:eastAsia="zh-CN"/>
        </w:rPr>
        <w:t>3.</w:t>
      </w:r>
      <w:r>
        <w:rPr>
          <w:rFonts w:hint="eastAsia" w:ascii="仿宋" w:hAnsi="仿宋" w:eastAsia="仿宋" w:cs="仿宋"/>
          <w:b/>
          <w:bCs/>
          <w:color w:val="auto"/>
          <w:sz w:val="24"/>
          <w:szCs w:val="24"/>
          <w:highlight w:val="none"/>
        </w:rPr>
        <w:t>关于中小微企业</w:t>
      </w:r>
      <w:r>
        <w:rPr>
          <w:rFonts w:hint="eastAsia" w:ascii="仿宋" w:hAnsi="仿宋" w:eastAsia="仿宋" w:cs="仿宋"/>
          <w:b/>
          <w:bCs/>
          <w:color w:val="auto"/>
          <w:sz w:val="24"/>
          <w:szCs w:val="24"/>
          <w:highlight w:val="none"/>
          <w:lang w:eastAsia="zh-CN"/>
        </w:rPr>
        <w:t>响应</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中小企业划分见《关于印发中小企业划型标准规定的通知》（工信部联企业〔2011〕300号</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 xml:space="preserve"> 。</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小型和微型企业产品价格扣除（专门面向中小企业采购项目不予以价格扣除）根据财政部、工业和信息化部印发的《政府采购促进中小企业发展管理办法》（财库〔2020〕46号）的规定，对小型和微型企业产品的价格给予10%的扣除，用扣除后的价格参与评审；</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产品中仅有部分小型和微型企业产品的，则此部分按所投小型和微型企业产品的价格予以扣除。</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根据财库〔2014〕68号《财政部</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设区的市</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监狱、强制隔离戒毒所、戒毒康复所，以及新疆生产建设兵团监狱管理局、戒毒管理局的企业。监狱企业</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时，提供由省级以上监狱管理局、戒毒管理</w:t>
      </w:r>
      <w:r>
        <w:rPr>
          <w:rFonts w:hint="eastAsia" w:ascii="仿宋" w:hAnsi="仿宋" w:eastAsia="仿宋" w:cs="仿宋"/>
          <w:bCs/>
          <w:color w:val="auto"/>
          <w:sz w:val="24"/>
          <w:szCs w:val="24"/>
          <w:highlight w:val="none"/>
        </w:rPr>
        <w:t>局</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含新疆生产建设兵团</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出具的属于监狱企业的证明文件，不再提供《中小企业声明函》。</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监狱企业视同小型、微型企业，享受评审中价格扣除。</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根据财库〔2017〕141号《财政部 民政部 中国残疾人联合会关于促进残疾人就业政府采购政策的通知》，在政府采购活动中，残疾人福利性单位视同小型、微型企业，享</w:t>
      </w:r>
      <w:r>
        <w:rPr>
          <w:rFonts w:hint="eastAsia" w:ascii="仿宋" w:hAnsi="仿宋" w:eastAsia="仿宋" w:cs="仿宋"/>
          <w:b w:val="0"/>
          <w:bCs/>
          <w:color w:val="auto"/>
          <w:sz w:val="24"/>
          <w:szCs w:val="24"/>
          <w:highlight w:val="none"/>
        </w:rPr>
        <w:t>受政府采购支持政策的残疾人福利性单位应当同时满足《财政部 民政部</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 w:val="0"/>
          <w:bCs/>
          <w:color w:val="auto"/>
          <w:sz w:val="24"/>
          <w:szCs w:val="24"/>
          <w:highlight w:val="none"/>
        </w:rPr>
        <w:t>残</w:t>
      </w:r>
      <w:r>
        <w:rPr>
          <w:rFonts w:hint="eastAsia" w:ascii="仿宋" w:hAnsi="仿宋" w:eastAsia="仿宋" w:cs="仿宋"/>
          <w:bCs/>
          <w:color w:val="auto"/>
          <w:sz w:val="24"/>
          <w:szCs w:val="24"/>
          <w:highlight w:val="none"/>
          <w:lang w:eastAsia="zh-CN"/>
        </w:rPr>
        <w:t>疾人福利性单位视同小型、微型企业，享受评审中价格扣除。</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eastAsia="zh-CN"/>
        </w:rPr>
        <w:t>）同时为小型、微型企业、监狱企业、残疾人福利性单位任两种或以上情况的，评审</w:t>
      </w:r>
      <w:r>
        <w:rPr>
          <w:rFonts w:hint="eastAsia" w:ascii="仿宋" w:hAnsi="仿宋" w:eastAsia="仿宋" w:cs="仿宋"/>
          <w:b w:val="0"/>
          <w:bCs/>
          <w:color w:val="auto"/>
          <w:sz w:val="24"/>
          <w:szCs w:val="24"/>
          <w:highlight w:val="none"/>
        </w:rPr>
        <w:t>中只享受一次价格扣除，不重复进行价格扣除。</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bCs/>
          <w:strike w:val="0"/>
          <w:dstrike w:val="0"/>
          <w:color w:val="auto"/>
          <w:sz w:val="24"/>
          <w:szCs w:val="24"/>
          <w:highlight w:val="none"/>
          <w:lang w:val="en-US" w:eastAsia="zh-CN"/>
        </w:rPr>
      </w:pPr>
      <w:r>
        <w:rPr>
          <w:rFonts w:hint="eastAsia" w:ascii="仿宋" w:hAnsi="仿宋" w:eastAsia="仿宋" w:cs="仿宋"/>
          <w:b/>
          <w:bCs/>
          <w:strike w:val="0"/>
          <w:dstrike w:val="0"/>
          <w:color w:val="auto"/>
          <w:sz w:val="24"/>
          <w:szCs w:val="24"/>
          <w:highlight w:val="none"/>
          <w:lang w:val="en-US" w:eastAsia="zh-CN"/>
        </w:rPr>
        <w:t>4.纪律与保密</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不得相互串通</w:t>
      </w:r>
      <w:r>
        <w:rPr>
          <w:rFonts w:hint="eastAsia" w:ascii="仿宋" w:hAnsi="仿宋" w:eastAsia="仿宋" w:cs="仿宋"/>
          <w:bCs/>
          <w:color w:val="auto"/>
          <w:sz w:val="24"/>
          <w:szCs w:val="24"/>
          <w:highlight w:val="none"/>
          <w:lang w:val="en-US" w:eastAsia="zh-CN"/>
        </w:rPr>
        <w:t>响应</w:t>
      </w:r>
      <w:r>
        <w:rPr>
          <w:rFonts w:hint="eastAsia" w:ascii="仿宋" w:hAnsi="仿宋" w:eastAsia="仿宋" w:cs="仿宋"/>
          <w:bCs/>
          <w:color w:val="auto"/>
          <w:sz w:val="24"/>
          <w:szCs w:val="24"/>
          <w:highlight w:val="none"/>
        </w:rPr>
        <w:t>报价，不得妨碍其他</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的公平竞争，不得损害采购人或其他</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的合法权益，</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不得以向采购人、</w:t>
      </w:r>
      <w:r>
        <w:rPr>
          <w:rFonts w:hint="eastAsia" w:ascii="仿宋" w:hAnsi="仿宋" w:eastAsia="仿宋" w:cs="仿宋"/>
          <w:bCs/>
          <w:color w:val="auto"/>
          <w:sz w:val="24"/>
          <w:szCs w:val="24"/>
          <w:highlight w:val="none"/>
          <w:lang w:val="en-US" w:eastAsia="zh-CN"/>
        </w:rPr>
        <w:t>评审小组</w:t>
      </w:r>
      <w:r>
        <w:rPr>
          <w:rFonts w:hint="eastAsia" w:ascii="仿宋" w:hAnsi="仿宋" w:eastAsia="仿宋" w:cs="仿宋"/>
          <w:bCs/>
          <w:color w:val="auto"/>
          <w:sz w:val="24"/>
          <w:szCs w:val="24"/>
          <w:highlight w:val="none"/>
        </w:rPr>
        <w:t>行贿或者采取其他不正当手段谋取</w:t>
      </w:r>
      <w:r>
        <w:rPr>
          <w:rFonts w:hint="eastAsia" w:ascii="仿宋" w:hAnsi="仿宋" w:eastAsia="仿宋" w:cs="仿宋"/>
          <w:bCs/>
          <w:color w:val="auto"/>
          <w:sz w:val="24"/>
          <w:szCs w:val="24"/>
          <w:highlight w:val="none"/>
          <w:lang w:val="en-US" w:eastAsia="zh-CN"/>
        </w:rPr>
        <w:t>成交</w:t>
      </w:r>
      <w:r>
        <w:rPr>
          <w:rFonts w:hint="eastAsia" w:ascii="仿宋" w:hAnsi="仿宋" w:eastAsia="仿宋" w:cs="仿宋"/>
          <w:bCs/>
          <w:color w:val="auto"/>
          <w:sz w:val="24"/>
          <w:szCs w:val="24"/>
          <w:highlight w:val="none"/>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在确定</w:t>
      </w:r>
      <w:r>
        <w:rPr>
          <w:rFonts w:hint="eastAsia" w:ascii="仿宋" w:hAnsi="仿宋" w:eastAsia="仿宋" w:cs="仿宋"/>
          <w:bCs/>
          <w:color w:val="auto"/>
          <w:sz w:val="24"/>
          <w:szCs w:val="24"/>
          <w:highlight w:val="none"/>
          <w:lang w:val="en-US" w:eastAsia="zh-CN"/>
        </w:rPr>
        <w:t>成交</w:t>
      </w:r>
      <w:r>
        <w:rPr>
          <w:rFonts w:hint="eastAsia" w:ascii="仿宋" w:hAnsi="仿宋" w:eastAsia="仿宋" w:cs="仿宋"/>
          <w:bCs/>
          <w:color w:val="auto"/>
          <w:sz w:val="24"/>
          <w:szCs w:val="24"/>
          <w:highlight w:val="none"/>
        </w:rPr>
        <w:t>供应商之前，</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不得与采购人就</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价格、</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方案等实质性内容进行谈判，也不得私下接触</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成员。</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在确定</w:t>
      </w:r>
      <w:r>
        <w:rPr>
          <w:rFonts w:hint="eastAsia" w:ascii="仿宋" w:hAnsi="仿宋" w:eastAsia="仿宋" w:cs="仿宋"/>
          <w:bCs/>
          <w:color w:val="auto"/>
          <w:sz w:val="24"/>
          <w:szCs w:val="24"/>
          <w:highlight w:val="none"/>
          <w:lang w:eastAsia="zh-CN"/>
        </w:rPr>
        <w:t>成交供应商</w:t>
      </w:r>
      <w:r>
        <w:rPr>
          <w:rFonts w:hint="eastAsia" w:ascii="仿宋" w:hAnsi="仿宋" w:eastAsia="仿宋" w:cs="仿宋"/>
          <w:bCs/>
          <w:color w:val="auto"/>
          <w:sz w:val="24"/>
          <w:szCs w:val="24"/>
          <w:highlight w:val="none"/>
        </w:rPr>
        <w:t>之前，</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试图在</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文件审查、澄清、比较和评价时对</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、采购人施加任何影响都可能导致其</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无效。</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获得本</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者，须履行本项目</w:t>
      </w:r>
      <w:r>
        <w:rPr>
          <w:rFonts w:hint="eastAsia" w:ascii="仿宋" w:hAnsi="仿宋" w:eastAsia="仿宋" w:cs="仿宋"/>
          <w:bCs/>
          <w:color w:val="auto"/>
          <w:sz w:val="24"/>
          <w:szCs w:val="24"/>
          <w:highlight w:val="none"/>
          <w:lang w:eastAsia="zh-CN"/>
        </w:rPr>
        <w:t>的</w:t>
      </w:r>
      <w:r>
        <w:rPr>
          <w:rFonts w:hint="eastAsia" w:ascii="仿宋" w:hAnsi="仿宋" w:eastAsia="仿宋" w:cs="仿宋"/>
          <w:bCs/>
          <w:color w:val="auto"/>
          <w:sz w:val="24"/>
          <w:szCs w:val="24"/>
          <w:highlight w:val="none"/>
        </w:rPr>
        <w:t>保密义务，不得将因本次项目获得的信息向第三人外传，不得将</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用作本次</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以外的任何用途。</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由采购人向</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提供的图纸、详细资料、样品、模型、模件和所有其它资料，均为保密资料，仅被用于它所规定的用途。除非得到采购人的同意，不能向任何第三方透露。</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结束后，应采购人要求，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应归还所有从采购人处获得的保密资料。</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采购人有权将供应商提供的所有资料向有关政府部门或评审小组披露。</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采购人认为适当时、国家机关调查、审查、审计时以及其他符合法律规定的情形下，采购人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ascii="仿宋" w:hAnsi="仿宋" w:eastAsia="仿宋" w:cs="仿宋"/>
          <w:b/>
          <w:bCs/>
          <w:color w:val="auto"/>
          <w:sz w:val="24"/>
          <w:szCs w:val="24"/>
          <w:highlight w:val="none"/>
        </w:rPr>
      </w:pPr>
      <w:r>
        <w:rPr>
          <w:rFonts w:hint="eastAsia" w:ascii="仿宋" w:hAnsi="仿宋" w:eastAsia="仿宋" w:cs="仿宋"/>
          <w:b/>
          <w:bCs/>
          <w:strike w:val="0"/>
          <w:dstrike w:val="0"/>
          <w:color w:val="auto"/>
          <w:sz w:val="24"/>
          <w:szCs w:val="24"/>
          <w:highlight w:val="none"/>
          <w:lang w:val="en-US" w:eastAsia="zh-CN"/>
        </w:rPr>
        <w:t>5.</w:t>
      </w:r>
      <w:r>
        <w:rPr>
          <w:rFonts w:hint="eastAsia" w:ascii="仿宋" w:hAnsi="仿宋" w:eastAsia="仿宋" w:cs="仿宋"/>
          <w:b/>
          <w:bCs/>
          <w:color w:val="auto"/>
          <w:sz w:val="24"/>
          <w:szCs w:val="24"/>
          <w:highlight w:val="none"/>
        </w:rPr>
        <w:t>比选的语言及计量</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提交的响应文件以及供应商与采购人就有关比选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除非比选文件中另有规定，供应商在响应文件中及其与采购单位的所有往来文件中的计量单位均应采用中华人民共和国法定计量单位。</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
          <w:bCs/>
          <w:strike w:val="0"/>
          <w:dstrike w:val="0"/>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响应文件的构成应符合法律法规及比选文件的要求。</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strike w:val="0"/>
          <w:dstrike w:val="0"/>
          <w:color w:val="auto"/>
          <w:sz w:val="24"/>
          <w:szCs w:val="24"/>
          <w:highlight w:val="none"/>
          <w:lang w:val="en-US" w:eastAsia="zh-CN"/>
        </w:rPr>
        <w:t>6.</w:t>
      </w:r>
      <w:r>
        <w:rPr>
          <w:rFonts w:hint="eastAsia" w:ascii="仿宋" w:hAnsi="仿宋" w:eastAsia="仿宋" w:cs="仿宋"/>
          <w:b/>
          <w:bCs/>
          <w:color w:val="auto"/>
          <w:sz w:val="24"/>
          <w:szCs w:val="24"/>
          <w:highlight w:val="none"/>
        </w:rPr>
        <w:t>现场踏勘（如有）</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规定组织踏勘现场的，采购人按</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规定的时间、地点组织</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踏勘项目现场。</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自行承担踏勘现场发生的责任、风险和自身费用。</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采购人在踏勘现场中介绍的资料和数据等，只是为了使</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能够利用</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现有的资料。</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人对</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由此而作出的推论、解释和结论概不负责。</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三、比选文件澄清和修改</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（1）比选文件的澄清是指</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对比选文件中的遗漏、错误、词义表达不清或对比较复杂的事项进行说明，回答供应商提出的各种问题。比选文件的修改是指采购人对比选文件中出现的错误进行修订。</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（2）任何要求对比选文件进行澄清的供应商，均应在比选文件规定的响应文件递交截止时间3日之前以书面形式通知</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对其收到的书面的对比选文件的澄清要求均以书面形式予以答复，同时将书面形式答复发给每个</w:t>
      </w:r>
      <w:r>
        <w:rPr>
          <w:rFonts w:hint="eastAsia" w:ascii="仿宋" w:hAnsi="仿宋" w:eastAsia="仿宋" w:cs="仿宋"/>
          <w:color w:val="auto"/>
          <w:sz w:val="24"/>
          <w:szCs w:val="24"/>
          <w:highlight w:val="none"/>
          <w:lang w:val="en-US" w:eastAsia="zh-CN"/>
        </w:rPr>
        <w:t>报名成功的</w:t>
      </w:r>
      <w:r>
        <w:rPr>
          <w:rFonts w:hint="eastAsia" w:ascii="仿宋" w:hAnsi="仿宋" w:eastAsia="仿宋" w:cs="仿宋"/>
          <w:color w:val="auto"/>
          <w:sz w:val="24"/>
          <w:szCs w:val="24"/>
          <w:highlight w:val="none"/>
        </w:rPr>
        <w:t>供应商（答复中不包括问题的来源）。不足3日的，顺延提交响应文件的截止时间。该答复作为比选文件的一部分，对供应商有约束力。</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（3）比选文件的修改将在比选文件规定的响应文件递交截止时间3日之前由</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以书面形式通知所有潜在（报名成功的）供应商，并对其具有约束力。</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）采购人可以视采购具体情况，延长响应文件递交截止时间，但至少应当在比选文件规定的响应文件递交截止时间3日前，并将变更时间书面通知所有已获取比选文件的潜在供应商。</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四、响应要求</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1.响应文件编制</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对比选文件中多个包（组）进行响应的，其响应文件的编制应按每个包（组）的要求进行页码编制并分别装订和封装。供应商应当对响应文件进行装订，对未经装订的响应文件可能发生的文件散落或缺损，由此产生的后果由供应商承担。</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响应供应商应完整、真实、准确的填写比选文件中规定的所有内容，对响应文件所提供的全部资料的真实性承担法律责任，并无条件接受</w:t>
      </w:r>
      <w:r>
        <w:rPr>
          <w:rFonts w:hint="eastAsia" w:ascii="仿宋" w:hAnsi="仿宋" w:eastAsia="仿宋" w:cs="仿宋"/>
          <w:color w:val="auto"/>
          <w:sz w:val="24"/>
          <w:szCs w:val="24"/>
          <w:highlight w:val="none"/>
          <w:lang w:val="en-US" w:eastAsia="zh-CN"/>
        </w:rPr>
        <w:t>医院办公室</w:t>
      </w:r>
      <w:r>
        <w:rPr>
          <w:rFonts w:hint="eastAsia" w:ascii="仿宋" w:hAnsi="仿宋" w:eastAsia="仿宋" w:cs="仿宋"/>
          <w:color w:val="auto"/>
          <w:sz w:val="24"/>
          <w:szCs w:val="24"/>
          <w:highlight w:val="none"/>
        </w:rPr>
        <w:t>和监督管理小组等对其中任何资料进行核实的要求。供应商必须对响应文件所提供的全部资料的真实性承担法律责任。</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如果因为供应商响应文件填报的内容不详，或没有提供比选文件中所要求的全部资料及数据，由此造成的后果，其责任由供应商承担。</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响应文件的递交</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供应商应将《报价单》单独密封提交，并在信封上清晰标明“报价信封”字样。供应商应将响应文件密封包装。</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响应的信封袋或者文件袋外包装上应注明采购项目名称、项目编号 “在（比选文件中规定的比选日期和时点）之前不得拆封”字样，封口处加盖公章。未按要求密封和标记的，我院对误投或提前启封概不负责。</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在《比选邀请函》中规定的地点和响应截止时间之前接收响应文件，超过截止时间后的响应为无效响应，采购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将拒绝接收。</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3.响应文件的修改、撤回与撤销</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在响应截止时间前，可以对所提交的响应文件进行补充、修改或撤回，但必须书面告知；补充、修改的内容应当按比选文件要求签署、盖章，并作为响应文件的组成部分。在响应截止时间后，供应商不得对其响应文件做任何修改和补充或</w:t>
      </w:r>
      <w:r>
        <w:rPr>
          <w:rFonts w:ascii="仿宋" w:hAnsi="仿宋" w:eastAsia="仿宋" w:cs="仿宋"/>
          <w:color w:val="auto"/>
          <w:sz w:val="24"/>
          <w:szCs w:val="24"/>
          <w:highlight w:val="none"/>
        </w:rPr>
        <w:t>撤回</w:t>
      </w:r>
      <w:r>
        <w:rPr>
          <w:rFonts w:hint="eastAsia" w:ascii="仿宋" w:hAnsi="仿宋" w:eastAsia="仿宋" w:cs="仿宋"/>
          <w:color w:val="auto"/>
          <w:sz w:val="24"/>
          <w:szCs w:val="24"/>
          <w:highlight w:val="none"/>
        </w:rPr>
        <w:t>。</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供应商所提交的响应文件在比选结束后，无论成交与否都不予退还。</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bCs/>
          <w:strike w:val="0"/>
          <w:color w:val="auto"/>
          <w:sz w:val="24"/>
          <w:szCs w:val="24"/>
          <w:highlight w:val="none"/>
        </w:rPr>
      </w:pP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strike w:val="0"/>
          <w:color w:val="auto"/>
          <w:sz w:val="24"/>
          <w:szCs w:val="24"/>
          <w:highlight w:val="none"/>
        </w:rPr>
        <w:t>有以下情形的，将视为响应供应商互相串通响应，不得报名或响应无效：</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（1）不同供应商委托同一单位或个人办理报价事宜；</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（2）不同供应商的报价文件出现同一公章或者签字的；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（3）不同供应商的响应文件异常一致或者非比选文件格式要求，响应文件中出现错误字/词/句位置一致的，雷同内容达到20字及以上的；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（4）不同供应商的响应文件载明的项目管理成员或者联系人员为同一人；</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（5）不同供应商的响应文件相互混装；</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（6）法定代表人为同一个人的两个及两个以上法人，母公司、全资子公司及其控股公司或有共同股东组成或主要管理人员中有共同人员的。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bCs/>
          <w:strike w:val="0"/>
          <w:color w:val="auto"/>
          <w:sz w:val="24"/>
          <w:szCs w:val="24"/>
          <w:highlight w:val="none"/>
        </w:rPr>
      </w:pPr>
      <w:r>
        <w:rPr>
          <w:rFonts w:hint="eastAsia" w:ascii="仿宋" w:hAnsi="仿宋" w:eastAsia="仿宋" w:cs="仿宋"/>
          <w:b/>
          <w:bCs/>
          <w:strike w:val="0"/>
          <w:color w:val="auto"/>
          <w:sz w:val="24"/>
          <w:szCs w:val="24"/>
          <w:highlight w:val="none"/>
          <w:lang w:val="en-US" w:eastAsia="zh-CN"/>
        </w:rPr>
        <w:t>5.</w:t>
      </w:r>
      <w:r>
        <w:rPr>
          <w:rFonts w:hint="eastAsia" w:ascii="仿宋" w:hAnsi="仿宋" w:eastAsia="仿宋" w:cs="仿宋"/>
          <w:b/>
          <w:bCs/>
          <w:strike w:val="0"/>
          <w:color w:val="auto"/>
          <w:sz w:val="24"/>
          <w:szCs w:val="24"/>
          <w:highlight w:val="none"/>
        </w:rPr>
        <w:t>响应供应商有下列弄虚作假的行为的，不得报名或响应无效：</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（1）使用伪造、变造的许可证件；</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（2）提供虚假的财务状况或者业绩；</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（3）提供虚假的项目负责人或者主要技术人员简历、劳动关系证明；</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（4）提供虚假的信用状况；</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（5）其他弄虚作假的行为；</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（6）响应文件或报价文件的签名为代签或冒签的；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（7）被授权人委托他人提交响应文件的，无委托书的。</w:t>
      </w:r>
    </w:p>
    <w:p>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6.</w:t>
      </w:r>
      <w:r>
        <w:rPr>
          <w:rFonts w:hint="eastAsia" w:ascii="仿宋" w:hAnsi="仿宋" w:eastAsia="仿宋" w:cs="仿宋"/>
          <w:b/>
          <w:bCs/>
          <w:color w:val="auto"/>
          <w:sz w:val="24"/>
          <w:highlight w:val="none"/>
        </w:rPr>
        <w:t>无效的报价认定</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（1）报价文件没有有效签署的； </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（2）报价文件不响应评审小组评审时质疑提出的问题，且该问题将可能给采购人造成重大影响的；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（3）报价文件的报价明显过低，可能低于其成本，而供应商又不能作出合理说明的；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（4）报价文件的总价超出采购预算且采购人不能接受的；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（5）报价文件附有采购人不能接受的条件的；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（6）评审小组认为本次报价不响应比选文件实质性要求的；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（7）其它评审小组一致认为应作为无效报价的。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w:t>
      </w:r>
      <w:r>
        <w:rPr>
          <w:rFonts w:hint="eastAsia" w:ascii="仿宋" w:hAnsi="仿宋" w:eastAsia="仿宋" w:cs="仿宋"/>
          <w:b/>
          <w:color w:val="auto"/>
          <w:sz w:val="24"/>
          <w:szCs w:val="24"/>
          <w:highlight w:val="none"/>
        </w:rPr>
        <w:t>★”号条款：必须实质响应的条款，响应供应商不可偏离，负偏离将导致评审时认定为响应无效。“▲”号条款：可以偏离的响应条款，将影响响应供应商的得分。</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8.以下情形，采购人有权拒收响应文件：</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（1）逾期送达；</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（2）未按比选文件要求密封。</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9.</w:t>
      </w:r>
      <w:r>
        <w:rPr>
          <w:rFonts w:hint="eastAsia" w:ascii="仿宋" w:hAnsi="仿宋" w:eastAsia="仿宋" w:cs="仿宋"/>
          <w:b/>
          <w:color w:val="auto"/>
          <w:sz w:val="24"/>
          <w:szCs w:val="24"/>
          <w:highlight w:val="none"/>
        </w:rPr>
        <w:t>有下列情形，评审小组将否决其响应：</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（1）响应文件未经响应单位盖章和法人或单位负责人签字；</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（2）响应联合体没有提交共同响应协议；</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（3）同一响应供应商提交两个以上不同的响应文件或者响应报价，比选文件要求提交备选响应的除外；</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（4）响应报价低于成本或者高于比选最高响应限价的；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strike w:val="0"/>
          <w:color w:val="auto"/>
          <w:sz w:val="24"/>
          <w:szCs w:val="24"/>
          <w:highlight w:val="none"/>
        </w:rPr>
        <w:t>（5）响应文件没有对</w:t>
      </w:r>
      <w:r>
        <w:rPr>
          <w:rFonts w:hint="eastAsia" w:ascii="仿宋" w:hAnsi="仿宋" w:eastAsia="仿宋" w:cs="仿宋"/>
          <w:bCs/>
          <w:color w:val="auto"/>
          <w:sz w:val="24"/>
          <w:szCs w:val="24"/>
          <w:highlight w:val="none"/>
        </w:rPr>
        <w:t>比选文件的实质性要求和条件作出响应的，</w:t>
      </w:r>
      <w:r>
        <w:rPr>
          <w:rFonts w:hint="eastAsia" w:ascii="仿宋" w:hAnsi="仿宋" w:eastAsia="仿宋" w:cs="仿宋"/>
          <w:color w:val="auto"/>
          <w:sz w:val="24"/>
          <w:szCs w:val="24"/>
          <w:highlight w:val="none"/>
        </w:rPr>
        <w:t>评审小组认为明显不符合评审要求的技术规格、技术标准、采购数量；</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（6）响应供应商有串通响应、弄虚作假等违法行为的；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（7）比选现场存在争议的。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10.</w:t>
      </w:r>
      <w:r>
        <w:rPr>
          <w:rFonts w:hint="eastAsia" w:ascii="仿宋" w:hAnsi="仿宋" w:eastAsia="仿宋" w:cs="仿宋"/>
          <w:b/>
          <w:color w:val="auto"/>
          <w:sz w:val="24"/>
          <w:szCs w:val="24"/>
          <w:highlight w:val="none"/>
        </w:rPr>
        <w:t>供应商在参加比选过程中出现的以下不良行为的，将列入我院黑名单管理，在此后的三年内不得参与我院任何采买活动：</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（1）远低于成本价恶意竞价或提供虚假材料谋求成交的；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（2）采取不正当手段诋毁、排挤其他潜在供应商的；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（3）与其他潜在供应商恶意串通的；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（4）随意申请撤换或放弃成交结果的；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（5）成交后无正当理由拒绝或迟迟不签订采购合同的；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（6）成交后，超过合同约定的供货（或服务）时间未按要求执行，给采购人造成损害的；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（7）在比选采购过程中，与相关部门协商谈判的；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（8）向医院涉及的相关部门行贿或者提供不正当利益的；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（9）拒绝有关部门监督检查或者提供虚假情况的；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（10）无正当理由拒绝履行合同和有关承诺，或擅自变更、中止（终止）采购合同的；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（11）提供假冒伪劣产品或走私物品的；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（12）不遵守比选现场纪律，扰乱评审现场，影响采购活动继续进行的；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（13）采购后擅自撤回采购相应文件，影响采购活动继续进行的；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（14）成交后，擅自将采购合同转包或分包给其他供应商的；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（15）不按比选、响应文件的要求和承诺执行或擅自降低响应承诺的产品质量和售后服务或以次充好、偷工减料的；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（16）实际提供的有关产品性能指标和技术服务能力明显低于采购响应文件时的承诺的；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（17）2年内有一次以上投诉查无实据、捏造事实或者提供虚假投诉材料的；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（18）累计两次供应商履约诚信量化评价得分不合格的供应商的；</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（19）2年内累计达两次报名成功后未按规定提前一天发函告知不参加比选的。</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2" w:firstLineChars="200"/>
        <w:textAlignment w:val="auto"/>
        <w:rPr>
          <w:rFonts w:hint="default" w:ascii="仿宋" w:hAnsi="仿宋" w:eastAsia="仿宋" w:cs="仿宋"/>
          <w:strike w:val="0"/>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11.</w:t>
      </w:r>
      <w:r>
        <w:rPr>
          <w:rFonts w:hint="eastAsia" w:ascii="仿宋" w:hAnsi="仿宋" w:eastAsia="仿宋" w:cs="仿宋"/>
          <w:b/>
          <w:color w:val="auto"/>
          <w:sz w:val="24"/>
          <w:szCs w:val="24"/>
          <w:highlight w:val="none"/>
        </w:rPr>
        <w:t>响应供应商在响应比选文件中必须列出具体数值，如果响应供应商只注明“差不多”“接近”等不明确表述，或擅自修改比选文件的比选服务、商务等要求的将导致评审小组拒绝其响应。</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五、比选</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（一）比选前</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在本比选文件规定的日期、时间和地点组织比选。参加比选的代表应签到以证明其出席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并出示有效身份证件以供查验。原则上要求法人或被授权人亲自前来参加比选。确因不可抗拒之原因，委托他人前来的，应出具授权委托书（含被授权人身份证复印件）并加盖公章，授权委托书必须具有法人签名，未签名无效。如缺少上述资料，按响应无效处理。</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供应商不参加现场比选的，视为无条件认同比选报价结果。</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.医院招标采购工作监督小组</w:t>
      </w:r>
      <w:r>
        <w:rPr>
          <w:rFonts w:hint="eastAsia" w:ascii="仿宋" w:hAnsi="仿宋" w:eastAsia="仿宋" w:cs="仿宋"/>
          <w:color w:val="auto"/>
          <w:sz w:val="24"/>
          <w:szCs w:val="24"/>
          <w:highlight w:val="none"/>
        </w:rPr>
        <w:t>选派监督代表参加比选现场监督，只负责监督不负责评审工作。</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default" w:ascii="仿宋" w:hAnsi="仿宋" w:eastAsia="仿宋" w:cs="仿宋"/>
          <w:b/>
          <w:color w:val="auto"/>
          <w:sz w:val="24"/>
          <w:szCs w:val="24"/>
          <w:highlight w:val="none"/>
          <w:lang w:val="en-US"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在响应供应商见证下、医院监督代表验证文件的密封性，并由工作人员现场宣读响应供应商名称、响应价格等实质内容。</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（二）评审</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评审小组的组成</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评审小组按医院规定从专家库中随机抽取三名专家组成</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highlight w:val="none"/>
        </w:rPr>
        <w:t>同一任职科室评审专家</w:t>
      </w:r>
      <w:r>
        <w:rPr>
          <w:rFonts w:hint="eastAsia" w:ascii="仿宋" w:hAnsi="仿宋" w:eastAsia="仿宋" w:cs="仿宋"/>
          <w:color w:val="auto"/>
          <w:kern w:val="0"/>
          <w:sz w:val="24"/>
          <w:highlight w:val="none"/>
          <w:lang w:val="en-US" w:eastAsia="zh-CN"/>
        </w:rPr>
        <w:t>不</w:t>
      </w:r>
      <w:r>
        <w:rPr>
          <w:rFonts w:hint="eastAsia" w:ascii="仿宋" w:hAnsi="仿宋" w:eastAsia="仿宋" w:cs="仿宋"/>
          <w:color w:val="auto"/>
          <w:kern w:val="0"/>
          <w:sz w:val="24"/>
          <w:highlight w:val="none"/>
        </w:rPr>
        <w:t>超过二名</w:t>
      </w:r>
      <w:r>
        <w:rPr>
          <w:rFonts w:hint="eastAsia"/>
          <w:color w:val="auto"/>
          <w:highlight w:val="none"/>
          <w:lang w:eastAsia="zh-CN"/>
        </w:rPr>
        <w:t>。</w:t>
      </w:r>
      <w:r>
        <w:rPr>
          <w:rFonts w:hint="eastAsia" w:ascii="仿宋" w:hAnsi="仿宋" w:eastAsia="仿宋" w:cs="仿宋"/>
          <w:color w:val="auto"/>
          <w:sz w:val="24"/>
          <w:szCs w:val="24"/>
          <w:highlight w:val="none"/>
        </w:rPr>
        <w:t>评审小组将本着公平、公正、科学、择优的原则，严格按照医院的</w:t>
      </w:r>
      <w:r>
        <w:rPr>
          <w:rFonts w:hint="eastAsia" w:ascii="仿宋" w:hAnsi="仿宋" w:eastAsia="仿宋" w:cs="仿宋"/>
          <w:color w:val="auto"/>
          <w:sz w:val="24"/>
          <w:szCs w:val="24"/>
          <w:highlight w:val="none"/>
          <w:lang w:val="en-US" w:eastAsia="zh-CN"/>
        </w:rPr>
        <w:t>医院招标</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工作</w:t>
      </w:r>
      <w:r>
        <w:rPr>
          <w:rFonts w:hint="eastAsia" w:ascii="仿宋" w:hAnsi="仿宋" w:eastAsia="仿宋" w:cs="仿宋"/>
          <w:color w:val="auto"/>
          <w:sz w:val="24"/>
          <w:szCs w:val="24"/>
          <w:highlight w:val="none"/>
        </w:rPr>
        <w:t>实施细则和比选文件的要求进行评审及推荐</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评审小组成员对需要共同认定的事项存在争议的，评审小组组长应当组织评审成员讨论，按照少数服从多数的原则</w:t>
      </w:r>
      <w:r>
        <w:rPr>
          <w:rFonts w:hint="eastAsia" w:ascii="仿宋" w:hAnsi="仿宋" w:eastAsia="仿宋" w:cs="仿宋"/>
          <w:color w:val="auto"/>
          <w:sz w:val="24"/>
          <w:szCs w:val="24"/>
          <w:highlight w:val="none"/>
          <w:lang w:eastAsia="zh-CN"/>
        </w:rPr>
        <w:t>作出</w:t>
      </w:r>
      <w:r>
        <w:rPr>
          <w:rFonts w:hint="eastAsia" w:ascii="仿宋" w:hAnsi="仿宋" w:eastAsia="仿宋" w:cs="仿宋"/>
          <w:color w:val="auto"/>
          <w:sz w:val="24"/>
          <w:szCs w:val="24"/>
          <w:highlight w:val="none"/>
        </w:rPr>
        <w:t>结论。持不同意见的评审小组成员应当在评审报告上签署不同意见并说明理由，否则视为同意。</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color w:val="auto"/>
          <w:kern w:val="0"/>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color w:val="auto"/>
          <w:kern w:val="0"/>
          <w:sz w:val="24"/>
          <w:szCs w:val="24"/>
          <w:highlight w:val="none"/>
        </w:rPr>
        <w:t>评审</w:t>
      </w:r>
      <w:r>
        <w:rPr>
          <w:rFonts w:hint="eastAsia" w:ascii="仿宋" w:hAnsi="仿宋" w:eastAsia="仿宋" w:cs="仿宋"/>
          <w:b/>
          <w:color w:val="auto"/>
          <w:sz w:val="24"/>
          <w:szCs w:val="24"/>
          <w:highlight w:val="none"/>
        </w:rPr>
        <w:t>方法、步骤及标准</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根据比选响应相关法规确定以下评审方法、步骤及标准：</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2.1</w:t>
      </w:r>
      <w:r>
        <w:rPr>
          <w:rFonts w:hint="eastAsia" w:ascii="仿宋" w:hAnsi="仿宋" w:eastAsia="仿宋" w:cs="仿宋"/>
          <w:b/>
          <w:color w:val="auto"/>
          <w:sz w:val="24"/>
          <w:szCs w:val="24"/>
          <w:highlight w:val="none"/>
        </w:rPr>
        <w:t>评审方法</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本次评审采用</w:t>
      </w:r>
      <w:r>
        <w:rPr>
          <w:rFonts w:hint="eastAsia" w:ascii="仿宋" w:hAnsi="仿宋" w:eastAsia="仿宋" w:cs="仿宋"/>
          <w:b/>
          <w:bCs/>
          <w:color w:val="auto"/>
          <w:sz w:val="24"/>
          <w:szCs w:val="24"/>
          <w:highlight w:val="none"/>
        </w:rPr>
        <w:t>综合评分法</w:t>
      </w:r>
      <w:r>
        <w:rPr>
          <w:rFonts w:hint="eastAsia" w:ascii="仿宋" w:hAnsi="仿宋" w:eastAsia="仿宋" w:cs="仿宋"/>
          <w:color w:val="auto"/>
          <w:sz w:val="24"/>
          <w:szCs w:val="24"/>
          <w:highlight w:val="none"/>
        </w:rPr>
        <w:t>。评审小组依据响应证明文件从商务评审、技术评审、价格评审等方面按公正、科学、客观、平等竞争的要求进行综合评审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按评审综合得分由高到低确定成交供应商。</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2.2</w:t>
      </w:r>
      <w:r>
        <w:rPr>
          <w:rFonts w:hint="eastAsia" w:ascii="仿宋" w:hAnsi="仿宋" w:eastAsia="仿宋" w:cs="仿宋"/>
          <w:b/>
          <w:color w:val="auto"/>
          <w:sz w:val="24"/>
          <w:szCs w:val="24"/>
          <w:highlight w:val="none"/>
        </w:rPr>
        <w:t>评审步骤</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宣读评审纪律</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评审专家签到，</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在评审开始前宣读评审纪律及比选文件说明。</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w:t>
      </w:r>
      <w:r>
        <w:rPr>
          <w:rFonts w:hint="eastAsia" w:ascii="仿宋" w:hAnsi="仿宋" w:eastAsia="仿宋" w:cs="仿宋"/>
          <w:color w:val="auto"/>
          <w:kern w:val="0"/>
          <w:sz w:val="24"/>
          <w:highlight w:val="none"/>
        </w:rPr>
        <w:t>评审专家有下列情形之一的，受到邀请应主动提出回避，采购当事人也可以要求该评审专家回避：</w:t>
      </w:r>
    </w:p>
    <w:tbl>
      <w:tblPr>
        <w:tblStyle w:val="14"/>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7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right="34"/>
              <w:jc w:val="center"/>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784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right="34"/>
              <w:jc w:val="center"/>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评审专家回避情形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34"/>
              <w:jc w:val="center"/>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784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right="34"/>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现在或者在采购活动发生前三年内，与供应商存在雇佣关系；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34"/>
              <w:jc w:val="center"/>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784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right="34"/>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现在或者在采购活动发生前三年内担任供应商的财务顾问、法律顾问或技术顾问；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34"/>
              <w:jc w:val="center"/>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784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right="34"/>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现在或者在采购活动发生前三年内是供应商的控股股东或者实际控制人；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34"/>
              <w:jc w:val="center"/>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784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right="34"/>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评审专家与参加该采购项目供应商发生过法律纠纷的；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34"/>
              <w:jc w:val="center"/>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784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right="34"/>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与供应商的法定代表人或者负责人有直系血亲、三代以内旁系血亲及姻亲关系；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34"/>
              <w:jc w:val="center"/>
              <w:textAlignment w:val="auto"/>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6</w:t>
            </w:r>
          </w:p>
        </w:tc>
        <w:tc>
          <w:tcPr>
            <w:tcW w:w="784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right="34"/>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与供应商之间存在其他影响或可能影响政府采购活动依法进行的利害关系。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34"/>
              <w:jc w:val="center"/>
              <w:textAlignment w:val="auto"/>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7</w:t>
            </w:r>
          </w:p>
        </w:tc>
        <w:tc>
          <w:tcPr>
            <w:tcW w:w="784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right="34"/>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法律、法规、规章规定应当回避以及其他可能影响公正评审的。</w:t>
            </w:r>
          </w:p>
        </w:tc>
      </w:tr>
    </w:tbl>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lang w:eastAsia="zh-CN"/>
        </w:rPr>
        <w:t>（</w:t>
      </w:r>
      <w:r>
        <w:rPr>
          <w:rFonts w:hint="eastAsia" w:ascii="仿宋" w:hAnsi="仿宋" w:eastAsia="仿宋" w:cs="仿宋"/>
          <w:b w:val="0"/>
          <w:bCs/>
          <w:color w:val="auto"/>
          <w:sz w:val="24"/>
          <w:highlight w:val="none"/>
          <w:lang w:val="en-US" w:eastAsia="zh-CN"/>
        </w:rPr>
        <w:t>3</w:t>
      </w:r>
      <w:r>
        <w:rPr>
          <w:rFonts w:hint="eastAsia" w:ascii="仿宋" w:hAnsi="仿宋" w:eastAsia="仿宋" w:cs="仿宋"/>
          <w:b w:val="0"/>
          <w:bCs/>
          <w:color w:val="auto"/>
          <w:sz w:val="24"/>
          <w:highlight w:val="none"/>
          <w:lang w:eastAsia="zh-CN"/>
        </w:rPr>
        <w:t>）</w:t>
      </w:r>
      <w:r>
        <w:rPr>
          <w:rFonts w:hint="eastAsia" w:ascii="仿宋" w:hAnsi="仿宋" w:eastAsia="仿宋" w:cs="仿宋"/>
          <w:b w:val="0"/>
          <w:bCs/>
          <w:color w:val="auto"/>
          <w:sz w:val="24"/>
          <w:highlight w:val="none"/>
        </w:rPr>
        <w:t>推荐评审小组组长</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 w:val="0"/>
          <w:bCs/>
          <w:color w:val="auto"/>
          <w:kern w:val="0"/>
          <w:sz w:val="24"/>
          <w:highlight w:val="none"/>
        </w:rPr>
      </w:pPr>
      <w:r>
        <w:rPr>
          <w:rFonts w:hint="eastAsia" w:ascii="仿宋" w:hAnsi="仿宋" w:eastAsia="仿宋" w:cs="仿宋"/>
          <w:b w:val="0"/>
          <w:bCs/>
          <w:color w:val="auto"/>
          <w:kern w:val="0"/>
          <w:sz w:val="24"/>
          <w:highlight w:val="none"/>
          <w:lang w:eastAsia="zh-CN"/>
        </w:rPr>
        <w:t>评审小组</w:t>
      </w:r>
      <w:r>
        <w:rPr>
          <w:rFonts w:hint="eastAsia" w:ascii="仿宋" w:hAnsi="仿宋" w:eastAsia="仿宋" w:cs="仿宋"/>
          <w:b w:val="0"/>
          <w:bCs/>
          <w:color w:val="auto"/>
          <w:kern w:val="0"/>
          <w:sz w:val="24"/>
          <w:highlight w:val="none"/>
        </w:rPr>
        <w:t>按照少数服从多数的原则推荐组长。评</w:t>
      </w:r>
      <w:r>
        <w:rPr>
          <w:rFonts w:hint="eastAsia" w:ascii="仿宋" w:hAnsi="仿宋" w:eastAsia="仿宋" w:cs="仿宋"/>
          <w:b w:val="0"/>
          <w:bCs/>
          <w:color w:val="auto"/>
          <w:sz w:val="24"/>
          <w:highlight w:val="none"/>
        </w:rPr>
        <w:t>审</w:t>
      </w:r>
      <w:r>
        <w:rPr>
          <w:rFonts w:hint="eastAsia" w:ascii="仿宋" w:hAnsi="仿宋" w:eastAsia="仿宋" w:cs="仿宋"/>
          <w:b w:val="0"/>
          <w:bCs/>
          <w:color w:val="auto"/>
          <w:kern w:val="0"/>
          <w:sz w:val="24"/>
          <w:highlight w:val="none"/>
        </w:rPr>
        <w:t>小组成员在履行独立评审权利义务的同时，不得发表有失公正和不负责任的言论，不得相互串通和压制他人意见，不得将个人倾向性意见诱导、暗示或强加于他人认同。</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响应文件的资格性、符合性审查</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资格性、符合性审查内容主要为对响应文件的响应函、法定代表人/负责人资格证明书及授权委托书、</w:t>
      </w:r>
      <w:r>
        <w:rPr>
          <w:rFonts w:hint="eastAsia" w:ascii="仿宋" w:hAnsi="仿宋" w:eastAsia="仿宋" w:cs="仿宋"/>
          <w:bCs/>
          <w:color w:val="auto"/>
          <w:sz w:val="24"/>
          <w:szCs w:val="24"/>
          <w:highlight w:val="none"/>
          <w:lang w:val="en-US" w:eastAsia="zh-CN"/>
        </w:rPr>
        <w:t>供应商资格、技术商务实质性响应</w:t>
      </w:r>
      <w:r>
        <w:rPr>
          <w:rFonts w:hint="eastAsia" w:ascii="仿宋" w:hAnsi="仿宋" w:eastAsia="仿宋" w:cs="仿宋"/>
          <w:bCs/>
          <w:color w:val="auto"/>
          <w:sz w:val="24"/>
          <w:szCs w:val="24"/>
          <w:highlight w:val="none"/>
        </w:rPr>
        <w:t>及报价的唯一性等，审查不合格者按响应无效处理。只有资格性符合性全部审查合格才能进入后续评审。</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评审</w:t>
      </w:r>
      <w:r>
        <w:rPr>
          <w:rFonts w:hint="eastAsia" w:ascii="仿宋" w:hAnsi="仿宋" w:eastAsia="仿宋" w:cs="仿宋"/>
          <w:bCs/>
          <w:color w:val="auto"/>
          <w:sz w:val="24"/>
          <w:szCs w:val="24"/>
          <w:highlight w:val="none"/>
          <w:lang w:val="en-US" w:eastAsia="zh-CN"/>
        </w:rPr>
        <w:t>小组</w:t>
      </w:r>
      <w:r>
        <w:rPr>
          <w:rFonts w:hint="eastAsia" w:ascii="仿宋" w:hAnsi="仿宋" w:eastAsia="仿宋" w:cs="仿宋"/>
          <w:bCs/>
          <w:color w:val="auto"/>
          <w:sz w:val="24"/>
          <w:szCs w:val="24"/>
          <w:highlight w:val="none"/>
        </w:rPr>
        <w:t>对大小写金额不一致、单价汇总与总价不一致的，按以下方法更正：响应文件的大写金额和小写金额不一致的，以大写金额为准；总价金额与按单价汇总金额不一致的，以单价金额计算结果为准；单价金额小数点明显错位的，应以总价为准，并修改单价。如果响应不接受对其错误的更正，其响应将被视为响应无效。</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不得恶意竞价，对于报价差异巨大的，</w:t>
      </w:r>
      <w:r>
        <w:rPr>
          <w:rFonts w:hint="eastAsia" w:ascii="仿宋" w:hAnsi="仿宋" w:eastAsia="仿宋" w:cs="仿宋"/>
          <w:b/>
          <w:bCs/>
          <w:strike w:val="0"/>
          <w:color w:val="auto"/>
          <w:sz w:val="24"/>
          <w:highlight w:val="none"/>
          <w:lang w:eastAsia="zh-CN"/>
        </w:rPr>
        <w:t>评审小组</w:t>
      </w:r>
      <w:r>
        <w:rPr>
          <w:rFonts w:hint="eastAsia" w:ascii="仿宋" w:hAnsi="仿宋" w:eastAsia="仿宋" w:cs="仿宋"/>
          <w:b/>
          <w:bCs/>
          <w:strike w:val="0"/>
          <w:color w:val="auto"/>
          <w:sz w:val="24"/>
          <w:highlight w:val="none"/>
        </w:rPr>
        <w:t>有权要求</w:t>
      </w: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在规定的时间内提供相关证明材料，在规定时间内不能提供材料或者无法证明的</w:t>
      </w:r>
      <w:r>
        <w:rPr>
          <w:rFonts w:hint="eastAsia" w:ascii="仿宋" w:hAnsi="仿宋" w:eastAsia="仿宋" w:cs="仿宋"/>
          <w:b/>
          <w:bCs/>
          <w:strike w:val="0"/>
          <w:color w:val="auto"/>
          <w:sz w:val="24"/>
          <w:highlight w:val="none"/>
          <w:lang w:eastAsia="zh-CN"/>
        </w:rPr>
        <w:t>，评审小组</w:t>
      </w:r>
      <w:r>
        <w:rPr>
          <w:rFonts w:hint="eastAsia" w:ascii="仿宋" w:hAnsi="仿宋" w:eastAsia="仿宋" w:cs="仿宋"/>
          <w:b/>
          <w:bCs/>
          <w:strike w:val="0"/>
          <w:color w:val="auto"/>
          <w:sz w:val="24"/>
          <w:highlight w:val="none"/>
        </w:rPr>
        <w:t>有权裁定该报价是否为恶意报价。恶意竞价的</w:t>
      </w: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将被取消成交资格，并列入黑名单，在此后五年内不得参与我院任何采买活动。</w:t>
      </w:r>
    </w:p>
    <w:tbl>
      <w:tblPr>
        <w:tblStyle w:val="14"/>
        <w:tblW w:w="8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032"/>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color w:val="auto"/>
                <w:highlight w:val="none"/>
              </w:rPr>
            </w:pPr>
            <w:r>
              <w:rPr>
                <w:rFonts w:hint="eastAsia" w:ascii="仿宋" w:hAnsi="仿宋" w:eastAsia="仿宋" w:cs="仿宋"/>
                <w:b/>
                <w:bCs/>
                <w:color w:val="auto"/>
                <w:szCs w:val="21"/>
                <w:highlight w:val="none"/>
              </w:rPr>
              <w:t>评审内容</w:t>
            </w:r>
          </w:p>
        </w:tc>
        <w:tc>
          <w:tcPr>
            <w:tcW w:w="57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color w:val="auto"/>
                <w:highlight w:val="none"/>
              </w:rPr>
            </w:pPr>
            <w:r>
              <w:rPr>
                <w:rFonts w:hint="eastAsia" w:ascii="仿宋" w:hAnsi="仿宋" w:eastAsia="仿宋" w:cs="仿宋"/>
                <w:b/>
                <w:bCs/>
                <w:color w:val="auto"/>
                <w:szCs w:val="21"/>
                <w:highlight w:val="none"/>
              </w:rPr>
              <w:t>比选/采购文件要求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6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资格性审查</w:t>
            </w: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color w:val="auto"/>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具有独立承担民事责任能力</w:t>
            </w:r>
          </w:p>
        </w:tc>
        <w:tc>
          <w:tcPr>
            <w:tcW w:w="57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在中华人民共和国境内注册的具有独立承担民事责任能力的法人或其他组织（提供营业执照等证明文件）；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 w:hAnsi="仿宋" w:eastAsia="仿宋" w:cs="仿宋"/>
                <w:color w:val="auto"/>
                <w:szCs w:val="21"/>
                <w:highlight w:val="none"/>
              </w:rPr>
            </w:pP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具有良好的商业信誉和健全的财务会计制度</w:t>
            </w:r>
          </w:p>
        </w:tc>
        <w:tc>
          <w:tcPr>
            <w:tcW w:w="57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供应商必须具有良好的商业信誉和健全的财务会计制度。可提供：①</w:t>
            </w:r>
            <w:r>
              <w:rPr>
                <w:rFonts w:hint="eastAsia" w:ascii="仿宋" w:hAnsi="仿宋" w:eastAsia="仿宋" w:cs="仿宋"/>
                <w:color w:val="auto"/>
                <w:highlight w:val="none"/>
                <w:lang w:eastAsia="zh-CN"/>
              </w:rPr>
              <w:t>2022年</w:t>
            </w:r>
            <w:r>
              <w:rPr>
                <w:rFonts w:hint="eastAsia" w:ascii="仿宋" w:hAnsi="仿宋" w:eastAsia="仿宋" w:cs="仿宋"/>
                <w:color w:val="auto"/>
                <w:highlight w:val="none"/>
              </w:rPr>
              <w:t>至今任意一年经审计的审计报告复印件（包含审计报告中所涉及的财务报表和报表附注）；或②</w:t>
            </w:r>
            <w:r>
              <w:rPr>
                <w:rFonts w:hint="eastAsia" w:ascii="仿宋" w:hAnsi="仿宋" w:eastAsia="仿宋" w:cs="仿宋"/>
                <w:color w:val="auto"/>
                <w:highlight w:val="none"/>
                <w:lang w:eastAsia="zh-CN"/>
              </w:rPr>
              <w:t>2022年</w:t>
            </w:r>
            <w:r>
              <w:rPr>
                <w:rFonts w:hint="eastAsia" w:ascii="仿宋" w:hAnsi="仿宋" w:eastAsia="仿宋" w:cs="仿宋"/>
                <w:color w:val="auto"/>
                <w:highlight w:val="none"/>
              </w:rPr>
              <w:t>度至今任意一年</w:t>
            </w:r>
            <w:r>
              <w:rPr>
                <w:rFonts w:hint="eastAsia" w:ascii="仿宋" w:hAnsi="仿宋" w:eastAsia="仿宋" w:cs="仿宋"/>
                <w:color w:val="auto"/>
                <w:highlight w:val="none"/>
                <w:lang w:eastAsia="zh-CN"/>
              </w:rPr>
              <w:t>响应供应商</w:t>
            </w:r>
            <w:r>
              <w:rPr>
                <w:rFonts w:hint="eastAsia" w:ascii="仿宋" w:hAnsi="仿宋" w:eastAsia="仿宋" w:cs="仿宋"/>
                <w:color w:val="auto"/>
                <w:highlight w:val="none"/>
              </w:rPr>
              <w:t>人内部的财务报表复印件（新成立公司提供成立至今的月或季度财务报表复印件）；或③截至</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文件递交截止日</w:t>
            </w:r>
            <w:r>
              <w:rPr>
                <w:rFonts w:hint="eastAsia" w:ascii="仿宋" w:hAnsi="仿宋" w:eastAsia="仿宋" w:cs="仿宋"/>
                <w:color w:val="auto"/>
                <w:highlight w:val="none"/>
                <w:lang w:eastAsia="zh-CN"/>
              </w:rPr>
              <w:t>12个月内银行</w:t>
            </w:r>
            <w:r>
              <w:rPr>
                <w:rFonts w:hint="eastAsia" w:ascii="仿宋" w:hAnsi="仿宋" w:eastAsia="仿宋" w:cs="仿宋"/>
                <w:color w:val="auto"/>
                <w:highlight w:val="none"/>
              </w:rPr>
              <w:t>出具的资信证明（复印件）</w:t>
            </w:r>
            <w:r>
              <w:rPr>
                <w:rFonts w:hint="eastAsia" w:ascii="仿宋" w:hAnsi="仿宋" w:eastAsia="仿宋" w:cs="仿宋"/>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 w:hAnsi="仿宋" w:eastAsia="仿宋" w:cs="仿宋"/>
                <w:color w:val="auto"/>
                <w:szCs w:val="21"/>
                <w:highlight w:val="none"/>
              </w:rPr>
            </w:pP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3.有</w:t>
            </w:r>
            <w:r>
              <w:rPr>
                <w:rFonts w:hint="eastAsia" w:ascii="仿宋" w:hAnsi="仿宋" w:eastAsia="仿宋" w:cs="仿宋"/>
                <w:color w:val="auto"/>
                <w:highlight w:val="none"/>
              </w:rPr>
              <w:t>依法缴纳税收</w:t>
            </w:r>
          </w:p>
        </w:tc>
        <w:tc>
          <w:tcPr>
            <w:tcW w:w="57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szCs w:val="21"/>
                <w:highlight w:val="none"/>
              </w:rPr>
            </w:pPr>
            <w:r>
              <w:rPr>
                <w:rFonts w:hint="eastAsia" w:ascii="仿宋" w:hAnsi="仿宋" w:eastAsia="仿宋" w:cs="仿宋"/>
                <w:color w:val="auto"/>
                <w:highlight w:val="none"/>
              </w:rPr>
              <w:t>比选截止时间近12个月内任意一个月的依法缴纳税收证明材料（如依法免税，则须提供相应文件证明其依法免税）；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7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 w:hAnsi="仿宋" w:eastAsia="仿宋" w:cs="仿宋"/>
                <w:color w:val="auto"/>
                <w:szCs w:val="21"/>
                <w:highlight w:val="none"/>
              </w:rPr>
            </w:pP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4.有</w:t>
            </w:r>
            <w:r>
              <w:rPr>
                <w:rFonts w:hint="eastAsia" w:ascii="仿宋" w:hAnsi="仿宋" w:eastAsia="仿宋" w:cs="仿宋"/>
                <w:color w:val="auto"/>
                <w:highlight w:val="none"/>
              </w:rPr>
              <w:t>依法缴纳社会保险凭据</w:t>
            </w:r>
          </w:p>
        </w:tc>
        <w:tc>
          <w:tcPr>
            <w:tcW w:w="57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szCs w:val="21"/>
                <w:highlight w:val="none"/>
              </w:rPr>
            </w:pPr>
            <w:r>
              <w:rPr>
                <w:rFonts w:hint="eastAsia" w:ascii="仿宋" w:hAnsi="仿宋" w:eastAsia="仿宋" w:cs="仿宋"/>
                <w:color w:val="auto"/>
                <w:highlight w:val="none"/>
              </w:rPr>
              <w:t>比选截止时间近12个月内任意一个月的依法缴纳社会保险凭据（如依法不需要缴纳社保，则须提供相应文件证明其依法不需</w:t>
            </w:r>
            <w:r>
              <w:rPr>
                <w:rFonts w:hint="eastAsia" w:ascii="仿宋" w:hAnsi="仿宋" w:eastAsia="仿宋" w:cs="仿宋"/>
                <w:color w:val="auto"/>
                <w:szCs w:val="21"/>
                <w:highlight w:val="none"/>
              </w:rPr>
              <w:t>要缴纳）</w:t>
            </w:r>
            <w:r>
              <w:rPr>
                <w:rFonts w:hint="eastAsia" w:ascii="仿宋" w:hAnsi="仿宋" w:eastAsia="仿宋" w:cs="仿宋"/>
                <w:color w:val="auto"/>
                <w:szCs w:val="21"/>
                <w:highlight w:val="none"/>
                <w:lang w:eastAsia="zh-CN"/>
              </w:rPr>
              <w:t>或书面声明。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 w:hAnsi="仿宋" w:eastAsia="仿宋" w:cs="仿宋"/>
                <w:color w:val="auto"/>
                <w:szCs w:val="21"/>
                <w:highlight w:val="none"/>
              </w:rPr>
            </w:pP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履行合同所必需的设备和专业技术能力</w:t>
            </w:r>
          </w:p>
        </w:tc>
        <w:tc>
          <w:tcPr>
            <w:tcW w:w="57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履行合同所必需的设备和专业技术能力的证明材料或书面声明；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 w:hAnsi="仿宋" w:eastAsia="仿宋" w:cs="仿宋"/>
                <w:color w:val="auto"/>
                <w:szCs w:val="21"/>
                <w:highlight w:val="none"/>
              </w:rPr>
            </w:pP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没有重大违法记录</w:t>
            </w:r>
          </w:p>
        </w:tc>
        <w:tc>
          <w:tcPr>
            <w:tcW w:w="57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 w:hAnsi="仿宋" w:eastAsia="仿宋" w:cs="仿宋"/>
                <w:color w:val="auto"/>
                <w:szCs w:val="21"/>
                <w:highlight w:val="none"/>
              </w:rPr>
            </w:pP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7.信用记录</w:t>
            </w:r>
          </w:p>
        </w:tc>
        <w:tc>
          <w:tcPr>
            <w:tcW w:w="57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 w:hAnsi="仿宋" w:eastAsia="仿宋" w:cs="仿宋"/>
                <w:color w:val="auto"/>
                <w:szCs w:val="21"/>
                <w:highlight w:val="none"/>
              </w:rPr>
            </w:pP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8.控股关系</w:t>
            </w:r>
          </w:p>
        </w:tc>
        <w:tc>
          <w:tcPr>
            <w:tcW w:w="57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单位负责人为同一人或者存在直接控股、管理关系的不同供应商，不得参加同一包号</w:t>
            </w:r>
            <w:r>
              <w:rPr>
                <w:rFonts w:hint="eastAsia" w:ascii="仿宋" w:hAnsi="仿宋" w:eastAsia="仿宋" w:cs="仿宋"/>
                <w:color w:val="auto"/>
                <w:szCs w:val="21"/>
                <w:highlight w:val="none"/>
                <w:lang w:val="en-US" w:eastAsia="zh-CN"/>
              </w:rPr>
              <w:t>比选</w:t>
            </w:r>
            <w:r>
              <w:rPr>
                <w:rFonts w:hint="eastAsia" w:ascii="仿宋" w:hAnsi="仿宋" w:eastAsia="仿宋" w:cs="仿宋"/>
                <w:color w:val="auto"/>
                <w:szCs w:val="21"/>
                <w:highlight w:val="none"/>
                <w:lang w:val="zh-CN"/>
              </w:rPr>
              <w:t>或者未划分包号的同一采购项目。(供应商出具声明函)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 w:hAnsi="仿宋" w:eastAsia="仿宋" w:cs="仿宋"/>
                <w:color w:val="auto"/>
                <w:szCs w:val="21"/>
                <w:highlight w:val="none"/>
              </w:rPr>
            </w:pP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9.不得参加本项目情况</w:t>
            </w:r>
          </w:p>
        </w:tc>
        <w:tc>
          <w:tcPr>
            <w:tcW w:w="57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为本采购项目提供整体设计、规范编制或者项目管理、监理、检测等服务的供应商，不得再参加本采购项目的采购活动。(供应商出具声明函)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 w:hAnsi="仿宋" w:eastAsia="仿宋" w:cs="仿宋"/>
                <w:color w:val="auto"/>
                <w:szCs w:val="21"/>
                <w:highlight w:val="none"/>
              </w:rPr>
            </w:pP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10.联合体</w:t>
            </w:r>
          </w:p>
        </w:tc>
        <w:tc>
          <w:tcPr>
            <w:tcW w:w="57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rPr>
              <w:t>本项目不接受联合体参加比选，不允许响应供应商对各比选项目进行分包或转包</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供应商出具声明函</w:t>
            </w:r>
            <w:r>
              <w:rPr>
                <w:rFonts w:hint="eastAsia" w:ascii="仿宋" w:hAnsi="仿宋" w:eastAsia="仿宋" w:cs="仿宋"/>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 w:hAnsi="仿宋" w:eastAsia="仿宋" w:cs="仿宋"/>
                <w:color w:val="auto"/>
                <w:szCs w:val="21"/>
                <w:highlight w:val="none"/>
              </w:rPr>
            </w:pP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11.落实政府采购政策需满足的资格要求</w:t>
            </w:r>
          </w:p>
        </w:tc>
        <w:tc>
          <w:tcPr>
            <w:tcW w:w="57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本项目是专门面向中小企业采购的项目，供应商应为中小微企业。（提供《中小企业声明函》,具体格式文件见比选文件</w:t>
            </w:r>
            <w:r>
              <w:rPr>
                <w:rFonts w:hint="eastAsia" w:ascii="仿宋" w:hAnsi="仿宋" w:eastAsia="仿宋" w:cs="仿宋"/>
                <w:b/>
                <w:bCs/>
                <w:color w:val="auto"/>
                <w:szCs w:val="21"/>
                <w:highlight w:val="none"/>
                <w:lang w:eastAsia="zh-CN"/>
              </w:rPr>
              <w:t>P53</w:t>
            </w:r>
            <w:r>
              <w:rPr>
                <w:rFonts w:hint="eastAsia" w:ascii="仿宋" w:hAnsi="仿宋" w:eastAsia="仿宋" w:cs="仿宋"/>
                <w:color w:val="auto"/>
                <w:szCs w:val="21"/>
                <w:highlight w:val="none"/>
              </w:rPr>
              <w:t>中小企业声明函，未按要求提供声明函的将导致响应无效）。本项目中小企业划分标准</w:t>
            </w:r>
            <w:r>
              <w:rPr>
                <w:rFonts w:hint="eastAsia" w:ascii="仿宋" w:hAnsi="仿宋" w:eastAsia="仿宋" w:cs="仿宋"/>
                <w:b/>
                <w:bCs/>
                <w:color w:val="auto"/>
                <w:szCs w:val="21"/>
                <w:highlight w:val="none"/>
              </w:rPr>
              <w:t>所属行业为：软件和信息技术服务业</w:t>
            </w:r>
            <w:r>
              <w:rPr>
                <w:rFonts w:hint="eastAsia" w:ascii="仿宋" w:hAnsi="仿宋" w:eastAsia="仿宋" w:cs="仿宋"/>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 w:hAnsi="仿宋" w:eastAsia="仿宋" w:cs="仿宋"/>
                <w:color w:val="auto"/>
                <w:szCs w:val="21"/>
                <w:highlight w:val="none"/>
              </w:rPr>
            </w:pP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12.报名</w:t>
            </w:r>
          </w:p>
        </w:tc>
        <w:tc>
          <w:tcPr>
            <w:tcW w:w="57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已在医院办公室报名。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61"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符合性审查</w:t>
            </w: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文件签署</w:t>
            </w:r>
          </w:p>
        </w:tc>
        <w:tc>
          <w:tcPr>
            <w:tcW w:w="5760" w:type="dxa"/>
            <w:tcBorders>
              <w:bottom w:val="single" w:color="auto" w:sz="4" w:space="0"/>
            </w:tcBorders>
            <w:noWrap w:val="0"/>
            <w:vAlign w:val="center"/>
          </w:tcPr>
          <w:p>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按照比选文件规定要求签署、盖章且响应文件有法定代表人签字或盖个人名章（或签字人有法定代表人有效授权书）的。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rPr>
            </w:pP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响应有效期</w:t>
            </w:r>
          </w:p>
        </w:tc>
        <w:tc>
          <w:tcPr>
            <w:tcW w:w="5760" w:type="dxa"/>
            <w:noWrap w:val="0"/>
            <w:vAlign w:val="center"/>
          </w:tcPr>
          <w:p>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响应函已提交并符合比选文件要求的，且响应有效期不少于比选文件中载明的响应有效期限；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rPr>
            </w:pP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商务要求评审</w:t>
            </w:r>
          </w:p>
        </w:tc>
        <w:tc>
          <w:tcPr>
            <w:tcW w:w="5760" w:type="dxa"/>
            <w:noWrap w:val="0"/>
            <w:vAlign w:val="center"/>
          </w:tcPr>
          <w:p>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实质性（“★”项）商务条款是否全部完全响应；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rPr>
            </w:pP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技术</w:t>
            </w:r>
            <w:r>
              <w:rPr>
                <w:rFonts w:hint="eastAsia" w:ascii="仿宋" w:hAnsi="仿宋" w:eastAsia="仿宋" w:cs="仿宋"/>
                <w:color w:val="auto"/>
                <w:szCs w:val="21"/>
                <w:highlight w:val="none"/>
              </w:rPr>
              <w:t>要求评审</w:t>
            </w:r>
          </w:p>
        </w:tc>
        <w:tc>
          <w:tcPr>
            <w:tcW w:w="5760" w:type="dxa"/>
            <w:noWrap w:val="0"/>
            <w:vAlign w:val="center"/>
          </w:tcPr>
          <w:p>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实质性（“★”项）技术要求条款是否全部完全响应；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1" w:type="dxa"/>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rPr>
            </w:pP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报价合理性</w:t>
            </w:r>
          </w:p>
        </w:tc>
        <w:tc>
          <w:tcPr>
            <w:tcW w:w="5760" w:type="dxa"/>
            <w:noWrap w:val="0"/>
            <w:vAlign w:val="center"/>
          </w:tcPr>
          <w:p>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pPr>
            <w:r>
              <w:rPr>
                <w:rFonts w:hint="eastAsia" w:ascii="仿宋" w:hAnsi="仿宋" w:eastAsia="仿宋" w:cs="仿宋"/>
                <w:color w:val="auto"/>
                <w:szCs w:val="21"/>
                <w:highlight w:val="none"/>
                <w:lang w:eastAsia="zh-CN"/>
              </w:rPr>
              <w:t>报价方案是唯一确定、报价合理。</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如有分项报价要求，各分项报价不得高于各分项最高预算单价，合计总报价是固定唯一价且无超出采购预算或最高限价；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1" w:type="dxa"/>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szCs w:val="21"/>
                <w:highlight w:val="none"/>
              </w:rPr>
            </w:pPr>
          </w:p>
        </w:tc>
        <w:tc>
          <w:tcPr>
            <w:tcW w:w="20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其他</w:t>
            </w:r>
          </w:p>
        </w:tc>
        <w:tc>
          <w:tcPr>
            <w:tcW w:w="5760" w:type="dxa"/>
            <w:noWrap w:val="0"/>
            <w:vAlign w:val="center"/>
          </w:tcPr>
          <w:p>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eastAsia="zh-CN"/>
              </w:rPr>
              <w:t>按有关法律、法规、规章和比选文件中规定的其他无效响应情形。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备注</w:t>
            </w:r>
          </w:p>
        </w:tc>
        <w:tc>
          <w:tcPr>
            <w:tcW w:w="7792" w:type="dxa"/>
            <w:gridSpan w:val="2"/>
            <w:noWrap w:val="0"/>
            <w:vAlign w:val="center"/>
          </w:tcPr>
          <w:p>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响应文件一式</w:t>
            </w:r>
            <w:r>
              <w:rPr>
                <w:rFonts w:hint="eastAsia" w:ascii="仿宋" w:hAnsi="仿宋" w:eastAsia="仿宋" w:cs="仿宋"/>
                <w:color w:val="auto"/>
                <w:szCs w:val="21"/>
                <w:highlight w:val="none"/>
                <w:lang w:eastAsia="zh-CN"/>
              </w:rPr>
              <w:t>两</w:t>
            </w:r>
            <w:r>
              <w:rPr>
                <w:rFonts w:hint="eastAsia" w:ascii="仿宋" w:hAnsi="仿宋" w:eastAsia="仿宋" w:cs="仿宋"/>
                <w:color w:val="auto"/>
                <w:szCs w:val="21"/>
                <w:highlight w:val="none"/>
              </w:rPr>
              <w:t>份，其中正本一份和副本</w:t>
            </w:r>
            <w:r>
              <w:rPr>
                <w:rFonts w:hint="eastAsia" w:ascii="仿宋" w:hAnsi="仿宋" w:eastAsia="仿宋" w:cs="仿宋"/>
                <w:color w:val="auto"/>
                <w:szCs w:val="21"/>
                <w:highlight w:val="none"/>
                <w:lang w:eastAsia="zh-CN"/>
              </w:rPr>
              <w:t>一</w:t>
            </w:r>
            <w:r>
              <w:rPr>
                <w:rFonts w:hint="eastAsia" w:ascii="仿宋" w:hAnsi="仿宋" w:eastAsia="仿宋" w:cs="仿宋"/>
                <w:color w:val="auto"/>
                <w:szCs w:val="21"/>
                <w:highlight w:val="none"/>
              </w:rPr>
              <w:t>份</w:t>
            </w:r>
          </w:p>
        </w:tc>
      </w:tr>
    </w:tbl>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文件澄清</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①</w:t>
      </w:r>
      <w:r>
        <w:rPr>
          <w:rFonts w:hint="eastAsia" w:ascii="仿宋" w:hAnsi="仿宋" w:eastAsia="仿宋" w:cs="仿宋"/>
          <w:bCs/>
          <w:color w:val="auto"/>
          <w:sz w:val="24"/>
          <w:szCs w:val="24"/>
          <w:highlight w:val="none"/>
        </w:rPr>
        <w:t>对于</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文件中含义不明确、同类问题表述不一致或者有明显文字和计算错误的内容，</w:t>
      </w:r>
      <w:r>
        <w:rPr>
          <w:rFonts w:hint="eastAsia" w:ascii="仿宋" w:hAnsi="仿宋" w:eastAsia="仿宋" w:cs="仿宋"/>
          <w:bCs/>
          <w:color w:val="auto"/>
          <w:sz w:val="24"/>
          <w:szCs w:val="24"/>
          <w:highlight w:val="none"/>
          <w:lang w:val="en-US" w:eastAsia="zh-CN"/>
        </w:rPr>
        <w:t>评审小组</w:t>
      </w:r>
      <w:r>
        <w:rPr>
          <w:rFonts w:hint="eastAsia" w:ascii="仿宋" w:hAnsi="仿宋" w:eastAsia="仿宋" w:cs="仿宋"/>
          <w:bCs/>
          <w:color w:val="auto"/>
          <w:sz w:val="24"/>
          <w:szCs w:val="24"/>
          <w:highlight w:val="none"/>
        </w:rPr>
        <w:t>应当在评审过程中发起澄清，要求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针对价格或内容做出必要的澄清、说明或补正。若因</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联系方式错误未接收短信、未接听电话或超时未进行澄清（响应）造成的不利后果由供应商自行承担。</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的澄清、说明或者补正不得超出</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文件的范围或者改变</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文件的实质性内容。</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②评审小组</w:t>
      </w:r>
      <w:r>
        <w:rPr>
          <w:rFonts w:hint="eastAsia" w:ascii="仿宋" w:hAnsi="仿宋" w:eastAsia="仿宋" w:cs="仿宋"/>
          <w:bCs/>
          <w:color w:val="auto"/>
          <w:sz w:val="24"/>
          <w:szCs w:val="24"/>
          <w:highlight w:val="none"/>
        </w:rPr>
        <w:t>不接受</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主动提出的澄清、说明或补正。</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default" w:ascii="仿宋" w:hAnsi="仿宋" w:eastAsia="仿宋" w:cs="仿宋"/>
          <w:b w:val="0"/>
          <w:bCs/>
          <w:color w:val="auto"/>
          <w:sz w:val="24"/>
          <w:szCs w:val="24"/>
          <w:highlight w:val="none"/>
          <w:lang w:val="en-US" w:eastAsia="zh-CN"/>
        </w:rPr>
      </w:pPr>
      <w:r>
        <w:rPr>
          <w:rFonts w:hint="eastAsia" w:ascii="仿宋" w:hAnsi="仿宋" w:eastAsia="仿宋" w:cs="仿宋"/>
          <w:bCs/>
          <w:color w:val="auto"/>
          <w:sz w:val="24"/>
          <w:szCs w:val="24"/>
          <w:highlight w:val="none"/>
          <w:lang w:eastAsia="zh-CN"/>
        </w:rPr>
        <w:t>③评审小组</w:t>
      </w:r>
      <w:r>
        <w:rPr>
          <w:rFonts w:hint="eastAsia" w:ascii="仿宋" w:hAnsi="仿宋" w:eastAsia="仿宋" w:cs="仿宋"/>
          <w:bCs/>
          <w:color w:val="auto"/>
          <w:sz w:val="24"/>
          <w:szCs w:val="24"/>
          <w:highlight w:val="none"/>
        </w:rPr>
        <w:t>对</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提交的澄清、说明或补正有疑问的，可以要求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进一步澄清、说明或补正。</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rPr>
        <w:t>响应文件的比较和评价</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w:t>
      </w:r>
      <w:r>
        <w:rPr>
          <w:rFonts w:hint="eastAsia" w:ascii="仿宋" w:hAnsi="仿宋" w:eastAsia="仿宋" w:cs="仿宋"/>
          <w:color w:val="auto"/>
          <w:sz w:val="24"/>
          <w:highlight w:val="none"/>
        </w:rPr>
        <w:t>审</w:t>
      </w:r>
      <w:r>
        <w:rPr>
          <w:rFonts w:hint="eastAsia" w:ascii="仿宋" w:hAnsi="仿宋" w:eastAsia="仿宋" w:cs="仿宋"/>
          <w:color w:val="auto"/>
          <w:kern w:val="0"/>
          <w:sz w:val="24"/>
          <w:highlight w:val="none"/>
        </w:rPr>
        <w:t>小组按比选文件中规定的评审方法和标准，对审查合格的响应文件的商务、技术、服务和价格进行评估，最后进行综合比较与评价。</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highlight w:val="none"/>
        </w:rPr>
        <w:t>评审小组对技术规格偏离表、服务响应偏离表的响应资料等进行评审，并填写相关表格。</w:t>
      </w:r>
    </w:p>
    <w:tbl>
      <w:tblPr>
        <w:tblStyle w:val="14"/>
        <w:tblW w:w="5000" w:type="pct"/>
        <w:jc w:val="center"/>
        <w:tblLayout w:type="autofit"/>
        <w:tblCellMar>
          <w:top w:w="0" w:type="dxa"/>
          <w:left w:w="108" w:type="dxa"/>
          <w:bottom w:w="0" w:type="dxa"/>
          <w:right w:w="108" w:type="dxa"/>
        </w:tblCellMar>
      </w:tblPr>
      <w:tblGrid>
        <w:gridCol w:w="731"/>
        <w:gridCol w:w="1193"/>
        <w:gridCol w:w="1253"/>
        <w:gridCol w:w="5345"/>
      </w:tblGrid>
      <w:tr>
        <w:tblPrEx>
          <w:tblCellMar>
            <w:top w:w="0" w:type="dxa"/>
            <w:left w:w="108" w:type="dxa"/>
            <w:bottom w:w="0" w:type="dxa"/>
            <w:right w:w="108" w:type="dxa"/>
          </w:tblCellMar>
        </w:tblPrEx>
        <w:trPr>
          <w:trHeight w:val="434"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评审标准（</w:t>
            </w:r>
            <w:r>
              <w:rPr>
                <w:rFonts w:hint="eastAsia" w:ascii="仿宋" w:hAnsi="仿宋" w:eastAsia="仿宋" w:cs="仿宋"/>
                <w:color w:val="auto"/>
                <w:kern w:val="0"/>
                <w:sz w:val="24"/>
                <w:szCs w:val="24"/>
                <w:highlight w:val="none"/>
                <w:lang w:val="en-US" w:eastAsia="zh-CN"/>
              </w:rPr>
              <w:t>100分</w:t>
            </w:r>
            <w:r>
              <w:rPr>
                <w:rFonts w:hint="eastAsia" w:ascii="仿宋" w:hAnsi="仿宋" w:eastAsia="仿宋" w:cs="仿宋"/>
                <w:color w:val="auto"/>
                <w:kern w:val="0"/>
                <w:sz w:val="24"/>
                <w:szCs w:val="24"/>
                <w:highlight w:val="none"/>
                <w:lang w:eastAsia="zh-CN"/>
              </w:rPr>
              <w:t>）</w:t>
            </w:r>
          </w:p>
        </w:tc>
      </w:tr>
      <w:tr>
        <w:tblPrEx>
          <w:tblCellMar>
            <w:top w:w="0" w:type="dxa"/>
            <w:left w:w="108" w:type="dxa"/>
            <w:bottom w:w="0" w:type="dxa"/>
            <w:right w:w="108" w:type="dxa"/>
          </w:tblCellMar>
        </w:tblPrEx>
        <w:trPr>
          <w:trHeight w:val="576" w:hRule="atLeast"/>
          <w:jc w:val="center"/>
        </w:trPr>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评审内容</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分值</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评分细则</w:t>
            </w:r>
          </w:p>
        </w:tc>
      </w:tr>
      <w:tr>
        <w:tblPrEx>
          <w:tblCellMar>
            <w:top w:w="0" w:type="dxa"/>
            <w:left w:w="108" w:type="dxa"/>
            <w:bottom w:w="0" w:type="dxa"/>
            <w:right w:w="108" w:type="dxa"/>
          </w:tblCellMar>
        </w:tblPrEx>
        <w:trPr>
          <w:trHeight w:val="864" w:hRule="atLeast"/>
          <w:jc w:val="center"/>
        </w:trPr>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技术响应程度</w:t>
            </w:r>
            <w:r>
              <w:rPr>
                <w:rFonts w:hint="eastAsia" w:ascii="仿宋" w:hAnsi="仿宋" w:eastAsia="仿宋" w:cs="仿宋"/>
                <w:color w:val="auto"/>
                <w:sz w:val="24"/>
                <w:szCs w:val="24"/>
                <w:highlight w:val="none"/>
                <w:lang w:val="en-US" w:eastAsia="zh-CN"/>
              </w:rPr>
              <w:t>(带▲号条款）</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5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完全满足采购人需求中带▲的重要技术参数的，得</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lang w:eastAsia="zh-CN"/>
              </w:rPr>
              <w:t>分；一项不满足得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分；两项不满足得</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分；如此类推，每不满足一项带▲的重要技术参数的得分减少</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分，当达到</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项或以上时，视为严重偏离本项不得分。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注：在每项带“▲”号的技术条款中，若要求提供佐证材料的则应按要求提供，未按采购文件要求提供证明材料的技术参数，以响应文件格式技术和服务要求响应表为准。</w:t>
            </w:r>
          </w:p>
        </w:tc>
      </w:tr>
      <w:tr>
        <w:tblPrEx>
          <w:tblCellMar>
            <w:top w:w="0" w:type="dxa"/>
            <w:left w:w="108" w:type="dxa"/>
            <w:bottom w:w="0" w:type="dxa"/>
            <w:right w:w="108" w:type="dxa"/>
          </w:tblCellMar>
        </w:tblPrEx>
        <w:trPr>
          <w:trHeight w:val="90" w:hRule="atLeast"/>
          <w:jc w:val="center"/>
        </w:trPr>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技术响应程度(非▲号条款）</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5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完全满足技术参数要求中不带▲号的一般技术参数，得6分；有一项不带▲号条款负偏离，得5分；有二项不带▲号条款负偏离，得4分；有三项不带▲号条款负偏离，得3分；以此类推，当不带▲号条款负偏离达到6项时，视为严重偏离此评分项不得分。采购文件未要求提供证明材料的技术参数，以响应文件格式技术要求响应表为准。</w:t>
            </w:r>
          </w:p>
        </w:tc>
      </w:tr>
      <w:tr>
        <w:tblPrEx>
          <w:tblCellMar>
            <w:top w:w="0" w:type="dxa"/>
            <w:left w:w="108" w:type="dxa"/>
            <w:bottom w:w="0" w:type="dxa"/>
            <w:right w:w="108" w:type="dxa"/>
          </w:tblCellMar>
        </w:tblPrEx>
        <w:trPr>
          <w:trHeight w:val="90" w:hRule="atLeast"/>
          <w:jc w:val="center"/>
        </w:trPr>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质量保障措施</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5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US" w:eastAsia="zh-CN"/>
              </w:rPr>
              <w:t>根据供应商所提供的质量保障措施方案（包括但不限于以下内容：①</w:t>
            </w:r>
            <w:r>
              <w:rPr>
                <w:rFonts w:hint="eastAsia" w:ascii="仿宋" w:hAnsi="仿宋" w:eastAsia="仿宋" w:cs="仿宋"/>
                <w:color w:val="auto"/>
                <w:sz w:val="24"/>
                <w:szCs w:val="24"/>
                <w:highlight w:val="none"/>
                <w:lang w:val="en-GB" w:eastAsia="zh-CN"/>
              </w:rPr>
              <w:t>总体质量控制：评估质量控制方案是否全面，是否能够覆盖各种情况发生，确保服务期间对于问题处理、需求开发等每一部分都有严格的质量控制措施。</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②项目进度控制：评估项目进度控制措施是否清晰，是否合理分配资源、明确关键节点，并能及时调整进度以确保规划内容按时完成。</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③服务过程中质量管理方案：评估服务过程中质量管理的方案是否详细，包括质量检查、验收、反馈和改进等环节的具体安排。</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④服务过程中质量管理制度：评估服务过程中质量管理制度的健全性，是否包含质量标准、检验方法、责任分配等方面的内容，以保证服务质量持续达标。</w:t>
            </w:r>
            <w:r>
              <w:rPr>
                <w:rFonts w:hint="eastAsia" w:ascii="仿宋" w:hAnsi="仿宋" w:eastAsia="仿宋" w:cs="仿宋"/>
                <w:color w:val="auto"/>
                <w:sz w:val="24"/>
                <w:szCs w:val="24"/>
                <w:highlight w:val="none"/>
                <w:lang w:val="en-US" w:eastAsia="zh-CN"/>
              </w:rPr>
              <w:t>）进行评价：</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GB" w:eastAsia="zh-CN"/>
              </w:rPr>
              <w:t>提供完整且详细的保障措施，得10分；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GB" w:eastAsia="zh-CN"/>
              </w:rPr>
              <w:t>提供清晰的保障措施，但不够详细，得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en-GB" w:eastAsia="zh-CN"/>
              </w:rPr>
              <w:t>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en-GB" w:eastAsia="zh-CN"/>
              </w:rPr>
              <w:t>提供基础的保障措施，但内容简略，得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GB" w:eastAsia="zh-CN"/>
              </w:rPr>
              <w:t>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en-GB" w:eastAsia="zh-CN"/>
              </w:rPr>
              <w:t>提供的保障措施不完整，模糊质量保障或不提供方案不得分。</w:t>
            </w:r>
          </w:p>
        </w:tc>
      </w:tr>
      <w:tr>
        <w:tblPrEx>
          <w:tblCellMar>
            <w:top w:w="0" w:type="dxa"/>
            <w:left w:w="108" w:type="dxa"/>
            <w:bottom w:w="0" w:type="dxa"/>
            <w:right w:w="108" w:type="dxa"/>
          </w:tblCellMar>
        </w:tblPrEx>
        <w:trPr>
          <w:trHeight w:val="90" w:hRule="atLeast"/>
          <w:jc w:val="center"/>
        </w:trPr>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eastAsia="zh-CN"/>
              </w:rPr>
              <w:t>服务方案</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5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根据供应商提供的项目方案（包括但不限于实施改善项目方案、项目实施保障、预期成果等）进行评分：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1.方案合理性、完整性强，具备可行性，完全满足且优于采购需求的得10分；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2.方案合理性、完整性较强，比较具备可行性，完全满足采购需求的得6分；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3.方案合理性、完整性较差，不具备可行性，不能完全满足采购需求的得2分；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US" w:eastAsia="zh-CN"/>
              </w:rPr>
              <w:t>4.未提供实施方案不得分。</w:t>
            </w:r>
          </w:p>
        </w:tc>
      </w:tr>
      <w:tr>
        <w:tblPrEx>
          <w:tblCellMar>
            <w:top w:w="0" w:type="dxa"/>
            <w:left w:w="108" w:type="dxa"/>
            <w:bottom w:w="0" w:type="dxa"/>
            <w:right w:w="108" w:type="dxa"/>
          </w:tblCellMar>
        </w:tblPrEx>
        <w:trPr>
          <w:trHeight w:val="725" w:hRule="atLeast"/>
          <w:jc w:val="center"/>
        </w:trPr>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综合实力</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strike w:val="0"/>
                <w:dstrike w:val="0"/>
                <w:color w:val="auto"/>
                <w:sz w:val="24"/>
                <w:szCs w:val="24"/>
                <w:highlight w:val="none"/>
                <w:lang w:val="en-US" w:eastAsia="zh-CN"/>
              </w:rPr>
              <w:t>8</w:t>
            </w:r>
          </w:p>
        </w:tc>
        <w:tc>
          <w:tcPr>
            <w:tcW w:w="5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US" w:eastAsia="zh-CN"/>
              </w:rPr>
              <w:t>1.供应商拥</w:t>
            </w:r>
            <w:r>
              <w:rPr>
                <w:rFonts w:hint="eastAsia" w:ascii="仿宋" w:hAnsi="仿宋" w:eastAsia="仿宋" w:cs="仿宋"/>
                <w:color w:val="auto"/>
                <w:sz w:val="24"/>
                <w:szCs w:val="24"/>
                <w:highlight w:val="none"/>
                <w:lang w:val="en-GB" w:eastAsia="zh-CN"/>
              </w:rPr>
              <w:t>有与本项目相关系统的</w:t>
            </w:r>
            <w:r>
              <w:rPr>
                <w:rFonts w:hint="eastAsia" w:ascii="仿宋" w:hAnsi="仿宋" w:eastAsia="仿宋" w:cs="仿宋"/>
                <w:color w:val="auto"/>
                <w:sz w:val="24"/>
                <w:szCs w:val="24"/>
                <w:highlight w:val="none"/>
                <w:lang w:val="en-US" w:eastAsia="zh-CN"/>
              </w:rPr>
              <w:t>《计算机软件著作权登记证书》</w:t>
            </w:r>
            <w:r>
              <w:rPr>
                <w:rFonts w:hint="eastAsia" w:ascii="仿宋" w:hAnsi="仿宋" w:eastAsia="仿宋" w:cs="仿宋"/>
                <w:color w:val="auto"/>
                <w:sz w:val="24"/>
                <w:szCs w:val="24"/>
                <w:highlight w:val="none"/>
                <w:lang w:val="en-GB" w:eastAsia="zh-CN"/>
              </w:rPr>
              <w:t>或授权证书，满足条件得5分，不提供不得分得5分。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GB" w:eastAsia="zh-CN"/>
              </w:rPr>
              <w:t>注：需提供</w:t>
            </w:r>
            <w:r>
              <w:rPr>
                <w:rFonts w:hint="eastAsia" w:ascii="仿宋" w:hAnsi="仿宋" w:eastAsia="仿宋" w:cs="仿宋"/>
                <w:color w:val="auto"/>
                <w:sz w:val="24"/>
                <w:szCs w:val="24"/>
                <w:highlight w:val="none"/>
                <w:lang w:val="en-US" w:eastAsia="zh-CN"/>
              </w:rPr>
              <w:t>《计算机软件著作权登记证书》</w:t>
            </w:r>
            <w:r>
              <w:rPr>
                <w:rFonts w:hint="eastAsia" w:ascii="仿宋" w:hAnsi="仿宋" w:eastAsia="仿宋" w:cs="仿宋"/>
                <w:color w:val="auto"/>
                <w:sz w:val="24"/>
                <w:szCs w:val="24"/>
                <w:highlight w:val="none"/>
                <w:lang w:val="en-GB" w:eastAsia="zh-CN"/>
              </w:rPr>
              <w:t>或授权书复印件并加盖公章。</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2.供应商具备以下有效证书的，每提供一项，得1分，最高得3分，不提供不得分：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GB" w:eastAsia="zh-CN"/>
              </w:rPr>
              <w:t>（1）</w:t>
            </w:r>
            <w:r>
              <w:rPr>
                <w:rFonts w:hint="eastAsia" w:ascii="仿宋" w:hAnsi="仿宋" w:eastAsia="仿宋" w:cs="仿宋"/>
                <w:color w:val="auto"/>
                <w:sz w:val="24"/>
                <w:szCs w:val="24"/>
                <w:highlight w:val="none"/>
                <w:lang w:val="en-US" w:eastAsia="zh-CN"/>
              </w:rPr>
              <w:t>具有质量管理体系认证证书；</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GB"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GB" w:eastAsia="zh-CN"/>
              </w:rPr>
              <w:t>）</w:t>
            </w:r>
            <w:r>
              <w:rPr>
                <w:rFonts w:hint="eastAsia" w:ascii="仿宋" w:hAnsi="仿宋" w:eastAsia="仿宋" w:cs="仿宋"/>
                <w:color w:val="auto"/>
                <w:sz w:val="24"/>
                <w:szCs w:val="24"/>
                <w:highlight w:val="none"/>
                <w:lang w:val="en-US" w:eastAsia="zh-CN"/>
              </w:rPr>
              <w:t>具有环境管理体系认证证书；</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GB"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en-GB" w:eastAsia="zh-CN"/>
              </w:rPr>
              <w:t>）</w:t>
            </w:r>
            <w:r>
              <w:rPr>
                <w:rFonts w:hint="eastAsia" w:ascii="仿宋" w:hAnsi="仿宋" w:eastAsia="仿宋" w:cs="仿宋"/>
                <w:color w:val="auto"/>
                <w:sz w:val="24"/>
                <w:szCs w:val="24"/>
                <w:highlight w:val="none"/>
                <w:lang w:val="en-US" w:eastAsia="zh-CN"/>
              </w:rPr>
              <w:t>具有职业健康安全管理体系认证证书。</w:t>
            </w:r>
          </w:p>
          <w:p>
            <w:pPr>
              <w:keepNext w:val="0"/>
              <w:keepLines w:val="0"/>
              <w:widowControl/>
              <w:suppressLineNumbers w:val="0"/>
              <w:spacing w:before="0" w:beforeAutospacing="0" w:after="0" w:afterAutospacing="0"/>
              <w:ind w:left="0" w:right="0"/>
              <w:jc w:val="both"/>
              <w:rPr>
                <w:rFonts w:hint="eastAsia"/>
                <w:lang w:val="en-GB" w:eastAsia="zh-CN"/>
              </w:rPr>
            </w:pPr>
            <w:r>
              <w:rPr>
                <w:rFonts w:hint="eastAsia" w:ascii="仿宋" w:hAnsi="仿宋" w:eastAsia="仿宋" w:cs="仿宋"/>
                <w:color w:val="auto"/>
                <w:sz w:val="24"/>
                <w:szCs w:val="24"/>
                <w:highlight w:val="none"/>
                <w:lang w:val="en-US" w:eastAsia="zh-CN"/>
              </w:rPr>
              <w:t>注：须同时提供以上证书扫描件及国家认证认可监督管理委员的</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全国认证认可信息公共服务平台</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http://cx.cnca.cn</w:t>
            </w:r>
            <w:r>
              <w:rPr>
                <w:rFonts w:hint="eastAsia" w:ascii="仿宋" w:hAnsi="仿宋" w:eastAsia="仿宋" w:cs="仿宋"/>
                <w:color w:val="auto"/>
                <w:sz w:val="24"/>
                <w:szCs w:val="24"/>
                <w:highlight w:val="none"/>
                <w:lang w:val="en-US" w:eastAsia="zh-CN"/>
              </w:rPr>
              <w:t>）查询结果截图，失效、撤销或暂停的对应证书项不得分。因企业成立时间不足，导致未能取得相关认证且提供书面说明的，可获得对应证书的分值。</w:t>
            </w:r>
          </w:p>
        </w:tc>
      </w:tr>
      <w:tr>
        <w:tblPrEx>
          <w:tblCellMar>
            <w:top w:w="0" w:type="dxa"/>
            <w:left w:w="108" w:type="dxa"/>
            <w:bottom w:w="0" w:type="dxa"/>
            <w:right w:w="108" w:type="dxa"/>
          </w:tblCellMar>
        </w:tblPrEx>
        <w:trPr>
          <w:trHeight w:val="377" w:hRule="atLeast"/>
          <w:jc w:val="center"/>
        </w:trPr>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Hans"/>
              </w:rPr>
              <w:t>项目团队</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5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u w:val="none"/>
                <w:lang w:val="en-US" w:eastAsia="zh-CN" w:bidi="ar-SA"/>
              </w:rPr>
              <w:t>根据供应商</w:t>
            </w:r>
            <w:r>
              <w:rPr>
                <w:rFonts w:hint="default" w:ascii="仿宋" w:hAnsi="仿宋" w:eastAsia="仿宋" w:cs="仿宋"/>
                <w:color w:val="auto"/>
                <w:kern w:val="0"/>
                <w:sz w:val="24"/>
                <w:szCs w:val="24"/>
                <w:highlight w:val="none"/>
                <w:u w:val="none"/>
                <w:lang w:val="en-US" w:eastAsia="zh-CN" w:bidi="ar-SA"/>
              </w:rPr>
              <w:t>拟派项目服务团队</w:t>
            </w:r>
            <w:r>
              <w:rPr>
                <w:rFonts w:hint="eastAsia" w:ascii="仿宋" w:hAnsi="仿宋" w:eastAsia="仿宋" w:cs="仿宋"/>
                <w:color w:val="auto"/>
                <w:kern w:val="0"/>
                <w:sz w:val="24"/>
                <w:szCs w:val="24"/>
                <w:highlight w:val="none"/>
                <w:u w:val="none"/>
                <w:lang w:val="en-US" w:eastAsia="zh-CN" w:bidi="ar-SA"/>
              </w:rPr>
              <w:t>进行评审</w:t>
            </w:r>
            <w:r>
              <w:rPr>
                <w:rFonts w:hint="eastAsia" w:ascii="仿宋" w:hAnsi="仿宋" w:eastAsia="仿宋" w:cs="仿宋"/>
                <w:color w:val="auto"/>
                <w:sz w:val="24"/>
                <w:szCs w:val="24"/>
                <w:highlight w:val="none"/>
                <w:lang w:val="en-US" w:eastAsia="zh-CN"/>
              </w:rPr>
              <w:t>：</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GB" w:eastAsia="zh-CN"/>
              </w:rPr>
              <w:t>拟派本项目负责人（1人），</w:t>
            </w:r>
            <w:r>
              <w:rPr>
                <w:rFonts w:hint="eastAsia" w:ascii="仿宋" w:hAnsi="仿宋" w:eastAsia="仿宋" w:cs="仿宋"/>
                <w:color w:val="auto"/>
                <w:kern w:val="0"/>
                <w:sz w:val="24"/>
                <w:szCs w:val="24"/>
                <w:highlight w:val="none"/>
                <w:u w:val="none"/>
                <w:lang w:val="en-GB" w:eastAsia="zh-CN" w:bidi="ar-SA"/>
              </w:rPr>
              <w:t>本项最高得</w:t>
            </w:r>
            <w:r>
              <w:rPr>
                <w:rFonts w:hint="eastAsia" w:ascii="仿宋" w:hAnsi="仿宋" w:eastAsia="仿宋" w:cs="仿宋"/>
                <w:color w:val="auto"/>
                <w:kern w:val="0"/>
                <w:sz w:val="24"/>
                <w:szCs w:val="24"/>
                <w:highlight w:val="none"/>
                <w:u w:val="none"/>
                <w:lang w:val="en-US" w:eastAsia="zh-CN" w:bidi="ar-SA"/>
              </w:rPr>
              <w:t>4分</w:t>
            </w:r>
            <w:r>
              <w:rPr>
                <w:rFonts w:hint="eastAsia" w:ascii="仿宋" w:hAnsi="仿宋" w:eastAsia="仿宋" w:cs="仿宋"/>
                <w:color w:val="auto"/>
                <w:sz w:val="24"/>
                <w:szCs w:val="24"/>
                <w:highlight w:val="none"/>
                <w:lang w:val="en-GB" w:eastAsia="zh-CN"/>
              </w:rPr>
              <w:t>：</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GB"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GB" w:eastAsia="zh-CN"/>
              </w:rPr>
              <w:t>）具备本科（及以上）学历，得</w:t>
            </w:r>
            <w:r>
              <w:rPr>
                <w:rFonts w:hint="eastAsia" w:ascii="仿宋" w:hAnsi="仿宋" w:eastAsia="仿宋" w:cs="仿宋"/>
                <w:color w:val="auto"/>
                <w:sz w:val="24"/>
                <w:szCs w:val="24"/>
                <w:highlight w:val="none"/>
                <w:lang w:val="en-US" w:eastAsia="zh-CN"/>
              </w:rPr>
              <w:t>2分；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GB" w:eastAsia="zh-CN"/>
              </w:rPr>
              <w:t>具备人力资源和社会保障部门颁发的信息系统项目管理师或软件设计师，得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GB" w:eastAsia="zh-CN"/>
              </w:rPr>
              <w:t>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GB" w:eastAsia="zh-CN"/>
              </w:rPr>
              <w:t>项目团队成员（不含项目负责人），本项最高得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en-GB" w:eastAsia="zh-CN"/>
              </w:rPr>
              <w:t>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GB"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GB" w:eastAsia="zh-CN"/>
              </w:rPr>
              <w:t>）具备本科（及以上）学历，</w:t>
            </w:r>
            <w:r>
              <w:rPr>
                <w:rFonts w:hint="eastAsia" w:ascii="仿宋" w:hAnsi="仿宋" w:eastAsia="仿宋" w:cs="仿宋"/>
                <w:color w:val="auto"/>
                <w:kern w:val="0"/>
                <w:sz w:val="24"/>
                <w:szCs w:val="24"/>
                <w:highlight w:val="none"/>
                <w:u w:val="none"/>
                <w:lang w:val="en-GB" w:eastAsia="zh-CN" w:bidi="ar-SA"/>
              </w:rPr>
              <w:t>每提供一人得</w:t>
            </w:r>
            <w:r>
              <w:rPr>
                <w:rFonts w:hint="eastAsia" w:ascii="仿宋" w:hAnsi="仿宋" w:eastAsia="仿宋" w:cs="仿宋"/>
                <w:color w:val="auto"/>
                <w:kern w:val="0"/>
                <w:sz w:val="24"/>
                <w:szCs w:val="24"/>
                <w:highlight w:val="none"/>
                <w:u w:val="none"/>
                <w:lang w:val="en-US" w:eastAsia="zh-CN" w:bidi="ar-SA"/>
              </w:rPr>
              <w:t>1分，最高得3分</w:t>
            </w:r>
            <w:r>
              <w:rPr>
                <w:rFonts w:hint="eastAsia" w:ascii="仿宋" w:hAnsi="仿宋" w:eastAsia="仿宋" w:cs="仿宋"/>
                <w:color w:val="auto"/>
                <w:sz w:val="24"/>
                <w:szCs w:val="24"/>
                <w:highlight w:val="none"/>
                <w:lang w:val="en-US" w:eastAsia="zh-CN"/>
              </w:rPr>
              <w:t>；</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GB" w:eastAsia="zh-CN"/>
              </w:rPr>
              <w:t>具备人力资源和社会保障部门颁发的系统集成项目管理工程师或软件设计师或数据库系统工程师资质的，</w:t>
            </w:r>
            <w:r>
              <w:rPr>
                <w:rFonts w:hint="eastAsia" w:ascii="仿宋" w:hAnsi="仿宋" w:eastAsia="仿宋" w:cs="仿宋"/>
                <w:color w:val="auto"/>
                <w:kern w:val="0"/>
                <w:sz w:val="24"/>
                <w:szCs w:val="24"/>
                <w:highlight w:val="none"/>
                <w:u w:val="none"/>
                <w:lang w:val="en-GB" w:eastAsia="zh-CN" w:bidi="ar-SA"/>
              </w:rPr>
              <w:t>每提供一人得</w:t>
            </w:r>
            <w:r>
              <w:rPr>
                <w:rFonts w:hint="eastAsia" w:ascii="仿宋" w:hAnsi="仿宋" w:eastAsia="仿宋" w:cs="仿宋"/>
                <w:color w:val="auto"/>
                <w:kern w:val="0"/>
                <w:sz w:val="24"/>
                <w:szCs w:val="24"/>
                <w:highlight w:val="none"/>
                <w:u w:val="none"/>
                <w:lang w:val="en-US" w:eastAsia="zh-CN" w:bidi="ar-SA"/>
              </w:rPr>
              <w:t>1分，最高得3分</w:t>
            </w:r>
            <w:r>
              <w:rPr>
                <w:rFonts w:hint="eastAsia" w:ascii="仿宋" w:hAnsi="仿宋" w:eastAsia="仿宋" w:cs="仿宋"/>
                <w:color w:val="auto"/>
                <w:sz w:val="24"/>
                <w:szCs w:val="24"/>
                <w:highlight w:val="none"/>
                <w:lang w:val="en-US" w:eastAsia="zh-CN"/>
              </w:rPr>
              <w:t>。</w:t>
            </w:r>
          </w:p>
          <w:p>
            <w:pPr>
              <w:keepNext w:val="0"/>
              <w:keepLines w:val="0"/>
              <w:widowControl/>
              <w:suppressLineNumbers w:val="0"/>
              <w:spacing w:before="0" w:beforeAutospacing="0" w:after="0" w:afterAutospacing="0"/>
              <w:ind w:left="0" w:right="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GB" w:eastAsia="zh-CN"/>
              </w:rPr>
              <w:t>注：①序号</w:t>
            </w:r>
            <w:r>
              <w:rPr>
                <w:rFonts w:hint="eastAsia" w:ascii="仿宋" w:hAnsi="仿宋" w:eastAsia="仿宋" w:cs="仿宋"/>
                <w:color w:val="auto"/>
                <w:sz w:val="24"/>
                <w:szCs w:val="24"/>
                <w:highlight w:val="none"/>
                <w:lang w:val="en-US" w:eastAsia="zh-CN"/>
              </w:rPr>
              <w:t>1、序号2可以同一个人具备；②</w:t>
            </w:r>
            <w:r>
              <w:rPr>
                <w:rFonts w:hint="eastAsia" w:ascii="仿宋" w:hAnsi="仿宋" w:eastAsia="仿宋" w:cs="仿宋"/>
                <w:color w:val="auto"/>
                <w:sz w:val="24"/>
                <w:szCs w:val="24"/>
                <w:highlight w:val="none"/>
                <w:lang w:val="en-GB" w:eastAsia="zh-CN"/>
              </w:rPr>
              <w:t>需提供上述人员在响应截止日前近半年内任意1个月缴纳的社保明细（若公司成立未到半年，按公司成立实际时间提供实缴社保明细），并由单位盖章，以及相关证书复印件作为凭证；③无提供或提供的材料不符合要求的不得分。</w:t>
            </w:r>
          </w:p>
        </w:tc>
      </w:tr>
      <w:tr>
        <w:tblPrEx>
          <w:tblCellMar>
            <w:top w:w="0" w:type="dxa"/>
            <w:left w:w="108" w:type="dxa"/>
            <w:bottom w:w="0" w:type="dxa"/>
            <w:right w:w="108" w:type="dxa"/>
          </w:tblCellMar>
        </w:tblPrEx>
        <w:trPr>
          <w:trHeight w:val="692" w:hRule="atLeast"/>
          <w:jc w:val="center"/>
        </w:trPr>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售后服务方案</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strike w:val="0"/>
                <w:dstrike w:val="0"/>
                <w:color w:val="auto"/>
                <w:sz w:val="24"/>
                <w:szCs w:val="24"/>
                <w:highlight w:val="none"/>
                <w:lang w:val="en-US" w:eastAsia="zh-CN"/>
              </w:rPr>
              <w:t>8</w:t>
            </w:r>
          </w:p>
        </w:tc>
        <w:tc>
          <w:tcPr>
            <w:tcW w:w="5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对</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en-GB" w:eastAsia="zh-CN"/>
              </w:rPr>
              <w:t>提供的售后服务方案（包括但不限于质保期、维护保养方案、应急维修时间、维修的及时性、安排的合理性等）是否完善具体，各阶段服务计划是否详尽进行综合评审：</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GB" w:eastAsia="zh-Hans"/>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GB" w:eastAsia="zh-Hans"/>
              </w:rPr>
              <w:t>方案详细周全、科学合理、针对性强的，得</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val="en-GB" w:eastAsia="zh-Hans"/>
              </w:rPr>
              <w:t>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GB" w:eastAsia="zh-Hans"/>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GB" w:eastAsia="zh-Hans"/>
              </w:rPr>
              <w:t>方案基本合理、清晰可行的，得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en-GB" w:eastAsia="zh-Hans"/>
              </w:rPr>
              <w:t>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GB" w:eastAsia="zh-Hans"/>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en-GB" w:eastAsia="zh-Hans"/>
              </w:rPr>
              <w:t>方案较简略、针对性不强的，得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en-GB" w:eastAsia="zh-Hans"/>
              </w:rPr>
              <w:t>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GB" w:eastAsia="zh-Hans"/>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en-GB" w:eastAsia="zh-Hans"/>
              </w:rPr>
              <w:t>未提供</w:t>
            </w:r>
            <w:r>
              <w:rPr>
                <w:rFonts w:hint="eastAsia" w:ascii="仿宋" w:hAnsi="仿宋" w:eastAsia="仿宋" w:cs="仿宋"/>
                <w:color w:val="auto"/>
                <w:sz w:val="24"/>
                <w:szCs w:val="24"/>
                <w:highlight w:val="none"/>
                <w:lang w:val="en-GB" w:eastAsia="zh-CN"/>
              </w:rPr>
              <w:t>不得</w:t>
            </w:r>
            <w:r>
              <w:rPr>
                <w:rFonts w:hint="eastAsia" w:ascii="仿宋" w:hAnsi="仿宋" w:eastAsia="仿宋" w:cs="仿宋"/>
                <w:color w:val="auto"/>
                <w:sz w:val="24"/>
                <w:szCs w:val="24"/>
                <w:highlight w:val="none"/>
                <w:lang w:val="en-GB" w:eastAsia="zh-Hans"/>
              </w:rPr>
              <w:t>分。</w:t>
            </w:r>
          </w:p>
        </w:tc>
      </w:tr>
      <w:tr>
        <w:tblPrEx>
          <w:tblCellMar>
            <w:top w:w="0" w:type="dxa"/>
            <w:left w:w="108" w:type="dxa"/>
            <w:bottom w:w="0" w:type="dxa"/>
            <w:right w:w="108" w:type="dxa"/>
          </w:tblCellMar>
        </w:tblPrEx>
        <w:trPr>
          <w:trHeight w:val="1750" w:hRule="atLeast"/>
          <w:jc w:val="center"/>
        </w:trPr>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培训方案</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strike w:val="0"/>
                <w:dstrike w:val="0"/>
                <w:color w:val="auto"/>
                <w:sz w:val="24"/>
                <w:szCs w:val="24"/>
                <w:highlight w:val="none"/>
                <w:lang w:val="en-US" w:eastAsia="zh-CN"/>
              </w:rPr>
              <w:t>8</w:t>
            </w:r>
          </w:p>
        </w:tc>
        <w:tc>
          <w:tcPr>
            <w:tcW w:w="5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供应商能够针对本次项目提供出完善的培训体系及培训方案，能够为采购人提供专业的培训（</w:t>
            </w:r>
            <w:r>
              <w:rPr>
                <w:rFonts w:hint="eastAsia" w:ascii="仿宋" w:hAnsi="仿宋" w:eastAsia="仿宋" w:cs="仿宋"/>
                <w:color w:val="auto"/>
                <w:sz w:val="24"/>
                <w:highlight w:val="none"/>
                <w:lang w:val="en-US" w:eastAsia="zh-CN"/>
              </w:rPr>
              <w:t>包括但不限于培训计划、培训内容及列明培训时间、地点</w:t>
            </w:r>
            <w:r>
              <w:rPr>
                <w:rFonts w:hint="eastAsia" w:ascii="仿宋" w:hAnsi="仿宋" w:eastAsia="仿宋" w:cs="仿宋"/>
                <w:color w:val="auto"/>
                <w:sz w:val="24"/>
                <w:szCs w:val="24"/>
                <w:highlight w:val="none"/>
                <w:lang w:val="en-US" w:eastAsia="zh-CN"/>
              </w:rPr>
              <w:t>）。</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1.培训方案详细，可操作性强，得8分；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2.培训方案较详细，有一定的操作性，得6分；</w:t>
            </w:r>
          </w:p>
          <w:p>
            <w:pPr>
              <w:keepNext w:val="0"/>
              <w:keepLines w:val="0"/>
              <w:widowControl/>
              <w:suppressLineNumbers w:val="0"/>
              <w:spacing w:before="0" w:beforeAutospacing="0" w:after="0" w:afterAutospacing="0"/>
              <w:ind w:left="0" w:right="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3.培训方案较粗略，可操作性不强，得4分；</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en-GB" w:eastAsia="zh-Hans"/>
              </w:rPr>
              <w:t>未提供</w:t>
            </w:r>
            <w:r>
              <w:rPr>
                <w:rFonts w:hint="eastAsia" w:ascii="仿宋" w:hAnsi="仿宋" w:eastAsia="仿宋" w:cs="仿宋"/>
                <w:color w:val="auto"/>
                <w:sz w:val="24"/>
                <w:szCs w:val="24"/>
                <w:highlight w:val="none"/>
                <w:lang w:val="en-GB" w:eastAsia="zh-CN"/>
              </w:rPr>
              <w:t>不得</w:t>
            </w:r>
            <w:r>
              <w:rPr>
                <w:rFonts w:hint="eastAsia" w:ascii="仿宋" w:hAnsi="仿宋" w:eastAsia="仿宋" w:cs="仿宋"/>
                <w:color w:val="auto"/>
                <w:sz w:val="24"/>
                <w:szCs w:val="24"/>
                <w:highlight w:val="none"/>
                <w:lang w:val="en-GB" w:eastAsia="zh-Hans"/>
              </w:rPr>
              <w:t>分。</w:t>
            </w:r>
          </w:p>
        </w:tc>
      </w:tr>
      <w:tr>
        <w:tblPrEx>
          <w:tblCellMar>
            <w:top w:w="0" w:type="dxa"/>
            <w:left w:w="108" w:type="dxa"/>
            <w:bottom w:w="0" w:type="dxa"/>
            <w:right w:w="108" w:type="dxa"/>
          </w:tblCellMar>
        </w:tblPrEx>
        <w:trPr>
          <w:trHeight w:val="676" w:hRule="atLeast"/>
          <w:jc w:val="center"/>
        </w:trPr>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同类业绩</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strike w:val="0"/>
                <w:dstrike w:val="0"/>
                <w:color w:val="auto"/>
                <w:sz w:val="24"/>
                <w:szCs w:val="24"/>
                <w:highlight w:val="none"/>
                <w:lang w:val="en-US" w:eastAsia="zh-CN"/>
              </w:rPr>
              <w:t>8</w:t>
            </w:r>
          </w:p>
        </w:tc>
        <w:tc>
          <w:tcPr>
            <w:tcW w:w="5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供应商提供2022年1月1日至今承担过的同类业绩进行评分，每提供一个，得2分，满分</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分。</w:t>
            </w:r>
          </w:p>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注：同类业绩证明文件是中标/成交通知书或合同关键页的复印件或扫描件（合同关键页是指包括：①能显示服务相关信息；②签订合同双方的单位名称、合同项目名称；③签订合同双方的签章、盖章及签订日期），无提供不得分。</w:t>
            </w:r>
          </w:p>
        </w:tc>
      </w:tr>
      <w:tr>
        <w:tblPrEx>
          <w:tblCellMar>
            <w:top w:w="0" w:type="dxa"/>
            <w:left w:w="108" w:type="dxa"/>
            <w:bottom w:w="0" w:type="dxa"/>
            <w:right w:w="108" w:type="dxa"/>
          </w:tblCellMar>
        </w:tblPrEx>
        <w:trPr>
          <w:trHeight w:val="676" w:hRule="atLeast"/>
          <w:jc w:val="center"/>
        </w:trPr>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报价得分</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c>
          <w:tcPr>
            <w:tcW w:w="5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报价得分＝（</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基准价/</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报价）×价格分值</w:t>
            </w:r>
          </w:p>
          <w:p>
            <w:pPr>
              <w:keepNext w:val="0"/>
              <w:keepLines w:val="0"/>
              <w:widowControl/>
              <w:suppressLineNumbers w:val="0"/>
              <w:spacing w:before="0" w:beforeAutospacing="0" w:after="0" w:afterAutospacing="0"/>
              <w:ind w:left="0" w:right="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【注：满足</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文件要求且</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价格最低的</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报价为</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基准价。】最低报价不是</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的唯一依据。因落实政府采购政策进行价格调整的，以调整后的价格计算</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基准价和</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报价。</w:t>
            </w:r>
          </w:p>
        </w:tc>
      </w:tr>
    </w:tbl>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（7）</w:t>
      </w:r>
      <w:r>
        <w:rPr>
          <w:rFonts w:hint="eastAsia" w:ascii="仿宋" w:hAnsi="仿宋" w:eastAsia="仿宋" w:cs="仿宋"/>
          <w:b w:val="0"/>
          <w:bCs/>
          <w:color w:val="auto"/>
          <w:sz w:val="24"/>
          <w:szCs w:val="24"/>
          <w:highlight w:val="none"/>
        </w:rPr>
        <w:t>确定成交候选供应商</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ascii="仿宋" w:hAnsi="仿宋" w:eastAsia="仿宋" w:cs="仿宋"/>
          <w:b w:val="0"/>
          <w:bCs w:val="0"/>
          <w:color w:val="auto"/>
          <w:kern w:val="0"/>
          <w:sz w:val="24"/>
          <w:highlight w:val="none"/>
        </w:rPr>
      </w:pPr>
      <w:r>
        <w:rPr>
          <w:rFonts w:hint="eastAsia" w:ascii="仿宋" w:hAnsi="仿宋" w:eastAsia="仿宋" w:cs="仿宋"/>
          <w:color w:val="auto"/>
          <w:kern w:val="0"/>
          <w:sz w:val="24"/>
          <w:highlight w:val="none"/>
        </w:rPr>
        <w:t>评</w:t>
      </w:r>
      <w:r>
        <w:rPr>
          <w:rFonts w:hint="eastAsia" w:ascii="仿宋" w:hAnsi="仿宋" w:eastAsia="仿宋" w:cs="仿宋"/>
          <w:color w:val="auto"/>
          <w:sz w:val="24"/>
          <w:highlight w:val="none"/>
        </w:rPr>
        <w:t>审</w:t>
      </w:r>
      <w:r>
        <w:rPr>
          <w:rFonts w:hint="eastAsia" w:ascii="仿宋" w:hAnsi="仿宋" w:eastAsia="仿宋" w:cs="仿宋"/>
          <w:color w:val="auto"/>
          <w:kern w:val="0"/>
          <w:sz w:val="24"/>
          <w:highlight w:val="none"/>
        </w:rPr>
        <w:t>小组出具书面的评审报告，按照响应供应商的综合得分由高到低的顺序对响应供应商进行排名，并确定成交候选供应商。综合得分相同的，按响应报价由低到高顺序推荐成交候选供应商，得分</w:t>
      </w:r>
      <w:r>
        <w:rPr>
          <w:rFonts w:hint="eastAsia" w:ascii="仿宋" w:hAnsi="仿宋" w:eastAsia="仿宋" w:cs="仿宋"/>
          <w:b w:val="0"/>
          <w:bCs w:val="0"/>
          <w:color w:val="auto"/>
          <w:kern w:val="0"/>
          <w:sz w:val="24"/>
          <w:highlight w:val="none"/>
        </w:rPr>
        <w:t>且</w:t>
      </w:r>
      <w:r>
        <w:rPr>
          <w:rFonts w:hint="eastAsia" w:ascii="仿宋" w:hAnsi="仿宋" w:eastAsia="仿宋" w:cs="仿宋"/>
          <w:b w:val="0"/>
          <w:bCs w:val="0"/>
          <w:color w:val="auto"/>
          <w:kern w:val="0"/>
          <w:sz w:val="24"/>
          <w:highlight w:val="none"/>
          <w:lang w:eastAsia="zh-CN"/>
        </w:rPr>
        <w:t>响应</w:t>
      </w:r>
      <w:r>
        <w:rPr>
          <w:rFonts w:hint="eastAsia" w:ascii="仿宋" w:hAnsi="仿宋" w:eastAsia="仿宋" w:cs="仿宋"/>
          <w:b w:val="0"/>
          <w:bCs w:val="0"/>
          <w:color w:val="auto"/>
          <w:kern w:val="0"/>
          <w:sz w:val="24"/>
          <w:highlight w:val="none"/>
        </w:rPr>
        <w:t>报价相同的，由</w:t>
      </w:r>
      <w:r>
        <w:rPr>
          <w:rFonts w:hint="eastAsia" w:ascii="仿宋" w:hAnsi="仿宋" w:eastAsia="仿宋" w:cs="仿宋"/>
          <w:b w:val="0"/>
          <w:bCs w:val="0"/>
          <w:color w:val="auto"/>
          <w:kern w:val="0"/>
          <w:sz w:val="24"/>
          <w:highlight w:val="none"/>
          <w:lang w:eastAsia="zh-CN"/>
        </w:rPr>
        <w:t>评审小组</w:t>
      </w:r>
      <w:r>
        <w:rPr>
          <w:rFonts w:hint="eastAsia" w:ascii="仿宋" w:hAnsi="仿宋" w:eastAsia="仿宋" w:cs="仿宋"/>
          <w:b w:val="0"/>
          <w:bCs w:val="0"/>
          <w:color w:val="auto"/>
          <w:kern w:val="0"/>
          <w:sz w:val="24"/>
          <w:highlight w:val="none"/>
        </w:rPr>
        <w:t>采取随机抽取的方式确定。</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（8）</w:t>
      </w:r>
      <w:r>
        <w:rPr>
          <w:rFonts w:hint="eastAsia" w:ascii="仿宋" w:hAnsi="仿宋" w:eastAsia="仿宋" w:cs="仿宋"/>
          <w:b w:val="0"/>
          <w:bCs w:val="0"/>
          <w:color w:val="auto"/>
          <w:sz w:val="24"/>
          <w:szCs w:val="24"/>
          <w:highlight w:val="none"/>
        </w:rPr>
        <w:t>公 示</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评审完成确定成交候选供应商后，</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发布成交公告，并向</w:t>
      </w:r>
      <w:r>
        <w:rPr>
          <w:rFonts w:hint="eastAsia" w:ascii="仿宋" w:hAnsi="仿宋" w:eastAsia="仿宋" w:cs="仿宋"/>
          <w:color w:val="auto"/>
          <w:sz w:val="24"/>
          <w:highlight w:val="none"/>
          <w:lang w:eastAsia="zh-CN"/>
        </w:rPr>
        <w:t>成交供应商</w:t>
      </w:r>
      <w:r>
        <w:rPr>
          <w:rFonts w:hint="eastAsia" w:ascii="仿宋" w:hAnsi="仿宋" w:eastAsia="仿宋" w:cs="仿宋"/>
          <w:color w:val="auto"/>
          <w:sz w:val="24"/>
          <w:highlight w:val="none"/>
        </w:rPr>
        <w:t>发出《成交通知书》。</w:t>
      </w:r>
    </w:p>
    <w:p>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六</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询问、</w:t>
      </w:r>
      <w:r>
        <w:rPr>
          <w:rFonts w:hint="eastAsia" w:ascii="仿宋" w:hAnsi="仿宋" w:eastAsia="仿宋" w:cs="仿宋"/>
          <w:b/>
          <w:color w:val="auto"/>
          <w:sz w:val="24"/>
          <w:highlight w:val="none"/>
        </w:rPr>
        <w:t>质疑和投诉</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（一）询问</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对政府采购活动事项（</w:t>
      </w:r>
      <w:r>
        <w:rPr>
          <w:rFonts w:hint="eastAsia" w:ascii="仿宋" w:hAnsi="仿宋" w:eastAsia="仿宋" w:cs="仿宋"/>
          <w:color w:val="auto"/>
          <w:sz w:val="24"/>
          <w:highlight w:val="none"/>
          <w:lang w:eastAsia="zh-CN"/>
        </w:rPr>
        <w:t>比选文件</w:t>
      </w:r>
      <w:r>
        <w:rPr>
          <w:rFonts w:hint="eastAsia" w:ascii="仿宋" w:hAnsi="仿宋" w:eastAsia="仿宋" w:cs="仿宋"/>
          <w:color w:val="auto"/>
          <w:sz w:val="24"/>
          <w:highlight w:val="none"/>
        </w:rPr>
        <w:t>、采购过程和</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结果）有疑问的，可以向采购人提出询问，采购人将及时作出答复，但答复的内容不涉及商业秘密。询问可以口头方式提出，也可以书面方式提出，书面方式包括但不限于传真、信函、电子邮件。联系方式见《</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邀请函》中“采购人的名称、地址和联系方式”。</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对比选文件的质疑和处理</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供应商对比选公告或文件有异议的，应在比选公告的有效期内书面向</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提出合理的质疑。公告期限内未收到书面质疑，视为潜在供应商认同比选文件的全部内容，</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不再受理供应商对比选公告或文件的质疑。</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应当在接收到质疑函后起七个工作日内进行答复，并以书面形式通知质疑供应商和其他有关供应商。</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对比选文件提出的质疑成立后，由</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通过澄清或者修改，并以书面形式告知潜在的供应商后可以继续开展采购活动的，澄清或者修改比选文件后继续开展采购活动；否则应当修改比选文件后重新开展采购活动。</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三</w:t>
      </w:r>
      <w:r>
        <w:rPr>
          <w:rFonts w:hint="eastAsia" w:ascii="仿宋" w:hAnsi="仿宋" w:eastAsia="仿宋" w:cs="仿宋"/>
          <w:color w:val="auto"/>
          <w:sz w:val="24"/>
          <w:highlight w:val="none"/>
        </w:rPr>
        <w:t>）对采购过程、成交结果的质疑和处理</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供应商认为评审过程、成交结果使自己的权益受到损害的，可以在知道或者应知其权益受到损害之日起7个工作日内，以书面形式向</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提出质疑。</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应于收到质疑函后起7个工作日内组织原评审小组协助答复质疑，并以书面形式通知质疑供应商和其他有关供应商。</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医院认为供应商质疑不成立，或者成立但未对成交结果构成影响的，继续开展采购活动；认为供应商质疑成立且影响或者可能影响成交结果的，合格供应商符合法定数量时，可以从合格的成交候选人中另行确定成交供应商的，应当依法另行确定成交供应商；否则应当重新开展采购活动。</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四</w:t>
      </w:r>
      <w:r>
        <w:rPr>
          <w:rFonts w:hint="eastAsia" w:ascii="仿宋" w:hAnsi="仿宋" w:eastAsia="仿宋" w:cs="仿宋"/>
          <w:color w:val="auto"/>
          <w:sz w:val="24"/>
          <w:highlight w:val="none"/>
        </w:rPr>
        <w:t>）供应商提出质疑应当提交质疑函和必要的证明材料</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包括证明材料清单、证明文件及获取途径说明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。质疑函应当包括下列内容：</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供应商的姓名或者名称、地址、邮编、联系人及联系电话；</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质疑项目的名称、编号；</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具体、明确的质疑事项和与质疑事项相关的请求；</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事实依据；</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必要的法律依据；</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提出质疑的日期。</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五</w:t>
      </w:r>
      <w:r>
        <w:rPr>
          <w:rFonts w:hint="eastAsia" w:ascii="仿宋" w:hAnsi="仿宋" w:eastAsia="仿宋" w:cs="仿宋"/>
          <w:color w:val="auto"/>
          <w:sz w:val="24"/>
          <w:highlight w:val="none"/>
        </w:rPr>
        <w:t>）投诉</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供应商对</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的质疑答复不满意或在规定时间内未得到答复的，可以在答复期满后15个工作日内，按如下联系方式向</w:t>
      </w:r>
      <w:r>
        <w:rPr>
          <w:rFonts w:hint="eastAsia" w:ascii="仿宋" w:hAnsi="仿宋" w:eastAsia="仿宋" w:cs="仿宋"/>
          <w:color w:val="auto"/>
          <w:sz w:val="24"/>
          <w:szCs w:val="24"/>
          <w:highlight w:val="none"/>
          <w:lang w:val="en-US" w:eastAsia="zh-CN"/>
        </w:rPr>
        <w:t>医院招标采购工作监督小组</w:t>
      </w:r>
      <w:r>
        <w:rPr>
          <w:rFonts w:hint="eastAsia" w:ascii="仿宋" w:hAnsi="仿宋" w:eastAsia="仿宋" w:cs="仿宋"/>
          <w:color w:val="auto"/>
          <w:sz w:val="24"/>
          <w:highlight w:val="none"/>
        </w:rPr>
        <w:t>提出书面投诉。</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（六）质疑供应商未按以上规定进行质疑的，</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将不予接收。</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（七）供应商捏造事实、提供虚假材料或者以非法手段取得证明材料进行质疑或投诉的，予以驳回，并列入黑名单。</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（八）</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受理质疑后，质疑人书面申请撤回质疑的，应当终止质疑处理程序。</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九</w:t>
      </w:r>
      <w:r>
        <w:rPr>
          <w:rFonts w:hint="eastAsia" w:ascii="仿宋" w:hAnsi="仿宋" w:eastAsia="仿宋" w:cs="仿宋"/>
          <w:color w:val="auto"/>
          <w:sz w:val="24"/>
          <w:highlight w:val="none"/>
        </w:rPr>
        <w:t>）同一供应商不能对同一事项重复质疑。</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七</w:t>
      </w:r>
      <w:r>
        <w:rPr>
          <w:rFonts w:hint="eastAsia" w:ascii="仿宋" w:hAnsi="仿宋" w:eastAsia="仿宋" w:cs="仿宋"/>
          <w:b/>
          <w:color w:val="auto"/>
          <w:kern w:val="0"/>
          <w:sz w:val="24"/>
          <w:szCs w:val="24"/>
          <w:highlight w:val="none"/>
        </w:rPr>
        <w:t>、合同的订立和履行</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合同的订立</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b/>
          <w:bCs/>
          <w:color w:val="auto"/>
          <w:kern w:val="0"/>
          <w:sz w:val="24"/>
          <w:highlight w:val="none"/>
        </w:rPr>
      </w:pPr>
      <w:r>
        <w:rPr>
          <w:rFonts w:hint="eastAsia" w:ascii="仿宋" w:hAnsi="仿宋" w:eastAsia="仿宋" w:cs="仿宋"/>
          <w:color w:val="auto"/>
          <w:kern w:val="0"/>
          <w:sz w:val="24"/>
          <w:highlight w:val="none"/>
        </w:rPr>
        <w:t>采购人与成交供应商自成交通知书发出之日起三十日内，按比选文件要求和</w:t>
      </w:r>
      <w:r>
        <w:rPr>
          <w:rFonts w:hint="eastAsia" w:ascii="仿宋" w:hAnsi="仿宋" w:eastAsia="仿宋" w:cs="仿宋"/>
          <w:color w:val="auto"/>
          <w:kern w:val="0"/>
          <w:sz w:val="24"/>
          <w:highlight w:val="none"/>
          <w:lang w:eastAsia="zh-CN"/>
        </w:rPr>
        <w:t>成交供应商</w:t>
      </w:r>
      <w:r>
        <w:rPr>
          <w:rFonts w:hint="eastAsia" w:ascii="仿宋" w:hAnsi="仿宋" w:eastAsia="仿宋" w:cs="仿宋"/>
          <w:color w:val="auto"/>
          <w:kern w:val="0"/>
          <w:sz w:val="24"/>
          <w:highlight w:val="none"/>
        </w:rPr>
        <w:t>响应文件承诺签订采购合同。未按规定时间签订合同的，视为主动放弃成交资格。但不得超出比选文件和成交供应商响应文件的范围</w:t>
      </w:r>
      <w:r>
        <w:rPr>
          <w:rFonts w:hint="eastAsia" w:ascii="仿宋" w:hAnsi="仿宋" w:eastAsia="仿宋" w:cs="仿宋"/>
          <w:color w:val="auto"/>
          <w:kern w:val="0"/>
          <w:sz w:val="24"/>
          <w:highlight w:val="none"/>
          <w:lang w:eastAsia="zh-CN"/>
        </w:rPr>
        <w:t>，也</w:t>
      </w:r>
      <w:r>
        <w:rPr>
          <w:rFonts w:hint="eastAsia" w:ascii="仿宋" w:hAnsi="仿宋" w:eastAsia="仿宋" w:cs="仿宋"/>
          <w:color w:val="auto"/>
          <w:kern w:val="0"/>
          <w:sz w:val="24"/>
          <w:highlight w:val="none"/>
        </w:rPr>
        <w:t>不得再行订立背离合同实质性内容的其他协议。如果第一成交候选供应商放弃成交资格或者没有按照规定签订合同，采购人将取消其成交资格。在此情况下，采购人可确定第二成交候选供应商为成交供应商，或重新采购。</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合同的履行</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（1）采购合同订立后，合同各方不得擅自变更、中止或者终止合同。合同确需要变更的，应以书面形式报</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审批。</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（2）采购合同履行中，采购人需追加与合同标的相同的货物、工程或者服务的，在不改变合同实质条款的前提下，可以与成交供应商签订补充合同，但所补充合同的采购金额不得超过原采购金额的百分之十。</w:t>
      </w:r>
    </w:p>
    <w:p>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八</w:t>
      </w:r>
      <w:r>
        <w:rPr>
          <w:rFonts w:hint="eastAsia" w:ascii="仿宋" w:hAnsi="仿宋" w:eastAsia="仿宋" w:cs="仿宋"/>
          <w:b/>
          <w:bCs/>
          <w:color w:val="auto"/>
          <w:sz w:val="24"/>
          <w:highlight w:val="none"/>
        </w:rPr>
        <w:t>、适用法律及规定</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1.采购人</w:t>
      </w:r>
      <w:r>
        <w:rPr>
          <w:rFonts w:hint="eastAsia" w:ascii="仿宋" w:hAnsi="仿宋" w:eastAsia="仿宋" w:cs="仿宋"/>
          <w:color w:val="auto"/>
          <w:kern w:val="0"/>
          <w:sz w:val="24"/>
          <w:highlight w:val="none"/>
        </w:rPr>
        <w:t>及供应商的一切采购活动均参考《中华人民共和国政府采购法》及医院的采购制度。</w:t>
      </w:r>
    </w:p>
    <w:p>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单位负责人为同一人或者存在直接控股、管理关系的不同供应商，不得参加同一合同项下的采购活动。</w:t>
      </w:r>
      <w:r>
        <w:rPr>
          <w:rFonts w:hint="eastAsia" w:ascii="仿宋" w:hAnsi="仿宋" w:eastAsia="仿宋" w:cs="仿宋"/>
          <w:color w:val="auto"/>
          <w:kern w:val="0"/>
          <w:sz w:val="24"/>
          <w:highlight w:val="none"/>
          <w:lang w:eastAsia="zh-CN"/>
        </w:rPr>
        <w:t>为本采购项目提供整体设计、规范编制或者项目管理、监理、检测等服务的供应商，不得再参加本采购项目的采购活动。</w:t>
      </w:r>
      <w:r>
        <w:rPr>
          <w:rFonts w:hint="eastAsia" w:ascii="仿宋" w:hAnsi="仿宋" w:eastAsia="仿宋" w:cs="仿宋"/>
          <w:color w:val="auto"/>
          <w:kern w:val="0"/>
          <w:sz w:val="24"/>
          <w:highlight w:val="none"/>
        </w:rPr>
        <w:t>存在以上情形的供应商应主动予以回避，否则自行承担相应的法律责任及后果。</w:t>
      </w:r>
    </w:p>
    <w:p>
      <w:pPr>
        <w:autoSpaceDE/>
        <w:autoSpaceDN/>
        <w:adjustRightInd/>
        <w:snapToGrid/>
        <w:spacing w:line="240" w:lineRule="auto"/>
        <w:ind w:right="0" w:firstLine="0" w:firstLineChars="0"/>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autoSpaceDE w:val="0"/>
        <w:autoSpaceDN w:val="0"/>
        <w:adjustRightInd w:val="0"/>
        <w:snapToGrid w:val="0"/>
        <w:spacing w:line="360" w:lineRule="auto"/>
        <w:ind w:right="32" w:firstLine="562" w:firstLineChars="20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第四部分  合同书范本格式</w:t>
      </w:r>
    </w:p>
    <w:p>
      <w:pPr>
        <w:autoSpaceDE w:val="0"/>
        <w:autoSpaceDN w:val="0"/>
        <w:adjustRightInd w:val="0"/>
        <w:spacing w:before="100" w:beforeAutospacing="1" w:after="100" w:afterAutospacing="1"/>
        <w:jc w:val="right"/>
        <w:rPr>
          <w:rFonts w:hint="eastAsia" w:ascii="Arial" w:hAnsi="Arial" w:eastAsia="黑体"/>
          <w:bCs/>
          <w:color w:val="auto"/>
          <w:sz w:val="30"/>
          <w:szCs w:val="30"/>
          <w:highlight w:val="none"/>
          <w:lang w:val="en-US" w:eastAsia="zh-CN"/>
        </w:rPr>
      </w:pPr>
      <w:r>
        <w:rPr>
          <w:rFonts w:hint="eastAsia" w:ascii="Arial" w:hAnsi="Arial" w:eastAsia="黑体"/>
          <w:bCs/>
          <w:color w:val="auto"/>
          <w:sz w:val="30"/>
          <w:szCs w:val="30"/>
          <w:highlight w:val="none"/>
          <w:lang w:val="en-US" w:eastAsia="zh-CN"/>
        </w:rPr>
        <w:t>合同编号</w:t>
      </w:r>
      <w:r>
        <w:rPr>
          <w:rFonts w:hint="eastAsia" w:ascii="Arial" w:hAnsi="Arial" w:eastAsia="黑体"/>
          <w:bCs/>
          <w:color w:val="auto"/>
          <w:sz w:val="30"/>
          <w:szCs w:val="30"/>
          <w:highlight w:val="none"/>
        </w:rPr>
        <w:t>：</w:t>
      </w:r>
    </w:p>
    <w:p>
      <w:pPr>
        <w:autoSpaceDE w:val="0"/>
        <w:autoSpaceDN w:val="0"/>
        <w:adjustRightInd w:val="0"/>
        <w:spacing w:before="100" w:beforeAutospacing="1" w:after="100" w:afterAutospacing="1"/>
        <w:ind w:firstLine="8196" w:firstLineChars="1946"/>
        <w:rPr>
          <w:rFonts w:ascii="仿宋" w:hAnsi="仿宋" w:eastAsia="仿宋" w:cs="FangSong_GB2312-Identity-H"/>
          <w:b/>
          <w:bCs/>
          <w:color w:val="auto"/>
          <w:spacing w:val="60"/>
          <w:kern w:val="0"/>
          <w:sz w:val="30"/>
          <w:szCs w:val="30"/>
          <w:highlight w:val="none"/>
        </w:rPr>
      </w:pPr>
    </w:p>
    <w:tbl>
      <w:tblPr>
        <w:tblStyle w:val="14"/>
        <w:tblpPr w:leftFromText="180" w:rightFromText="180" w:vertAnchor="text" w:horzAnchor="margin" w:tblpXSpec="center" w:tblpY="2498"/>
        <w:tblOverlap w:val="never"/>
        <w:tblW w:w="6629" w:type="dxa"/>
        <w:tblInd w:w="0" w:type="dxa"/>
        <w:tblLayout w:type="fixed"/>
        <w:tblCellMar>
          <w:top w:w="0" w:type="dxa"/>
          <w:left w:w="108" w:type="dxa"/>
          <w:bottom w:w="0" w:type="dxa"/>
          <w:right w:w="108" w:type="dxa"/>
        </w:tblCellMar>
      </w:tblPr>
      <w:tblGrid>
        <w:gridCol w:w="6629"/>
      </w:tblGrid>
      <w:tr>
        <w:tblPrEx>
          <w:tblCellMar>
            <w:top w:w="0" w:type="dxa"/>
            <w:left w:w="108" w:type="dxa"/>
            <w:bottom w:w="0" w:type="dxa"/>
            <w:right w:w="108" w:type="dxa"/>
          </w:tblCellMar>
        </w:tblPrEx>
        <w:trPr>
          <w:trHeight w:val="446" w:hRule="atLeast"/>
        </w:trPr>
        <w:tc>
          <w:tcPr>
            <w:tcW w:w="6629" w:type="dxa"/>
            <w:noWrap w:val="0"/>
            <w:vAlign w:val="top"/>
          </w:tcPr>
          <w:p>
            <w:pPr>
              <w:pStyle w:val="9"/>
              <w:spacing w:line="800" w:lineRule="exact"/>
              <w:jc w:val="left"/>
              <w:rPr>
                <w:rFonts w:hAnsi="宋体"/>
                <w:b/>
                <w:color w:val="auto"/>
                <w:sz w:val="30"/>
                <w:szCs w:val="30"/>
                <w:highlight w:val="none"/>
              </w:rPr>
            </w:pPr>
          </w:p>
          <w:p>
            <w:pPr>
              <w:pStyle w:val="9"/>
              <w:spacing w:line="800" w:lineRule="exact"/>
              <w:jc w:val="left"/>
              <w:rPr>
                <w:rFonts w:hAnsi="宋体"/>
                <w:b/>
                <w:color w:val="auto"/>
                <w:sz w:val="30"/>
                <w:szCs w:val="30"/>
                <w:highlight w:val="none"/>
              </w:rPr>
            </w:pPr>
            <w:r>
              <w:rPr>
                <w:rFonts w:hint="eastAsia" w:hAnsi="宋体"/>
                <w:b/>
                <w:color w:val="auto"/>
                <w:sz w:val="30"/>
                <w:szCs w:val="30"/>
                <w:highlight w:val="none"/>
              </w:rPr>
              <w:t>采购编号：</w:t>
            </w:r>
          </w:p>
          <w:p>
            <w:pPr>
              <w:pStyle w:val="9"/>
              <w:spacing w:line="800" w:lineRule="exact"/>
              <w:jc w:val="left"/>
              <w:rPr>
                <w:rFonts w:hAnsi="宋体"/>
                <w:b/>
                <w:color w:val="auto"/>
                <w:sz w:val="30"/>
                <w:szCs w:val="30"/>
                <w:highlight w:val="none"/>
              </w:rPr>
            </w:pPr>
            <w:r>
              <w:rPr>
                <w:rFonts w:hint="eastAsia" w:hAnsi="宋体"/>
                <w:b/>
                <w:color w:val="auto"/>
                <w:sz w:val="30"/>
                <w:szCs w:val="30"/>
                <w:highlight w:val="none"/>
              </w:rPr>
              <w:t>项目名称：</w:t>
            </w:r>
          </w:p>
          <w:p>
            <w:pPr>
              <w:pStyle w:val="9"/>
              <w:spacing w:line="800" w:lineRule="exact"/>
              <w:jc w:val="left"/>
              <w:rPr>
                <w:rFonts w:hAnsi="宋体" w:cs="Times New Roman"/>
                <w:b/>
                <w:bCs/>
                <w:color w:val="auto"/>
                <w:sz w:val="30"/>
                <w:szCs w:val="30"/>
                <w:highlight w:val="none"/>
              </w:rPr>
            </w:pPr>
            <w:r>
              <w:rPr>
                <w:rFonts w:hint="eastAsia" w:hAnsi="宋体" w:cs="Times New Roman"/>
                <w:b/>
                <w:bCs/>
                <w:color w:val="auto"/>
                <w:sz w:val="30"/>
                <w:szCs w:val="30"/>
                <w:highlight w:val="none"/>
              </w:rPr>
              <w:t>甲方：惠州市第一妇幼保健院</w:t>
            </w:r>
          </w:p>
          <w:p>
            <w:pPr>
              <w:pStyle w:val="9"/>
              <w:spacing w:line="800" w:lineRule="exact"/>
              <w:jc w:val="left"/>
              <w:rPr>
                <w:rFonts w:hAnsi="宋体" w:cs="Times New Roman"/>
                <w:b/>
                <w:bCs/>
                <w:color w:val="auto"/>
                <w:sz w:val="30"/>
                <w:szCs w:val="30"/>
                <w:highlight w:val="none"/>
              </w:rPr>
            </w:pPr>
            <w:r>
              <w:rPr>
                <w:rFonts w:hint="eastAsia" w:hAnsi="宋体" w:cs="Times New Roman"/>
                <w:b/>
                <w:bCs/>
                <w:color w:val="auto"/>
                <w:sz w:val="30"/>
                <w:szCs w:val="30"/>
                <w:highlight w:val="none"/>
              </w:rPr>
              <w:t>乙方：</w:t>
            </w:r>
          </w:p>
          <w:p>
            <w:pPr>
              <w:tabs>
                <w:tab w:val="left" w:pos="720"/>
              </w:tabs>
              <w:spacing w:line="360" w:lineRule="auto"/>
              <w:rPr>
                <w:rFonts w:ascii="宋体"/>
                <w:b/>
                <w:color w:val="auto"/>
                <w:sz w:val="30"/>
                <w:szCs w:val="30"/>
                <w:highlight w:val="none"/>
              </w:rPr>
            </w:pPr>
          </w:p>
        </w:tc>
      </w:tr>
    </w:tbl>
    <w:p>
      <w:pPr>
        <w:autoSpaceDE w:val="0"/>
        <w:autoSpaceDN w:val="0"/>
        <w:adjustRightInd w:val="0"/>
        <w:spacing w:before="100" w:beforeAutospacing="1" w:after="100" w:afterAutospacing="1"/>
        <w:jc w:val="center"/>
        <w:rPr>
          <w:rFonts w:ascii="仿宋_GB2312" w:hAnsi="仿宋" w:eastAsia="仿宋_GB2312"/>
          <w:b/>
          <w:color w:val="auto"/>
          <w:sz w:val="28"/>
          <w:highlight w:val="none"/>
        </w:rPr>
      </w:pPr>
      <w:r>
        <w:rPr>
          <w:rFonts w:hint="eastAsia" w:ascii="仿宋" w:hAnsi="仿宋" w:eastAsia="仿宋" w:cs="FangSong_GB2312-Identity-H"/>
          <w:b/>
          <w:bCs/>
          <w:color w:val="auto"/>
          <w:spacing w:val="60"/>
          <w:kern w:val="0"/>
          <w:sz w:val="84"/>
          <w:szCs w:val="84"/>
          <w:highlight w:val="none"/>
        </w:rPr>
        <w:t>技术服务合同</w:t>
      </w:r>
    </w:p>
    <w:p>
      <w:pPr>
        <w:spacing w:line="360" w:lineRule="auto"/>
        <w:ind w:right="480"/>
        <w:jc w:val="center"/>
        <w:rPr>
          <w:rFonts w:ascii="宋体"/>
          <w:bCs/>
          <w:color w:val="auto"/>
          <w:sz w:val="24"/>
          <w:highlight w:val="none"/>
        </w:rPr>
      </w:pPr>
    </w:p>
    <w:p>
      <w:pPr>
        <w:spacing w:line="360" w:lineRule="auto"/>
        <w:jc w:val="center"/>
        <w:rPr>
          <w:rFonts w:ascii="宋体"/>
          <w:b/>
          <w:color w:val="auto"/>
          <w:sz w:val="44"/>
          <w:szCs w:val="44"/>
          <w:highlight w:val="none"/>
        </w:rPr>
      </w:pPr>
      <w:r>
        <w:rPr>
          <w:rFonts w:ascii="宋体"/>
          <w:bCs/>
          <w:color w:val="auto"/>
          <w:sz w:val="24"/>
          <w:highlight w:val="none"/>
        </w:rPr>
        <w:br w:type="page"/>
      </w:r>
      <w:r>
        <w:rPr>
          <w:rFonts w:hint="eastAsia" w:ascii="宋体" w:hAnsi="宋体"/>
          <w:b/>
          <w:color w:val="auto"/>
          <w:sz w:val="44"/>
          <w:szCs w:val="44"/>
          <w:highlight w:val="none"/>
        </w:rPr>
        <w:t>合   同</w:t>
      </w:r>
    </w:p>
    <w:p>
      <w:pPr>
        <w:spacing w:line="360" w:lineRule="auto"/>
        <w:jc w:val="center"/>
        <w:rPr>
          <w:rFonts w:ascii="宋体"/>
          <w:b/>
          <w:color w:val="auto"/>
          <w:sz w:val="44"/>
          <w:szCs w:val="44"/>
          <w:highlight w:val="none"/>
        </w:rPr>
      </w:pPr>
    </w:p>
    <w:p>
      <w:pPr>
        <w:spacing w:line="360" w:lineRule="auto"/>
        <w:jc w:val="left"/>
        <w:rPr>
          <w:rFonts w:ascii="宋体"/>
          <w:b/>
          <w:color w:val="auto"/>
          <w:sz w:val="24"/>
          <w:highlight w:val="none"/>
        </w:rPr>
      </w:pPr>
      <w:r>
        <w:rPr>
          <w:rFonts w:hint="eastAsia" w:ascii="宋体" w:hAnsi="宋体"/>
          <w:b/>
          <w:color w:val="auto"/>
          <w:sz w:val="24"/>
          <w:highlight w:val="none"/>
        </w:rPr>
        <w:t>甲方：</w:t>
      </w:r>
      <w:r>
        <w:rPr>
          <w:rFonts w:hint="eastAsia" w:ascii="宋体" w:hAnsi="宋体"/>
          <w:b/>
          <w:color w:val="auto"/>
          <w:kern w:val="0"/>
          <w:sz w:val="24"/>
          <w:highlight w:val="none"/>
        </w:rPr>
        <w:t>惠州市第一妇幼保健院</w:t>
      </w:r>
    </w:p>
    <w:p>
      <w:pPr>
        <w:tabs>
          <w:tab w:val="left" w:pos="720"/>
        </w:tabs>
        <w:spacing w:line="360" w:lineRule="auto"/>
        <w:rPr>
          <w:rFonts w:ascii="宋体" w:hAnsi="宋体"/>
          <w:b/>
          <w:color w:val="auto"/>
          <w:kern w:val="0"/>
          <w:sz w:val="24"/>
          <w:highlight w:val="none"/>
        </w:rPr>
      </w:pPr>
      <w:r>
        <w:rPr>
          <w:rFonts w:hint="eastAsia" w:ascii="宋体" w:hAnsi="宋体"/>
          <w:b/>
          <w:color w:val="auto"/>
          <w:sz w:val="24"/>
          <w:highlight w:val="none"/>
        </w:rPr>
        <w:t>乙方：</w:t>
      </w:r>
    </w:p>
    <w:p>
      <w:pPr>
        <w:tabs>
          <w:tab w:val="left" w:pos="7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学龄前儿童持续性注意力测评及3-6岁儿童执行功能软件</w:t>
      </w:r>
      <w:r>
        <w:rPr>
          <w:rFonts w:hint="eastAsia" w:ascii="宋体" w:hAnsi="宋体"/>
          <w:color w:val="auto"/>
          <w:sz w:val="24"/>
          <w:highlight w:val="none"/>
          <w:u w:val="singl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ZCB-YN-202505</w:t>
      </w:r>
      <w:r>
        <w:rPr>
          <w:rFonts w:hint="eastAsia" w:ascii="宋体" w:hAnsi="宋体"/>
          <w:color w:val="auto"/>
          <w:sz w:val="24"/>
          <w:highlight w:val="none"/>
          <w:u w:val="single"/>
          <w:lang w:val="en-US" w:eastAsia="zh-CN"/>
        </w:rPr>
        <w:t>4</w:t>
      </w:r>
      <w:r>
        <w:rPr>
          <w:rFonts w:hint="eastAsia" w:ascii="宋体" w:hAnsi="宋体"/>
          <w:color w:val="auto"/>
          <w:sz w:val="24"/>
          <w:highlight w:val="none"/>
          <w:u w:val="single"/>
        </w:rPr>
        <w:t xml:space="preserve"> </w:t>
      </w:r>
      <w:r>
        <w:rPr>
          <w:rFonts w:hint="eastAsia" w:ascii="宋体" w:hAnsi="宋体"/>
          <w:color w:val="auto"/>
          <w:sz w:val="24"/>
          <w:highlight w:val="none"/>
        </w:rPr>
        <w:t>）的</w:t>
      </w:r>
      <w:r>
        <w:rPr>
          <w:rFonts w:hint="eastAsia" w:ascii="宋体" w:hAnsi="宋体"/>
          <w:color w:val="auto"/>
          <w:sz w:val="24"/>
          <w:highlight w:val="none"/>
          <w:lang w:eastAsia="zh-CN"/>
        </w:rPr>
        <w:t>成交</w:t>
      </w:r>
      <w:r>
        <w:rPr>
          <w:rFonts w:hint="eastAsia" w:ascii="宋体" w:hAnsi="宋体"/>
          <w:color w:val="auto"/>
          <w:sz w:val="24"/>
          <w:highlight w:val="none"/>
        </w:rPr>
        <w:t>结果，按照《中华人民共和国政府采购法》《中华人民共和国民法典》的规定，经双方协商，本着平等互利和诚实信用的原则，一致同意签订本合同如下。</w:t>
      </w:r>
    </w:p>
    <w:p>
      <w:pPr>
        <w:numPr>
          <w:ilvl w:val="0"/>
          <w:numId w:val="0"/>
        </w:num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b w:val="0"/>
          <w:bCs w:val="0"/>
          <w:color w:val="auto"/>
          <w:sz w:val="24"/>
          <w:highlight w:val="none"/>
          <w:lang w:val="en-US" w:eastAsia="zh-CN"/>
        </w:rPr>
        <w:t>一、服务内容</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5208"/>
        <w:gridCol w:w="1330"/>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blHeader/>
        </w:trPr>
        <w:tc>
          <w:tcPr>
            <w:tcW w:w="0" w:type="auto"/>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0" w:type="auto"/>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项目名称</w:t>
            </w:r>
          </w:p>
        </w:tc>
        <w:tc>
          <w:tcPr>
            <w:tcW w:w="0" w:type="auto"/>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数量（项）</w:t>
            </w:r>
          </w:p>
        </w:tc>
        <w:tc>
          <w:tcPr>
            <w:tcW w:w="0" w:type="auto"/>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0" w:type="auto"/>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0" w:type="auto"/>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学龄前儿童持续性注意力测评及3-6岁儿童执行功能软件</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0" w:type="auto"/>
            <w:noWrap w:val="0"/>
            <w:vAlign w:val="center"/>
          </w:tcPr>
          <w:p>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（1）4-7岁学龄前儿童持续性注意力测评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乙方提供的系统需是一个基于Windows操作系统的计算机程序测试软件，适用于4-7岁学龄前儿童，用于临床辅助诊断。测评时长约为7.5分钟，儿童需在无网络环境下，连接定制密码锁后，根据系统提示独立完成游戏化测评任务。系统核心功能模块包含10个测评模块，共计200次测验，从注意力缺陷、冲动性、注意力持续性和警觉性四个关键维度进行考察。测评结束后，系统能自动生成评估报告，并根据结果辅助识别ADHD注意力疏忽型、ADHD多动冲动型及ADHD混合型，为临床诊断提供客观依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（2）3-6岁儿童执行功能评测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color w:val="auto"/>
          <w:sz w:val="24"/>
          <w:highlight w:val="none"/>
        </w:rPr>
      </w:pPr>
      <w:r>
        <w:rPr>
          <w:rFonts w:hint="eastAsia" w:ascii="宋体" w:hAnsi="宋体" w:eastAsia="宋体" w:cs="宋体"/>
          <w:b w:val="0"/>
          <w:bCs w:val="0"/>
          <w:color w:val="auto"/>
          <w:sz w:val="24"/>
          <w:highlight w:val="none"/>
          <w:lang w:val="en-US" w:eastAsia="zh-CN"/>
        </w:rPr>
        <w:t>乙方提供的系统需是一套标准化的评估工具，适用于3-6岁儿童，通过家长或临床医务人员填写问卷的方式，对儿童的日常执行功能行为表现进行观察与评估。评测无需儿童直接参与，由评估者根据儿童在真实场景中的表现进行填写，耗时约10分钟。系统测评维度涵盖工作记忆、抑制控制、转换灵活性、计划与组织能力、情绪组织能力以及执行功能总量表六个方面。该工具旨在系统化地捕捉儿童在执行功能方面的实际应用能力与潜在困难，为发育筛查、问题识别及教育干预提供结构化参考信息。</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b/>
          <w:color w:val="auto"/>
          <w:sz w:val="24"/>
          <w:highlight w:val="none"/>
        </w:rPr>
      </w:pPr>
      <w:r>
        <w:rPr>
          <w:rFonts w:hint="eastAsia" w:ascii="宋体" w:hAnsi="宋体"/>
          <w:b/>
          <w:color w:val="auto"/>
          <w:sz w:val="24"/>
          <w:highlight w:val="none"/>
        </w:rPr>
        <w:t>二、合同金额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s="宋体"/>
          <w:color w:val="auto"/>
          <w:kern w:val="0"/>
          <w:sz w:val="24"/>
          <w:szCs w:val="21"/>
          <w:highlight w:val="none"/>
        </w:rPr>
      </w:pPr>
      <w:r>
        <w:rPr>
          <w:rFonts w:hint="eastAsia" w:hAnsi="宋体"/>
          <w:color w:val="auto"/>
          <w:sz w:val="24"/>
          <w:highlight w:val="none"/>
        </w:rPr>
        <w:t>合同金额为：（大写）</w:t>
      </w:r>
      <w:r>
        <w:rPr>
          <w:rFonts w:hint="eastAsia" w:ascii="宋体" w:hAnsi="宋体" w:cs="宋体"/>
          <w:color w:val="auto"/>
          <w:kern w:val="0"/>
          <w:sz w:val="24"/>
          <w:highlight w:val="none"/>
        </w:rPr>
        <w:t>人民币</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元整；（小写）¥</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szCs w:val="21"/>
          <w:highlight w:val="none"/>
          <w:u w:val="single"/>
        </w:rPr>
        <w:t>.00</w:t>
      </w:r>
      <w:r>
        <w:rPr>
          <w:rFonts w:hint="eastAsia" w:ascii="宋体" w:hAnsi="宋体" w:cs="宋体"/>
          <w:color w:val="auto"/>
          <w:kern w:val="0"/>
          <w:sz w:val="24"/>
          <w:szCs w:val="21"/>
          <w:highlight w:val="none"/>
        </w:rPr>
        <w:t>元</w:t>
      </w:r>
      <w:r>
        <w:rPr>
          <w:rFonts w:hint="eastAsia" w:hAnsi="宋体" w:cs="宋体"/>
          <w:color w:val="auto"/>
          <w:kern w:val="0"/>
          <w:sz w:val="24"/>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highlight w:val="none"/>
        </w:rPr>
      </w:pPr>
      <w:r>
        <w:rPr>
          <w:rFonts w:hint="eastAsia" w:ascii="宋体" w:hAnsi="宋体"/>
          <w:color w:val="auto"/>
          <w:sz w:val="24"/>
          <w:highlight w:val="none"/>
        </w:rPr>
        <w:t>合同总额</w:t>
      </w:r>
      <w:r>
        <w:rPr>
          <w:rFonts w:hint="eastAsia" w:ascii="宋体" w:hAnsi="宋体"/>
          <w:color w:val="auto"/>
          <w:sz w:val="24"/>
          <w:highlight w:val="none"/>
          <w:lang w:eastAsia="zh-CN"/>
        </w:rPr>
        <w:t>应</w:t>
      </w:r>
      <w:r>
        <w:rPr>
          <w:rFonts w:hint="eastAsia" w:ascii="宋体" w:hAnsi="宋体"/>
          <w:color w:val="auto"/>
          <w:sz w:val="24"/>
          <w:highlight w:val="none"/>
        </w:rPr>
        <w:t>包括服务过程产生的但不限于人工、工具使用、各项税费及合同实施过程中的应预见和不可预见费用等完成合同规定责任和义务、达到合同目的的一切费用及企业利润。</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b/>
          <w:color w:val="auto"/>
          <w:sz w:val="24"/>
          <w:highlight w:val="none"/>
        </w:rPr>
      </w:pPr>
      <w:r>
        <w:rPr>
          <w:rFonts w:hint="eastAsia" w:ascii="宋体" w:hAnsi="宋体"/>
          <w:b/>
          <w:color w:val="auto"/>
          <w:sz w:val="24"/>
          <w:highlight w:val="none"/>
        </w:rPr>
        <w:t>三、服务要求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1.参数要求</w:t>
      </w:r>
    </w:p>
    <w:tbl>
      <w:tblPr>
        <w:tblStyle w:val="1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5"/>
        <w:gridCol w:w="2039"/>
        <w:gridCol w:w="1667"/>
        <w:gridCol w:w="4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96"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序号</w:t>
            </w:r>
          </w:p>
        </w:tc>
        <w:tc>
          <w:tcPr>
            <w:tcW w:w="1196"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系统名称</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模块名称</w:t>
            </w:r>
          </w:p>
        </w:tc>
        <w:tc>
          <w:tcPr>
            <w:tcW w:w="252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内容描述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96"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1196" w:type="pct"/>
            <w:vMerge w:val="restart"/>
            <w:tcBorders>
              <w:top w:val="single" w:color="000000" w:sz="4" w:space="0"/>
              <w:left w:val="single" w:color="000000" w:sz="4" w:space="0"/>
              <w:right w:val="single" w:color="000000" w:sz="4" w:space="0"/>
            </w:tcBorders>
            <w:noWrap w:val="0"/>
            <w:vAlign w:val="center"/>
          </w:tcPr>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lang w:val="en-US" w:eastAsia="zh-CN"/>
              </w:rPr>
              <w:t>学龄前儿童持续性注意力测评及3-6岁儿童执行功能软件</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4-7岁学龄前儿童持续性注意力测评</w:t>
            </w:r>
          </w:p>
        </w:tc>
        <w:tc>
          <w:tcPr>
            <w:tcW w:w="252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1.操作系统:windows系统</w:t>
            </w:r>
          </w:p>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2.测评时长：7.5分钟</w:t>
            </w:r>
          </w:p>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3.适用对象：4-7岁儿童(学龄前儿童)</w:t>
            </w:r>
          </w:p>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4.使用方式：测评需连接定制密码锁进行使用</w:t>
            </w:r>
          </w:p>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5.测评方式：儿童根据测评要求独立完成</w:t>
            </w:r>
          </w:p>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6.网络要求：无网络要求</w:t>
            </w:r>
          </w:p>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7.测评模块：10个模块200次测验</w:t>
            </w:r>
          </w:p>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8.考察维度：注意力缺陷、冲动性、注意力持续性、警觉性</w:t>
            </w:r>
          </w:p>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9.辅助诊断：ADHD注意力疏忽类型、ADHD多动神经类型、ADHD混合型</w:t>
            </w:r>
          </w:p>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10.测评报告：测评结束自动出报告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96"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1196" w:type="pct"/>
            <w:vMerge w:val="continue"/>
            <w:tcBorders>
              <w:left w:val="single" w:color="000000" w:sz="4" w:space="0"/>
              <w:bottom w:val="single" w:color="000000" w:sz="4" w:space="0"/>
              <w:right w:val="single" w:color="000000" w:sz="4" w:space="0"/>
            </w:tcBorders>
            <w:noWrap w:val="0"/>
            <w:vAlign w:val="center"/>
          </w:tcPr>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color w:val="auto"/>
                <w:sz w:val="21"/>
                <w:szCs w:val="21"/>
                <w:highlight w:val="none"/>
                <w:lang w:val="en-US" w:eastAsia="zh-CN"/>
              </w:rPr>
            </w:pPr>
          </w:p>
        </w:tc>
        <w:tc>
          <w:tcPr>
            <w:tcW w:w="978"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3-6岁儿童执行功能评测</w:t>
            </w:r>
          </w:p>
        </w:tc>
        <w:tc>
          <w:tcPr>
            <w:tcW w:w="252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量表从6个维度测评项目，来帮助评估儿童执行功能：</w:t>
            </w:r>
          </w:p>
          <w:p>
            <w:pPr>
              <w:keepNext/>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①工作记忆；②抑制；③转换；④计划/组织；⑤情绪组织；⑥总量表。</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cs="宋体"/>
          <w:color w:val="auto"/>
          <w:sz w:val="24"/>
          <w:highlight w:val="none"/>
        </w:rPr>
        <w:t>团队要求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乙方</w:t>
      </w:r>
      <w:r>
        <w:rPr>
          <w:rFonts w:hint="eastAsia" w:ascii="宋体" w:hAnsi="宋体" w:cs="宋体"/>
          <w:color w:val="auto"/>
          <w:sz w:val="24"/>
          <w:highlight w:val="none"/>
        </w:rPr>
        <w:t>需提供本项目负责人1名</w:t>
      </w:r>
      <w:r>
        <w:rPr>
          <w:rFonts w:hint="eastAsia" w:ascii="宋体" w:hAnsi="宋体" w:cs="宋体"/>
          <w:color w:val="auto"/>
          <w:sz w:val="24"/>
          <w:highlight w:val="none"/>
          <w:lang w:eastAsia="zh-CN"/>
        </w:rPr>
        <w:t>，</w:t>
      </w:r>
      <w:r>
        <w:rPr>
          <w:rFonts w:hint="eastAsia" w:ascii="宋体" w:hAnsi="宋体" w:cs="宋体"/>
          <w:color w:val="auto"/>
          <w:sz w:val="24"/>
          <w:highlight w:val="none"/>
        </w:rPr>
        <w:t>具备本科及以上学历，具备人力资源和社会保障部门颁发的信息系统项目管理师或软件设计师；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乙方</w:t>
      </w:r>
      <w:r>
        <w:rPr>
          <w:rFonts w:hint="eastAsia" w:ascii="宋体" w:hAnsi="宋体" w:cs="宋体"/>
          <w:color w:val="auto"/>
          <w:sz w:val="24"/>
          <w:highlight w:val="none"/>
        </w:rPr>
        <w:t>需提供</w:t>
      </w:r>
      <w:r>
        <w:rPr>
          <w:rFonts w:hint="eastAsia" w:ascii="宋体" w:hAnsi="宋体" w:cs="宋体"/>
          <w:color w:val="auto"/>
          <w:sz w:val="24"/>
          <w:highlight w:val="none"/>
          <w:lang w:val="en-US" w:eastAsia="zh-CN"/>
        </w:rPr>
        <w:t>X</w:t>
      </w:r>
      <w:r>
        <w:rPr>
          <w:rFonts w:hint="eastAsia" w:ascii="宋体" w:hAnsi="宋体" w:cs="宋体"/>
          <w:color w:val="auto"/>
          <w:sz w:val="24"/>
          <w:highlight w:val="none"/>
        </w:rPr>
        <w:t>名项目团队成员</w:t>
      </w:r>
      <w:r>
        <w:rPr>
          <w:rFonts w:hint="eastAsia" w:ascii="宋体" w:hAnsi="宋体" w:cs="宋体"/>
          <w:color w:val="auto"/>
          <w:sz w:val="24"/>
          <w:highlight w:val="none"/>
          <w:lang w:eastAsia="zh-CN"/>
        </w:rPr>
        <w:t>，</w:t>
      </w:r>
      <w:r>
        <w:rPr>
          <w:rFonts w:hint="eastAsia" w:ascii="宋体" w:hAnsi="宋体" w:cs="宋体"/>
          <w:color w:val="auto"/>
          <w:sz w:val="24"/>
          <w:highlight w:val="none"/>
        </w:rPr>
        <w:t>具备本科（及以上）学历，具备人力资源和社会保障部门颁发的系统集成项目管理工程师或软件设计师或数据库系统工程师资质。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highlight w:val="none"/>
        </w:rPr>
      </w:pPr>
      <w:r>
        <w:rPr>
          <w:rFonts w:hint="eastAsia" w:ascii="宋体" w:hAnsi="宋体"/>
          <w:b/>
          <w:color w:val="auto"/>
          <w:sz w:val="24"/>
          <w:highlight w:val="none"/>
        </w:rPr>
        <w:t>四、服务期限和服务地点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服务期限：</w:t>
      </w:r>
      <w:r>
        <w:rPr>
          <w:rFonts w:hint="eastAsia" w:ascii="宋体" w:hAnsi="宋体"/>
          <w:color w:val="auto"/>
          <w:sz w:val="24"/>
          <w:highlight w:val="none"/>
          <w:lang w:eastAsia="zh-CN"/>
        </w:rPr>
        <w:t>项目建设计划工期30个工作日，</w:t>
      </w:r>
      <w:r>
        <w:rPr>
          <w:rFonts w:hint="eastAsia" w:ascii="宋体" w:hAnsi="宋体"/>
          <w:color w:val="auto"/>
          <w:sz w:val="24"/>
          <w:highlight w:val="none"/>
        </w:rPr>
        <w:t>自合同签订后30个工作日内完成。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质保服务期：项目验收后三年，维保期内，</w:t>
      </w:r>
      <w:r>
        <w:rPr>
          <w:rFonts w:hint="eastAsia" w:ascii="宋体" w:hAnsi="宋体"/>
          <w:color w:val="auto"/>
          <w:sz w:val="24"/>
          <w:highlight w:val="none"/>
          <w:lang w:eastAsia="zh-CN"/>
        </w:rPr>
        <w:t>甲方</w:t>
      </w:r>
      <w:r>
        <w:rPr>
          <w:rFonts w:hint="eastAsia" w:ascii="宋体" w:hAnsi="宋体"/>
          <w:color w:val="auto"/>
          <w:sz w:val="24"/>
          <w:highlight w:val="none"/>
        </w:rPr>
        <w:t>无需为此支付额外费用，</w:t>
      </w:r>
      <w:r>
        <w:rPr>
          <w:rFonts w:hint="eastAsia" w:ascii="宋体" w:hAnsi="宋体"/>
          <w:color w:val="auto"/>
          <w:sz w:val="24"/>
          <w:highlight w:val="none"/>
          <w:lang w:eastAsia="zh-CN"/>
        </w:rPr>
        <w:t>乙方</w:t>
      </w:r>
      <w:r>
        <w:rPr>
          <w:rFonts w:hint="eastAsia" w:ascii="宋体" w:hAnsi="宋体"/>
          <w:color w:val="auto"/>
          <w:sz w:val="24"/>
          <w:highlight w:val="none"/>
        </w:rPr>
        <w:t>提供给</w:t>
      </w:r>
      <w:r>
        <w:rPr>
          <w:rFonts w:hint="eastAsia" w:ascii="宋体" w:hAnsi="宋体"/>
          <w:color w:val="auto"/>
          <w:sz w:val="24"/>
          <w:highlight w:val="none"/>
          <w:lang w:eastAsia="zh-CN"/>
        </w:rPr>
        <w:t>甲方</w:t>
      </w:r>
      <w:r>
        <w:rPr>
          <w:rFonts w:hint="eastAsia" w:ascii="宋体" w:hAnsi="宋体"/>
          <w:color w:val="auto"/>
          <w:sz w:val="24"/>
          <w:highlight w:val="none"/>
        </w:rPr>
        <w:t>软件应用的支持和培训服务，包括软件远程电话支持、用户培训、故障维护等。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3.</w:t>
      </w:r>
      <w:r>
        <w:rPr>
          <w:rFonts w:hint="eastAsia" w:ascii="宋体" w:hAnsi="宋体"/>
          <w:color w:val="auto"/>
          <w:sz w:val="24"/>
          <w:highlight w:val="none"/>
        </w:rPr>
        <w:t>服务地点：</w:t>
      </w:r>
      <w:r>
        <w:rPr>
          <w:rFonts w:hint="eastAsia" w:ascii="宋体" w:hAnsi="宋体"/>
          <w:color w:val="auto"/>
          <w:sz w:val="24"/>
          <w:highlight w:val="none"/>
          <w:lang w:eastAsia="zh-CN"/>
        </w:rPr>
        <w:t>甲方</w:t>
      </w:r>
      <w:r>
        <w:rPr>
          <w:rFonts w:hint="eastAsia" w:ascii="宋体" w:hAnsi="宋体"/>
          <w:color w:val="auto"/>
          <w:sz w:val="24"/>
          <w:highlight w:val="none"/>
        </w:rPr>
        <w:t>指定地点。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highlight w:val="none"/>
        </w:rPr>
      </w:pPr>
      <w:r>
        <w:rPr>
          <w:rFonts w:hint="eastAsia" w:ascii="宋体" w:hAnsi="宋体"/>
          <w:b/>
          <w:color w:val="auto"/>
          <w:sz w:val="24"/>
          <w:highlight w:val="none"/>
        </w:rPr>
        <w:t>五、付款方式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合同签订后10个工作日内，</w:t>
      </w:r>
      <w:r>
        <w:rPr>
          <w:rFonts w:hint="eastAsia" w:ascii="宋体" w:hAnsi="宋体"/>
          <w:color w:val="auto"/>
          <w:sz w:val="24"/>
          <w:highlight w:val="none"/>
          <w:lang w:eastAsia="zh-CN"/>
        </w:rPr>
        <w:t>甲方</w:t>
      </w:r>
      <w:r>
        <w:rPr>
          <w:rFonts w:hint="eastAsia" w:ascii="宋体" w:hAnsi="宋体"/>
          <w:color w:val="auto"/>
          <w:sz w:val="24"/>
          <w:highlight w:val="none"/>
        </w:rPr>
        <w:t>支付合同中费用总额的30%；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项目验收后20个工作日内，</w:t>
      </w:r>
      <w:r>
        <w:rPr>
          <w:rFonts w:hint="eastAsia" w:ascii="宋体" w:hAnsi="宋体"/>
          <w:color w:val="auto"/>
          <w:sz w:val="24"/>
          <w:highlight w:val="none"/>
          <w:lang w:eastAsia="zh-CN"/>
        </w:rPr>
        <w:t>甲方</w:t>
      </w:r>
      <w:r>
        <w:rPr>
          <w:rFonts w:hint="eastAsia" w:ascii="宋体" w:hAnsi="宋体"/>
          <w:color w:val="auto"/>
          <w:sz w:val="24"/>
          <w:highlight w:val="none"/>
        </w:rPr>
        <w:t>支付合同中费用总额的70%；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支付方式采用银行转账方式。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lang w:eastAsia="zh-CN"/>
        </w:rPr>
        <w:t>乙方</w:t>
      </w:r>
      <w:r>
        <w:rPr>
          <w:rFonts w:hint="eastAsia" w:ascii="宋体" w:hAnsi="宋体"/>
          <w:color w:val="auto"/>
          <w:sz w:val="24"/>
          <w:highlight w:val="none"/>
        </w:rPr>
        <w:t>应向</w:t>
      </w:r>
      <w:r>
        <w:rPr>
          <w:rFonts w:hint="eastAsia" w:ascii="宋体" w:hAnsi="宋体"/>
          <w:color w:val="auto"/>
          <w:sz w:val="24"/>
          <w:highlight w:val="none"/>
          <w:lang w:eastAsia="zh-CN"/>
        </w:rPr>
        <w:t>甲方</w:t>
      </w:r>
      <w:r>
        <w:rPr>
          <w:rFonts w:hint="eastAsia" w:ascii="宋体" w:hAnsi="宋体"/>
          <w:color w:val="auto"/>
          <w:sz w:val="24"/>
          <w:highlight w:val="none"/>
        </w:rPr>
        <w:t>出具合法有效完整的完税发票及凭证进行支付结算。</w:t>
      </w:r>
    </w:p>
    <w:p>
      <w:pPr>
        <w:pStyle w:val="7"/>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乙方账户信息如下：</w:t>
      </w:r>
    </w:p>
    <w:p>
      <w:pPr>
        <w:pStyle w:val="7"/>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开户行：</w:t>
      </w:r>
      <w:r>
        <w:rPr>
          <w:rFonts w:hint="eastAsia" w:ascii="宋体" w:hAnsi="宋体"/>
          <w:color w:val="auto"/>
          <w:sz w:val="24"/>
          <w:highlight w:val="none"/>
          <w:u w:val="single"/>
        </w:rPr>
        <w:t xml:space="preserve">                                          </w:t>
      </w:r>
    </w:p>
    <w:p>
      <w:pPr>
        <w:pStyle w:val="7"/>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账户名称：</w:t>
      </w:r>
      <w:r>
        <w:rPr>
          <w:rFonts w:hint="eastAsia" w:ascii="宋体" w:hAnsi="宋体"/>
          <w:color w:val="auto"/>
          <w:sz w:val="24"/>
          <w:highlight w:val="none"/>
          <w:u w:val="single"/>
        </w:rPr>
        <w:t xml:space="preserve">                                        </w:t>
      </w:r>
    </w:p>
    <w:p>
      <w:pPr>
        <w:pStyle w:val="7"/>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银行账户：</w:t>
      </w:r>
      <w:r>
        <w:rPr>
          <w:rFonts w:hint="eastAsia" w:ascii="宋体" w:hAnsi="宋体"/>
          <w:color w:val="auto"/>
          <w:sz w:val="24"/>
          <w:highlight w:val="none"/>
          <w:u w:val="single"/>
        </w:rPr>
        <w:t xml:space="preserve">                                        </w:t>
      </w:r>
    </w:p>
    <w:p>
      <w:pPr>
        <w:pStyle w:val="7"/>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税号：</w:t>
      </w:r>
      <w:r>
        <w:rPr>
          <w:rFonts w:hint="eastAsia" w:ascii="宋体" w:hAnsi="宋体"/>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bCs/>
          <w:color w:val="auto"/>
          <w:sz w:val="24"/>
          <w:highlight w:val="none"/>
        </w:rPr>
      </w:pPr>
      <w:r>
        <w:rPr>
          <w:rFonts w:hint="eastAsia" w:ascii="宋体" w:hAnsi="宋体"/>
          <w:b/>
          <w:bCs/>
          <w:color w:val="auto"/>
          <w:sz w:val="24"/>
          <w:highlight w:val="none"/>
        </w:rPr>
        <w:t>六、售后服务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lang w:eastAsia="zh-CN"/>
        </w:rPr>
        <w:t>乙方</w:t>
      </w:r>
      <w:r>
        <w:rPr>
          <w:rFonts w:hint="eastAsia" w:ascii="宋体" w:hAnsi="宋体"/>
          <w:color w:val="auto"/>
          <w:sz w:val="24"/>
          <w:highlight w:val="none"/>
        </w:rPr>
        <w:t>负责提供技术资料、操作手册。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为</w:t>
      </w:r>
      <w:r>
        <w:rPr>
          <w:rFonts w:hint="eastAsia" w:ascii="宋体" w:hAnsi="宋体"/>
          <w:color w:val="auto"/>
          <w:sz w:val="24"/>
          <w:highlight w:val="none"/>
          <w:lang w:eastAsia="zh-CN"/>
        </w:rPr>
        <w:t>甲方</w:t>
      </w:r>
      <w:r>
        <w:rPr>
          <w:rFonts w:hint="eastAsia" w:ascii="宋体" w:hAnsi="宋体"/>
          <w:color w:val="auto"/>
          <w:sz w:val="24"/>
          <w:highlight w:val="none"/>
        </w:rPr>
        <w:t>提供的服务方式包括远程服务、电话服务和上门服务三种服务方式，7×24小时技术响应，远程和电话均不能解决时，</w:t>
      </w:r>
      <w:r>
        <w:rPr>
          <w:rFonts w:hint="eastAsia" w:ascii="宋体" w:hAnsi="宋体"/>
          <w:color w:val="auto"/>
          <w:sz w:val="24"/>
          <w:highlight w:val="none"/>
          <w:lang w:eastAsia="zh-CN"/>
        </w:rPr>
        <w:t>乙方</w:t>
      </w:r>
      <w:r>
        <w:rPr>
          <w:rFonts w:hint="eastAsia" w:ascii="宋体" w:hAnsi="宋体"/>
          <w:color w:val="auto"/>
          <w:sz w:val="24"/>
          <w:highlight w:val="none"/>
        </w:rPr>
        <w:t>在双方约定时间内到达现场进行技术支持服务。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系统上线后对</w:t>
      </w:r>
      <w:r>
        <w:rPr>
          <w:rFonts w:hint="eastAsia" w:ascii="宋体" w:hAnsi="宋体"/>
          <w:color w:val="auto"/>
          <w:sz w:val="24"/>
          <w:highlight w:val="none"/>
          <w:lang w:eastAsia="zh-CN"/>
        </w:rPr>
        <w:t>甲方</w:t>
      </w:r>
      <w:r>
        <w:rPr>
          <w:rFonts w:hint="eastAsia" w:ascii="宋体" w:hAnsi="宋体"/>
          <w:color w:val="auto"/>
          <w:sz w:val="24"/>
          <w:highlight w:val="none"/>
        </w:rPr>
        <w:t>的使用科室提供操作及维护培训，提供技术咨询。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接</w:t>
      </w:r>
      <w:r>
        <w:rPr>
          <w:rFonts w:hint="eastAsia" w:ascii="宋体" w:hAnsi="宋体"/>
          <w:color w:val="auto"/>
          <w:sz w:val="24"/>
          <w:highlight w:val="none"/>
          <w:lang w:eastAsia="zh-CN"/>
        </w:rPr>
        <w:t>甲方</w:t>
      </w:r>
      <w:r>
        <w:rPr>
          <w:rFonts w:hint="eastAsia" w:ascii="宋体" w:hAnsi="宋体"/>
          <w:color w:val="auto"/>
          <w:sz w:val="24"/>
          <w:highlight w:val="none"/>
        </w:rPr>
        <w:t>报故障应在30分钟内响应，并进行远程网络排查，2小时内到达现场维修。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bCs/>
          <w:color w:val="auto"/>
          <w:sz w:val="24"/>
          <w:highlight w:val="none"/>
          <w:lang w:eastAsia="zh-CN"/>
        </w:rPr>
      </w:pPr>
      <w:r>
        <w:rPr>
          <w:rFonts w:hint="eastAsia" w:ascii="宋体" w:hAnsi="宋体"/>
          <w:b/>
          <w:bCs/>
          <w:color w:val="auto"/>
          <w:sz w:val="24"/>
          <w:highlight w:val="none"/>
        </w:rPr>
        <w:t>七、验收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验收标准：验收的主要依据包括本项目的比选文件、响应文件、合同等。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总体验收：</w:t>
      </w:r>
      <w:r>
        <w:rPr>
          <w:rFonts w:hint="eastAsia" w:ascii="宋体" w:hAnsi="宋体"/>
          <w:color w:val="auto"/>
          <w:sz w:val="24"/>
          <w:highlight w:val="none"/>
          <w:lang w:eastAsia="zh-CN"/>
        </w:rPr>
        <w:t>乙方</w:t>
      </w:r>
      <w:r>
        <w:rPr>
          <w:rFonts w:hint="eastAsia" w:ascii="宋体" w:hAnsi="宋体"/>
          <w:color w:val="auto"/>
          <w:sz w:val="24"/>
          <w:highlight w:val="none"/>
        </w:rPr>
        <w:t>须为验收提供必需的一切条件及相关费用，服务期届满后，当项目所有工作内容完成以后，由</w:t>
      </w:r>
      <w:r>
        <w:rPr>
          <w:rFonts w:hint="eastAsia" w:ascii="宋体" w:hAnsi="宋体"/>
          <w:color w:val="auto"/>
          <w:sz w:val="24"/>
          <w:highlight w:val="none"/>
          <w:lang w:eastAsia="zh-CN"/>
        </w:rPr>
        <w:t>乙方</w:t>
      </w:r>
      <w:r>
        <w:rPr>
          <w:rFonts w:hint="eastAsia" w:ascii="宋体" w:hAnsi="宋体"/>
          <w:color w:val="auto"/>
          <w:sz w:val="24"/>
          <w:highlight w:val="none"/>
        </w:rPr>
        <w:t>提交验收申请，</w:t>
      </w:r>
      <w:r>
        <w:rPr>
          <w:rFonts w:hint="eastAsia" w:ascii="宋体" w:hAnsi="宋体"/>
          <w:color w:val="auto"/>
          <w:sz w:val="24"/>
          <w:highlight w:val="none"/>
          <w:lang w:eastAsia="zh-CN"/>
        </w:rPr>
        <w:t>甲方</w:t>
      </w:r>
      <w:r>
        <w:rPr>
          <w:rFonts w:hint="eastAsia" w:ascii="宋体" w:hAnsi="宋体"/>
          <w:color w:val="auto"/>
          <w:sz w:val="24"/>
          <w:highlight w:val="none"/>
        </w:rPr>
        <w:t>组织验收小组，负责对项目进行全面验收。</w:t>
      </w:r>
      <w:r>
        <w:rPr>
          <w:rFonts w:hint="eastAsia" w:ascii="宋体" w:hAnsi="宋体"/>
          <w:color w:val="auto"/>
          <w:sz w:val="24"/>
          <w:highlight w:val="none"/>
          <w:lang w:eastAsia="zh-CN"/>
        </w:rPr>
        <w:t>乙方</w:t>
      </w:r>
      <w:r>
        <w:rPr>
          <w:rFonts w:hint="eastAsia" w:ascii="宋体" w:hAnsi="宋体"/>
          <w:color w:val="auto"/>
          <w:sz w:val="24"/>
          <w:highlight w:val="none"/>
        </w:rPr>
        <w:t>必须提供本项目的相关文档和报告，并积极配合</w:t>
      </w:r>
      <w:r>
        <w:rPr>
          <w:rFonts w:hint="eastAsia" w:ascii="宋体" w:hAnsi="宋体"/>
          <w:color w:val="auto"/>
          <w:sz w:val="24"/>
          <w:highlight w:val="none"/>
          <w:lang w:eastAsia="zh-CN"/>
        </w:rPr>
        <w:t>甲方</w:t>
      </w:r>
      <w:r>
        <w:rPr>
          <w:rFonts w:hint="eastAsia" w:ascii="宋体" w:hAnsi="宋体"/>
          <w:color w:val="auto"/>
          <w:sz w:val="24"/>
          <w:highlight w:val="none"/>
        </w:rPr>
        <w:t>进行完工验收工作，如果验收发现与详细业务需求不符或达不到规定的要求，</w:t>
      </w:r>
      <w:r>
        <w:rPr>
          <w:rFonts w:hint="eastAsia" w:ascii="宋体" w:hAnsi="宋体"/>
          <w:color w:val="auto"/>
          <w:sz w:val="24"/>
          <w:highlight w:val="none"/>
          <w:lang w:eastAsia="zh-CN"/>
        </w:rPr>
        <w:t>甲方</w:t>
      </w:r>
      <w:r>
        <w:rPr>
          <w:rFonts w:hint="eastAsia" w:ascii="宋体" w:hAnsi="宋体"/>
          <w:color w:val="auto"/>
          <w:sz w:val="24"/>
          <w:highlight w:val="none"/>
        </w:rPr>
        <w:t>有权提出索赔。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eastAsia="zh-CN"/>
        </w:rPr>
      </w:pPr>
      <w:r>
        <w:rPr>
          <w:rFonts w:hint="eastAsia" w:ascii="宋体" w:hAnsi="宋体"/>
          <w:color w:val="auto"/>
          <w:sz w:val="24"/>
          <w:highlight w:val="none"/>
          <w:lang w:val="en-US" w:eastAsia="zh-CN"/>
        </w:rPr>
        <w:t>3.</w:t>
      </w:r>
      <w:r>
        <w:rPr>
          <w:rFonts w:hint="eastAsia" w:ascii="宋体" w:hAnsi="宋体"/>
          <w:color w:val="auto"/>
          <w:sz w:val="24"/>
          <w:highlight w:val="none"/>
        </w:rPr>
        <w:t>在</w:t>
      </w:r>
      <w:r>
        <w:rPr>
          <w:rFonts w:hint="eastAsia" w:ascii="宋体" w:hAnsi="宋体"/>
          <w:color w:val="auto"/>
          <w:sz w:val="24"/>
          <w:highlight w:val="none"/>
          <w:lang w:eastAsia="zh-CN"/>
        </w:rPr>
        <w:t>甲方</w:t>
      </w:r>
      <w:r>
        <w:rPr>
          <w:rFonts w:hint="eastAsia" w:ascii="宋体" w:hAnsi="宋体"/>
          <w:color w:val="auto"/>
          <w:sz w:val="24"/>
          <w:highlight w:val="none"/>
        </w:rPr>
        <w:t>的监督下，服务过程中的各项工作和文档，须达到比选文件中技术要求的标准。</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2" w:firstLineChars="200"/>
        <w:textAlignment w:val="auto"/>
        <w:rPr>
          <w:rFonts w:ascii="宋体"/>
          <w:b/>
          <w:color w:val="auto"/>
          <w:sz w:val="24"/>
          <w:highlight w:val="none"/>
        </w:rPr>
      </w:pPr>
      <w:r>
        <w:rPr>
          <w:rFonts w:hint="eastAsia" w:ascii="宋体" w:hAnsi="宋体"/>
          <w:b/>
          <w:bCs/>
          <w:color w:val="auto"/>
          <w:sz w:val="24"/>
          <w:highlight w:val="none"/>
        </w:rPr>
        <w:t>八、</w:t>
      </w:r>
      <w:r>
        <w:rPr>
          <w:rFonts w:hint="eastAsia" w:ascii="宋体" w:hAnsi="宋体"/>
          <w:b/>
          <w:color w:val="auto"/>
          <w:sz w:val="24"/>
          <w:highlight w:val="none"/>
        </w:rPr>
        <w:t>违约责任与赔偿损失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.乙方交付的货物、工程、提供的服务不符合采购文件、报价文件或本合同规定的，甲方有权拒收，并且乙方须向甲方支付本合同金额5%的违约金。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2.乙方未能按本合同规定的交货时间交付货物、工程、提供服务，从逾期之日起每日按本合同金额3‰的数额向甲方支付违约金；逾期半个月以上的，甲方有权终止合同，由此造成的甲方经济损失由乙方承担。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3.甲方无正当理由拒收货物、接受服务，到期拒付货物、工程、提供服务款项的，甲方向乙方偿付拒付款项的5%的违约金。甲方逾期付款，则每日按逾期款项的3‰向乙方偿付违约金。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4.其它违约责任按《中华人民共和国民法典》处理。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b/>
          <w:color w:val="auto"/>
          <w:sz w:val="24"/>
          <w:highlight w:val="none"/>
        </w:rPr>
      </w:pPr>
      <w:r>
        <w:rPr>
          <w:rFonts w:hint="eastAsia" w:ascii="宋体" w:hAnsi="宋体"/>
          <w:b/>
          <w:color w:val="auto"/>
          <w:sz w:val="24"/>
          <w:highlight w:val="none"/>
        </w:rPr>
        <w:t>九、争议的解决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1.本合同的变更必须由双方协商一致，并以书面形式确定。但有下列情形之一的，一方可以向另一方提出变更合同权利与义务的请求，另一方应当在</w:t>
      </w:r>
      <w:r>
        <w:rPr>
          <w:rFonts w:hint="eastAsia" w:ascii="宋体" w:hAnsi="宋体"/>
          <w:color w:val="auto"/>
          <w:sz w:val="24"/>
          <w:highlight w:val="none"/>
          <w:u w:val="single"/>
        </w:rPr>
        <w:t xml:space="preserve"> 15 </w:t>
      </w:r>
      <w:r>
        <w:rPr>
          <w:rFonts w:hint="eastAsia" w:ascii="宋体" w:hAnsi="宋体"/>
          <w:color w:val="auto"/>
          <w:sz w:val="24"/>
          <w:highlight w:val="none"/>
        </w:rPr>
        <w:t>日内予以答复；逾期未予答复的，视为同意：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（1）发生不可抗力；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（2）一方进入破产、解散、被依法关闭、撤销或已进入清算阶段；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（3）一方财务状况严重恶化，不能支付到期债务；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（4）出现了本合同规定的或法定的解除事由。</w:t>
      </w:r>
    </w:p>
    <w:p>
      <w:pPr>
        <w:keepNext w:val="0"/>
        <w:keepLines w:val="0"/>
        <w:pageBreakBefore w:val="0"/>
        <w:widowControl w:val="0"/>
        <w:tabs>
          <w:tab w:val="left" w:pos="824"/>
        </w:tabs>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因履行本合同引起的或者与本合同有关的争议，甲乙双方应当通过友好协商方式解决；如协商不能解决的，</w:t>
      </w:r>
      <w:r>
        <w:rPr>
          <w:rFonts w:hint="eastAsia" w:ascii="宋体" w:hAnsi="宋体" w:cs="宋体"/>
          <w:color w:val="auto"/>
          <w:kern w:val="0"/>
          <w:sz w:val="24"/>
          <w:highlight w:val="none"/>
        </w:rPr>
        <w:t>双方均可向惠州市惠城区人民法院提起诉讼</w:t>
      </w:r>
      <w:r>
        <w:rPr>
          <w:rFonts w:ascii="宋体" w:hAnsi="宋体"/>
          <w:color w:val="auto"/>
          <w:sz w:val="24"/>
          <w:highlight w:val="none"/>
        </w:rPr>
        <w:t>。</w:t>
      </w:r>
    </w:p>
    <w:p>
      <w:pPr>
        <w:keepNext w:val="0"/>
        <w:keepLines w:val="0"/>
        <w:pageBreakBefore w:val="0"/>
        <w:widowControl w:val="0"/>
        <w:tabs>
          <w:tab w:val="left" w:pos="824"/>
        </w:tabs>
        <w:kinsoku/>
        <w:wordWrap/>
        <w:overflowPunct/>
        <w:topLinePunct w:val="0"/>
        <w:autoSpaceDE/>
        <w:autoSpaceDN/>
        <w:bidi w:val="0"/>
        <w:adjustRightInd/>
        <w:snapToGrid/>
        <w:spacing w:line="360" w:lineRule="auto"/>
        <w:ind w:firstLine="482" w:firstLineChars="200"/>
        <w:textAlignment w:val="auto"/>
        <w:rPr>
          <w:color w:val="auto"/>
          <w:highlight w:val="none"/>
        </w:rPr>
      </w:pPr>
      <w:r>
        <w:rPr>
          <w:rFonts w:hint="eastAsia" w:ascii="宋体" w:hAnsi="宋体"/>
          <w:b/>
          <w:bCs/>
          <w:color w:val="auto"/>
          <w:sz w:val="24"/>
          <w:highlight w:val="none"/>
        </w:rPr>
        <w:t>十、保密条款</w:t>
      </w:r>
    </w:p>
    <w:p>
      <w:pPr>
        <w:keepNext w:val="0"/>
        <w:keepLines w:val="0"/>
        <w:pageBreakBefore w:val="0"/>
        <w:widowControl w:val="0"/>
        <w:tabs>
          <w:tab w:val="left" w:pos="824"/>
        </w:tabs>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lang w:eastAsia="zh-CN"/>
        </w:rPr>
        <w:t>乙方</w:t>
      </w:r>
      <w:r>
        <w:rPr>
          <w:rFonts w:hint="eastAsia" w:ascii="宋体" w:hAnsi="宋体"/>
          <w:color w:val="auto"/>
          <w:sz w:val="24"/>
          <w:highlight w:val="none"/>
        </w:rPr>
        <w:t>必须严格保守对因本项目的服务从</w:t>
      </w:r>
      <w:r>
        <w:rPr>
          <w:rFonts w:hint="eastAsia" w:ascii="宋体" w:hAnsi="宋体"/>
          <w:color w:val="auto"/>
          <w:sz w:val="24"/>
          <w:highlight w:val="none"/>
          <w:lang w:eastAsia="zh-CN"/>
        </w:rPr>
        <w:t>甲方</w:t>
      </w:r>
      <w:r>
        <w:rPr>
          <w:rFonts w:hint="eastAsia" w:ascii="宋体" w:hAnsi="宋体"/>
          <w:color w:val="auto"/>
          <w:sz w:val="24"/>
          <w:highlight w:val="none"/>
        </w:rPr>
        <w:t>所获取的信息秘密，在未取得</w:t>
      </w:r>
      <w:r>
        <w:rPr>
          <w:rFonts w:hint="eastAsia" w:ascii="宋体" w:hAnsi="宋体"/>
          <w:color w:val="auto"/>
          <w:sz w:val="24"/>
          <w:highlight w:val="none"/>
          <w:lang w:eastAsia="zh-CN"/>
        </w:rPr>
        <w:t>甲方</w:t>
      </w:r>
      <w:r>
        <w:rPr>
          <w:rFonts w:hint="eastAsia" w:ascii="宋体" w:hAnsi="宋体"/>
          <w:color w:val="auto"/>
          <w:sz w:val="24"/>
          <w:highlight w:val="none"/>
        </w:rPr>
        <w:t>书面同意的情况下，不得以任何形式向第三方披露。在依法必须披露的情况下，</w:t>
      </w:r>
      <w:r>
        <w:rPr>
          <w:rFonts w:hint="eastAsia" w:ascii="宋体" w:hAnsi="宋体"/>
          <w:color w:val="auto"/>
          <w:sz w:val="24"/>
          <w:highlight w:val="none"/>
          <w:lang w:eastAsia="zh-CN"/>
        </w:rPr>
        <w:t>乙方</w:t>
      </w:r>
      <w:r>
        <w:rPr>
          <w:rFonts w:hint="eastAsia" w:ascii="宋体" w:hAnsi="宋体"/>
          <w:color w:val="auto"/>
          <w:sz w:val="24"/>
          <w:highlight w:val="none"/>
        </w:rPr>
        <w:t>应当立即通知</w:t>
      </w:r>
      <w:r>
        <w:rPr>
          <w:rFonts w:hint="eastAsia" w:ascii="宋体" w:hAnsi="宋体"/>
          <w:color w:val="auto"/>
          <w:sz w:val="24"/>
          <w:highlight w:val="none"/>
          <w:lang w:eastAsia="zh-CN"/>
        </w:rPr>
        <w:t>甲方</w:t>
      </w:r>
      <w:r>
        <w:rPr>
          <w:rFonts w:hint="eastAsia" w:ascii="宋体" w:hAnsi="宋体"/>
          <w:color w:val="auto"/>
          <w:sz w:val="24"/>
          <w:highlight w:val="none"/>
        </w:rPr>
        <w:t>，除非按照法律规定或生效命令不得为之。</w:t>
      </w:r>
    </w:p>
    <w:p>
      <w:pPr>
        <w:keepNext w:val="0"/>
        <w:keepLines w:val="0"/>
        <w:pageBreakBefore w:val="0"/>
        <w:widowControl w:val="0"/>
        <w:tabs>
          <w:tab w:val="left" w:pos="824"/>
        </w:tabs>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保密义务不因合同履行完毕或解除而终止，除非保密信息已经对外披露或者公众所知。</w:t>
      </w:r>
    </w:p>
    <w:p>
      <w:pPr>
        <w:keepNext w:val="0"/>
        <w:keepLines w:val="0"/>
        <w:pageBreakBefore w:val="0"/>
        <w:widowControl w:val="0"/>
        <w:tabs>
          <w:tab w:val="left" w:pos="824"/>
        </w:tabs>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highlight w:val="none"/>
        </w:rPr>
      </w:pPr>
      <w:r>
        <w:rPr>
          <w:rFonts w:hint="eastAsia" w:ascii="宋体" w:hAnsi="宋体"/>
          <w:b/>
          <w:bCs/>
          <w:color w:val="auto"/>
          <w:sz w:val="24"/>
          <w:highlight w:val="none"/>
        </w:rPr>
        <w:t>十一、</w:t>
      </w:r>
      <w:r>
        <w:rPr>
          <w:rFonts w:hint="eastAsia" w:ascii="宋体" w:hAnsi="宋体"/>
          <w:b/>
          <w:color w:val="auto"/>
          <w:sz w:val="24"/>
          <w:highlight w:val="none"/>
        </w:rPr>
        <w:t>不可抗力</w:t>
      </w:r>
    </w:p>
    <w:p>
      <w:pPr>
        <w:keepNext w:val="0"/>
        <w:keepLines w:val="0"/>
        <w:pageBreakBefore w:val="0"/>
        <w:widowControl w:val="0"/>
        <w:tabs>
          <w:tab w:val="left" w:pos="824"/>
        </w:tabs>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rPr>
        <w:t>1.由于不可预见、不可避免、不可克服等不可抗力的原因，一方不能履行合同义务的，应当在不可抗力发生之日起</w:t>
      </w:r>
      <w:r>
        <w:rPr>
          <w:rFonts w:ascii="宋体" w:hAnsi="宋体"/>
          <w:color w:val="auto"/>
          <w:sz w:val="24"/>
          <w:highlight w:val="none"/>
          <w:u w:val="single"/>
        </w:rPr>
        <w:t xml:space="preserve">     </w:t>
      </w:r>
      <w:r>
        <w:rPr>
          <w:rFonts w:ascii="宋体" w:hAnsi="宋体"/>
          <w:color w:val="auto"/>
          <w:sz w:val="24"/>
          <w:highlight w:val="none"/>
        </w:rPr>
        <w:t>天内以书面形式通知对方，证明不可抗力事件的存在。</w:t>
      </w:r>
    </w:p>
    <w:p>
      <w:pPr>
        <w:keepNext w:val="0"/>
        <w:keepLines w:val="0"/>
        <w:pageBreakBefore w:val="0"/>
        <w:widowControl w:val="0"/>
        <w:tabs>
          <w:tab w:val="left" w:pos="824"/>
        </w:tabs>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rPr>
        <w:t>2.不可抗力事件发生后，甲方和乙方应当积极寻求以合理的方式履行本合同。如不可抗力无法消除，致使合同目的无法实现的</w:t>
      </w:r>
      <w:r>
        <w:rPr>
          <w:rFonts w:hint="eastAsia" w:ascii="宋体" w:hAnsi="宋体"/>
          <w:color w:val="auto"/>
          <w:sz w:val="24"/>
          <w:highlight w:val="none"/>
        </w:rPr>
        <w:t>，允许延期履行或修订合同，并根据情况可部分或全部免于承担违约责任。</w:t>
      </w:r>
      <w:r>
        <w:rPr>
          <w:rFonts w:ascii="宋体" w:hAnsi="宋体"/>
          <w:color w:val="auto"/>
          <w:sz w:val="24"/>
          <w:highlight w:val="none"/>
        </w:rPr>
        <w:t>双方均有权解除合同，且均不互相索赔。</w:t>
      </w:r>
    </w:p>
    <w:p>
      <w:pPr>
        <w:keepNext w:val="0"/>
        <w:keepLines w:val="0"/>
        <w:pageBreakBefore w:val="0"/>
        <w:widowControl w:val="0"/>
        <w:tabs>
          <w:tab w:val="left" w:pos="824"/>
        </w:tabs>
        <w:kinsoku/>
        <w:wordWrap/>
        <w:overflowPunct/>
        <w:topLinePunct w:val="0"/>
        <w:autoSpaceDE/>
        <w:autoSpaceDN/>
        <w:bidi w:val="0"/>
        <w:adjustRightInd/>
        <w:snapToGrid/>
        <w:spacing w:line="360" w:lineRule="auto"/>
        <w:ind w:firstLine="480" w:firstLineChars="200"/>
        <w:textAlignment w:val="auto"/>
        <w:rPr>
          <w:color w:val="auto"/>
          <w:highlight w:val="none"/>
        </w:rPr>
      </w:pPr>
      <w:r>
        <w:rPr>
          <w:rFonts w:hint="eastAsia" w:ascii="宋体" w:hAnsi="宋体"/>
          <w:color w:val="auto"/>
          <w:sz w:val="24"/>
          <w:highlight w:val="none"/>
        </w:rPr>
        <w:t xml:space="preserve">3.除不可抗力事件，任何一方不得违反本合同条款。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highlight w:val="none"/>
        </w:rPr>
      </w:pPr>
      <w:r>
        <w:rPr>
          <w:rFonts w:hint="eastAsia" w:ascii="宋体" w:hAnsi="宋体"/>
          <w:b/>
          <w:color w:val="auto"/>
          <w:sz w:val="24"/>
          <w:highlight w:val="none"/>
        </w:rPr>
        <w:t>十二、税费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auto"/>
          <w:sz w:val="24"/>
          <w:highlight w:val="none"/>
        </w:rPr>
      </w:pPr>
      <w:r>
        <w:rPr>
          <w:rFonts w:hint="eastAsia" w:ascii="宋体" w:hAnsi="宋体"/>
          <w:color w:val="auto"/>
          <w:sz w:val="24"/>
          <w:highlight w:val="none"/>
        </w:rPr>
        <w:t>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b/>
          <w:color w:val="auto"/>
          <w:sz w:val="24"/>
          <w:highlight w:val="none"/>
        </w:rPr>
      </w:pPr>
      <w:r>
        <w:rPr>
          <w:rFonts w:hint="eastAsia" w:ascii="宋体" w:hAnsi="宋体"/>
          <w:b/>
          <w:color w:val="auto"/>
          <w:sz w:val="24"/>
          <w:highlight w:val="none"/>
        </w:rPr>
        <w:t>十三、其它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b/>
          <w:color w:val="auto"/>
          <w:sz w:val="24"/>
          <w:highlight w:val="none"/>
        </w:rPr>
      </w:pPr>
      <w:r>
        <w:rPr>
          <w:rFonts w:hint="eastAsia" w:ascii="宋体" w:hAnsi="宋体"/>
          <w:color w:val="auto"/>
          <w:sz w:val="24"/>
          <w:highlight w:val="none"/>
        </w:rPr>
        <w:t>1.本合同所有附件、</w:t>
      </w:r>
      <w:r>
        <w:rPr>
          <w:rFonts w:hint="eastAsia" w:ascii="宋体" w:hAnsi="宋体"/>
          <w:color w:val="auto"/>
          <w:sz w:val="24"/>
          <w:highlight w:val="none"/>
          <w:lang w:eastAsia="zh-CN"/>
        </w:rPr>
        <w:t>比选</w:t>
      </w:r>
      <w:r>
        <w:rPr>
          <w:rFonts w:hint="eastAsia" w:ascii="宋体" w:hAnsi="宋体"/>
          <w:color w:val="auto"/>
          <w:sz w:val="24"/>
          <w:highlight w:val="none"/>
        </w:rPr>
        <w:t>文件、</w:t>
      </w:r>
      <w:r>
        <w:rPr>
          <w:rFonts w:hint="eastAsia" w:ascii="宋体" w:hAnsi="宋体"/>
          <w:color w:val="auto"/>
          <w:sz w:val="24"/>
          <w:highlight w:val="none"/>
          <w:lang w:eastAsia="zh-CN"/>
        </w:rPr>
        <w:t>响应</w:t>
      </w:r>
      <w:r>
        <w:rPr>
          <w:rFonts w:hint="eastAsia" w:ascii="宋体" w:hAnsi="宋体"/>
          <w:color w:val="auto"/>
          <w:sz w:val="24"/>
          <w:highlight w:val="none"/>
        </w:rPr>
        <w:t>文件、</w:t>
      </w:r>
      <w:r>
        <w:rPr>
          <w:rFonts w:hint="eastAsia" w:ascii="宋体" w:hAnsi="宋体"/>
          <w:color w:val="auto"/>
          <w:sz w:val="24"/>
          <w:highlight w:val="none"/>
          <w:lang w:eastAsia="zh-CN"/>
        </w:rPr>
        <w:t>成交</w:t>
      </w:r>
      <w:r>
        <w:rPr>
          <w:rFonts w:hint="eastAsia" w:ascii="宋体" w:hAnsi="宋体"/>
          <w:color w:val="auto"/>
          <w:sz w:val="24"/>
          <w:highlight w:val="none"/>
        </w:rPr>
        <w:t>通知书均为合同的有效组成部分，与本合同具有同等法律效力，乙方除按本合同约定的履行合同义务外，还应按其提供的</w:t>
      </w:r>
      <w:r>
        <w:rPr>
          <w:rFonts w:hint="eastAsia" w:ascii="宋体" w:hAnsi="宋体"/>
          <w:color w:val="auto"/>
          <w:sz w:val="24"/>
          <w:highlight w:val="none"/>
          <w:lang w:eastAsia="zh-CN"/>
        </w:rPr>
        <w:t>响应</w:t>
      </w:r>
      <w:r>
        <w:rPr>
          <w:rFonts w:hint="eastAsia" w:ascii="宋体" w:hAnsi="宋体"/>
          <w:color w:val="auto"/>
          <w:sz w:val="24"/>
          <w:highlight w:val="none"/>
        </w:rPr>
        <w:t>文件中的承诺履行相关义务。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auto"/>
          <w:sz w:val="24"/>
          <w:highlight w:val="none"/>
        </w:rPr>
      </w:pPr>
      <w:r>
        <w:rPr>
          <w:rFonts w:hint="eastAsia" w:ascii="宋体" w:hAnsi="宋体"/>
          <w:bCs/>
          <w:color w:val="auto"/>
          <w:sz w:val="24"/>
          <w:highlight w:val="none"/>
        </w:rPr>
        <w:t>2.</w:t>
      </w:r>
      <w:r>
        <w:rPr>
          <w:rFonts w:hint="eastAsia" w:ascii="宋体" w:hAnsi="宋体"/>
          <w:color w:val="auto"/>
          <w:sz w:val="24"/>
          <w:highlight w:val="none"/>
        </w:rPr>
        <w:t>在执行本合同的过程中，所有经双方签署确认的文件（包括会议纪要、补充协议、往来信函）即成为本合同的有效组成部分。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3.如一方地址、电话、传真号码有变更，应在变更当日内书面通知对方，否则，应承担相应责任。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4.除甲方事先书面同意外，乙方不得部分或全部转让其应履行的合同项下的义务。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5.本合同及相关附件中所涉及的有关名词和技术术语，其定义和解释如下：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（1）软件系统、项目等词除另有指明外，均指本合同项下由甲方出资，乙方承建的</w:t>
      </w:r>
      <w:r>
        <w:rPr>
          <w:rFonts w:hint="eastAsia" w:ascii="宋体" w:hAnsi="宋体"/>
          <w:color w:val="auto"/>
          <w:sz w:val="24"/>
          <w:highlight w:val="none"/>
          <w:lang w:eastAsia="zh-CN"/>
        </w:rPr>
        <w:t>“学龄前儿童持续性注意力测评及3-6岁儿童执行功能软件”</w:t>
      </w:r>
      <w:r>
        <w:rPr>
          <w:rFonts w:hint="eastAsia" w:ascii="宋体" w:hAnsi="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2）商业秘密：是指甲方、乙方双方各自所拥有的，不为公众所知的管理信息、方式、方法、顾客名单、数据、产品信息、销售渠道、技术诀窍、计算机文档和技术资料等，或由甲方、乙方双方在履行本合同过程中明确指明为商业秘密的、法律所认可的任何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（3）工作日：是指国家所规定的节假日之外的所有工作日，未指明为工作日的日期指自然顺延的日期。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（4）规格：是指在技术或其它开发任务上所设定的关于硬件和软件的技术标准、规范。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本合同所称日期月、日，如无特指，均指自然月、自然日</w:t>
      </w:r>
      <w:r>
        <w:rPr>
          <w:rFonts w:hint="eastAsia" w:ascii="宋体" w:hAnsi="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highlight w:val="none"/>
        </w:rPr>
      </w:pPr>
      <w:r>
        <w:rPr>
          <w:rFonts w:hint="eastAsia" w:ascii="宋体" w:hAnsi="宋体"/>
          <w:b/>
          <w:color w:val="auto"/>
          <w:sz w:val="24"/>
          <w:highlight w:val="none"/>
        </w:rPr>
        <w:t>十四、廉洁自律及其他条款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rPr>
        <w:t>甲乙双方应自觉遵守廉洁自律制度，严禁商业贿赂行为。如有违反，按照国家法律法规及医院规章制度进行处理。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highlight w:val="none"/>
        </w:rPr>
      </w:pPr>
      <w:r>
        <w:rPr>
          <w:rFonts w:hint="eastAsia" w:ascii="宋体" w:hAnsi="宋体" w:eastAsia="宋体" w:cs="Times New Roman"/>
          <w:b/>
          <w:color w:val="auto"/>
          <w:kern w:val="2"/>
          <w:sz w:val="24"/>
          <w:szCs w:val="24"/>
          <w:lang w:val="en-US" w:eastAsia="zh-CN" w:bidi="ar-SA"/>
        </w:rPr>
        <w:t>十五、</w:t>
      </w:r>
      <w:r>
        <w:rPr>
          <w:rFonts w:hint="eastAsia" w:ascii="宋体" w:hAnsi="宋体"/>
          <w:b/>
          <w:color w:val="auto"/>
          <w:sz w:val="24"/>
          <w:highlight w:val="none"/>
        </w:rPr>
        <w:t>双方联系人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u w:val="single"/>
        </w:rPr>
        <w:t xml:space="preserve">         </w:t>
      </w:r>
      <w:r>
        <w:rPr>
          <w:rFonts w:hint="eastAsia" w:ascii="宋体" w:hAnsi="宋体"/>
          <w:color w:val="auto"/>
          <w:sz w:val="24"/>
          <w:highlight w:val="none"/>
        </w:rPr>
        <w:t>为甲方项目联系人，乙方指定</w:t>
      </w:r>
      <w:r>
        <w:rPr>
          <w:rFonts w:ascii="宋体" w:hAnsi="宋体"/>
          <w:color w:val="auto"/>
          <w:sz w:val="24"/>
          <w:highlight w:val="none"/>
          <w:u w:val="single"/>
        </w:rPr>
        <w:t xml:space="preserve">         </w:t>
      </w:r>
      <w:r>
        <w:rPr>
          <w:rFonts w:hint="eastAsia" w:ascii="宋体" w:hAnsi="宋体"/>
          <w:color w:val="auto"/>
          <w:sz w:val="24"/>
          <w:highlight w:val="none"/>
        </w:rPr>
        <w:t>为乙方项目联系人。项目联系人承担以下责任：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（1）对整个项目的进程负责。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（2）作为双方在项目上互相沟通，协调的主要人员</w:t>
      </w:r>
      <w:r>
        <w:rPr>
          <w:rFonts w:hint="eastAsia" w:ascii="宋体" w:hAnsi="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（3）定时、及时的向对方汇报，交流项目的进展情况。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highlight w:val="none"/>
        </w:rPr>
      </w:pPr>
      <w:r>
        <w:rPr>
          <w:rFonts w:hint="eastAsia" w:ascii="宋体" w:hAnsi="宋体"/>
          <w:color w:val="auto"/>
          <w:sz w:val="24"/>
          <w:highlight w:val="none"/>
        </w:rPr>
        <w:t>（4）一方变更项目联系人的，应当及时以书面形式通知另一方，未及时通知并影响本合同履行或造成损失的，应承担相应的责任。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highlight w:val="none"/>
        </w:rPr>
      </w:pPr>
      <w:r>
        <w:rPr>
          <w:rFonts w:hint="eastAsia" w:ascii="宋体" w:hAnsi="宋体"/>
          <w:b/>
          <w:color w:val="auto"/>
          <w:sz w:val="24"/>
          <w:highlight w:val="none"/>
        </w:rPr>
        <w:t>十六、合同生效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本合同在甲乙双方</w:t>
      </w:r>
      <w:r>
        <w:rPr>
          <w:rFonts w:hint="eastAsia" w:ascii="宋体" w:hAnsi="宋体"/>
          <w:color w:val="auto"/>
          <w:sz w:val="24"/>
          <w:highlight w:val="none"/>
          <w:lang w:val="en-US" w:eastAsia="zh-CN"/>
        </w:rPr>
        <w:t>法定代表人</w:t>
      </w:r>
      <w:r>
        <w:rPr>
          <w:rFonts w:hint="eastAsia" w:ascii="宋体" w:hAnsi="宋体"/>
          <w:color w:val="auto"/>
          <w:sz w:val="24"/>
          <w:highlight w:val="none"/>
        </w:rPr>
        <w:t>或其授权代表签字盖章后生效。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2.一式伍份，具有同等效力，甲方持肆份，乙方持壹份。</w:t>
      </w:r>
    </w:p>
    <w:p>
      <w:pPr>
        <w:spacing w:line="460" w:lineRule="exact"/>
        <w:ind w:firstLine="480" w:firstLineChars="200"/>
        <w:rPr>
          <w:rFonts w:hint="eastAsia" w:ascii="宋体" w:hAnsi="宋体"/>
          <w:color w:val="auto"/>
          <w:sz w:val="24"/>
          <w:highlight w:val="none"/>
        </w:rPr>
      </w:pPr>
    </w:p>
    <w:p>
      <w:pPr>
        <w:spacing w:line="460" w:lineRule="exact"/>
        <w:ind w:firstLine="480" w:firstLineChars="200"/>
        <w:rPr>
          <w:rFonts w:hint="eastAsia" w:ascii="宋体" w:hAnsi="宋体"/>
          <w:color w:val="auto"/>
          <w:sz w:val="24"/>
          <w:highlight w:val="none"/>
        </w:rPr>
      </w:pPr>
    </w:p>
    <w:p>
      <w:pPr>
        <w:pStyle w:val="8"/>
        <w:ind w:left="0" w:leftChars="0" w:firstLine="0" w:firstLineChars="0"/>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(以下无正文)</w:t>
      </w:r>
    </w:p>
    <w:p>
      <w:pPr>
        <w:rPr>
          <w:rFonts w:hint="eastAsia" w:ascii="宋体" w:hAnsi="宋体"/>
          <w:color w:val="auto"/>
          <w:sz w:val="24"/>
          <w:highlight w:val="none"/>
        </w:rPr>
      </w:pPr>
      <w:r>
        <w:rPr>
          <w:rFonts w:hint="eastAsia" w:ascii="宋体" w:hAnsi="宋体"/>
          <w:color w:val="auto"/>
          <w:sz w:val="24"/>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ascii="宋体"/>
          <w:color w:val="auto"/>
          <w:sz w:val="24"/>
          <w:highlight w:val="none"/>
        </w:rPr>
      </w:pPr>
      <w:r>
        <w:rPr>
          <w:rFonts w:hint="eastAsia" w:ascii="宋体" w:hAnsi="宋体" w:cs="宋体"/>
          <w:color w:val="auto"/>
          <w:sz w:val="24"/>
          <w:highlight w:val="none"/>
        </w:rPr>
        <w:t>甲方：惠州市第一妇幼保健院            乙方：</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法定代表人：                          法定代表人：</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ascii="宋体"/>
          <w:color w:val="auto"/>
          <w:sz w:val="24"/>
          <w:highlight w:val="none"/>
        </w:rPr>
      </w:pPr>
      <w:r>
        <w:rPr>
          <w:rFonts w:hint="eastAsia" w:ascii="宋体" w:hAnsi="宋体"/>
          <w:color w:val="auto"/>
          <w:sz w:val="24"/>
          <w:highlight w:val="none"/>
        </w:rPr>
        <w:t>授权代表</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授权代表</w:t>
      </w:r>
      <w:r>
        <w:rPr>
          <w:rFonts w:hint="eastAsia" w:ascii="宋体" w:hAnsi="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ascii="宋体" w:hAnsi="宋体" w:cs="宋体"/>
          <w:color w:val="auto"/>
          <w:sz w:val="24"/>
          <w:highlight w:val="none"/>
        </w:rPr>
      </w:pPr>
      <w:r>
        <w:rPr>
          <w:rFonts w:hint="eastAsia" w:ascii="宋体" w:hAnsi="宋体" w:cs="宋体"/>
          <w:color w:val="auto"/>
          <w:sz w:val="24"/>
          <w:highlight w:val="none"/>
        </w:rPr>
        <w:t>地址：惠州市演达四路5号              地址：</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ascii="宋体" w:hAnsi="宋体" w:cs="宋体"/>
          <w:color w:val="auto"/>
          <w:sz w:val="24"/>
          <w:highlight w:val="none"/>
        </w:rPr>
      </w:pPr>
      <w:r>
        <w:rPr>
          <w:rFonts w:hint="eastAsia" w:ascii="宋体" w:hAnsi="宋体" w:cs="宋体"/>
          <w:color w:val="auto"/>
          <w:sz w:val="24"/>
          <w:highlight w:val="none"/>
        </w:rPr>
        <w:t>电话：0752-7806</w:t>
      </w:r>
      <w:r>
        <w:rPr>
          <w:rFonts w:hint="eastAsia" w:ascii="宋体" w:hAnsi="宋体" w:cs="宋体"/>
          <w:color w:val="auto"/>
          <w:sz w:val="24"/>
          <w:highlight w:val="none"/>
          <w:lang w:val="en-US" w:eastAsia="zh-CN"/>
        </w:rPr>
        <w:t xml:space="preserve">628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电话：</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宋体" w:hAnsi="宋体" w:cs="宋体"/>
          <w:color w:val="auto"/>
          <w:sz w:val="24"/>
          <w:highlight w:val="none"/>
        </w:rPr>
      </w:pPr>
      <w:r>
        <w:rPr>
          <w:rFonts w:hint="eastAsia" w:ascii="宋体" w:hAnsi="宋体" w:cs="宋体"/>
          <w:color w:val="auto"/>
          <w:sz w:val="24"/>
          <w:highlight w:val="none"/>
        </w:rPr>
        <w:t>日期：   年    月   日                日期：    年    月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jc w:val="left"/>
        <w:textAlignment w:val="auto"/>
        <w:rPr>
          <w:color w:val="auto"/>
          <w:sz w:val="28"/>
          <w:szCs w:val="30"/>
          <w:highlight w:val="none"/>
        </w:rPr>
      </w:pPr>
      <w:r>
        <w:rPr>
          <w:rFonts w:hint="eastAsia" w:ascii="宋体" w:hAnsi="宋体" w:cs="宋体"/>
          <w:color w:val="auto"/>
          <w:sz w:val="24"/>
          <w:highlight w:val="none"/>
        </w:rPr>
        <w:br w:type="page"/>
      </w:r>
      <w:r>
        <w:rPr>
          <w:rFonts w:hint="eastAsia" w:ascii="宋体" w:hAnsi="宋体"/>
          <w:color w:val="auto"/>
          <w:sz w:val="24"/>
          <w:szCs w:val="24"/>
          <w:highlight w:val="none"/>
        </w:rPr>
        <w:t>附件一：项目验收报告</w:t>
      </w:r>
    </w:p>
    <w:p>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ascii="宋体" w:hAnsi="宋体" w:eastAsia="微软雅黑"/>
          <w:b/>
          <w:bCs/>
          <w:color w:val="auto"/>
          <w:sz w:val="36"/>
          <w:szCs w:val="36"/>
          <w:highlight w:val="none"/>
        </w:rPr>
      </w:pPr>
      <w:r>
        <w:rPr>
          <w:rFonts w:hint="eastAsia" w:ascii="宋体" w:hAnsi="宋体" w:eastAsia="微软雅黑"/>
          <w:b/>
          <w:bCs/>
          <w:color w:val="auto"/>
          <w:sz w:val="36"/>
          <w:szCs w:val="36"/>
          <w:highlight w:val="none"/>
          <w:u w:val="single"/>
        </w:rPr>
        <w:t xml:space="preserve">        </w:t>
      </w:r>
      <w:r>
        <w:rPr>
          <w:rFonts w:hint="eastAsia" w:ascii="宋体" w:hAnsi="宋体" w:eastAsia="微软雅黑"/>
          <w:b/>
          <w:bCs/>
          <w:color w:val="auto"/>
          <w:sz w:val="36"/>
          <w:szCs w:val="36"/>
          <w:highlight w:val="none"/>
        </w:rPr>
        <w:t>项目验收报告</w:t>
      </w:r>
    </w:p>
    <w:p>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ascii="宋体" w:hAnsi="宋体" w:eastAsia="微软雅黑"/>
          <w:b/>
          <w:bCs/>
          <w:color w:val="auto"/>
          <w:sz w:val="22"/>
          <w:szCs w:val="21"/>
          <w:highlight w:val="green"/>
        </w:rPr>
      </w:pPr>
      <w:r>
        <w:rPr>
          <w:rFonts w:hint="eastAsia" w:ascii="宋体" w:hAnsi="宋体" w:eastAsia="宋体"/>
          <w:b w:val="0"/>
          <w:bCs w:val="0"/>
          <w:color w:val="auto"/>
          <w:sz w:val="24"/>
          <w:szCs w:val="24"/>
          <w:highlight w:val="none"/>
        </w:rPr>
        <w:t>年    月    日</w:t>
      </w:r>
    </w:p>
    <w:tbl>
      <w:tblPr>
        <w:tblStyle w:val="1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3"/>
        <w:gridCol w:w="1113"/>
        <w:gridCol w:w="4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p>
        </w:tc>
        <w:tc>
          <w:tcPr>
            <w:tcW w:w="321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合同号</w:t>
            </w:r>
          </w:p>
        </w:tc>
        <w:tc>
          <w:tcPr>
            <w:tcW w:w="321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auto"/>
              <w:ind w:left="0" w:right="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合同名称</w:t>
            </w:r>
          </w:p>
        </w:tc>
        <w:tc>
          <w:tcPr>
            <w:tcW w:w="321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auto"/>
              <w:ind w:left="0" w:right="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甲方项目负责人</w:t>
            </w:r>
          </w:p>
        </w:tc>
        <w:tc>
          <w:tcPr>
            <w:tcW w:w="321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auto"/>
              <w:ind w:left="0" w:right="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乙方项目负责人</w:t>
            </w:r>
          </w:p>
        </w:tc>
        <w:tc>
          <w:tcPr>
            <w:tcW w:w="321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auto"/>
              <w:ind w:left="0" w:right="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17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验收参加人员</w:t>
            </w:r>
          </w:p>
        </w:tc>
        <w:tc>
          <w:tcPr>
            <w:tcW w:w="321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主要完成工作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1.乙方协助甲方，完成项目入场前的软件、硬件准备工作。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2.乙方系统经安装调试符合《销售合同》的要求。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3.乙方完成甲方相关应用人员及维护人员的培训工作。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auto"/>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4.乙方在项目撤场阶段与甲方信息科或临床科室项目负责人已完成相关文档资料移交。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7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甲方验收意见</w:t>
            </w:r>
          </w:p>
        </w:tc>
        <w:tc>
          <w:tcPr>
            <w:tcW w:w="321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auto"/>
              <w:ind w:left="0" w:right="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2439"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甲方代表签字（盖章）</w:t>
            </w:r>
          </w:p>
        </w:tc>
        <w:tc>
          <w:tcPr>
            <w:tcW w:w="256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乙方代表签字（盖章）</w:t>
            </w:r>
          </w:p>
        </w:tc>
      </w:tr>
    </w:tbl>
    <w:p>
      <w:pP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br w:type="page"/>
      </w:r>
    </w:p>
    <w:p>
      <w:pPr>
        <w:pStyle w:val="9"/>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第五部分  响应文件格式</w:t>
      </w:r>
    </w:p>
    <w:p>
      <w:pPr>
        <w:pStyle w:val="9"/>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仿宋" w:hAnsi="仿宋" w:eastAsia="仿宋" w:cs="仿宋"/>
          <w:b/>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一、供应商应提供有效的公司资质或厂家资质、业务代表授权书、质量保证承诺书等。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u w:val="single"/>
          <w:lang w:val="zh-CN"/>
        </w:rPr>
      </w:pPr>
      <w:r>
        <w:rPr>
          <w:rFonts w:hint="eastAsia" w:ascii="仿宋" w:hAnsi="仿宋" w:eastAsia="仿宋" w:cs="仿宋"/>
          <w:color w:val="auto"/>
          <w:sz w:val="24"/>
          <w:highlight w:val="none"/>
          <w:lang w:val="zh-CN"/>
        </w:rPr>
        <w:t>二、</w:t>
      </w:r>
      <w:r>
        <w:rPr>
          <w:rFonts w:hint="eastAsia" w:ascii="仿宋" w:hAnsi="仿宋" w:eastAsia="仿宋" w:cs="仿宋"/>
          <w:color w:val="auto"/>
          <w:sz w:val="24"/>
          <w:highlight w:val="none"/>
          <w:u w:val="single"/>
          <w:lang w:val="zh-CN"/>
        </w:rPr>
        <w:t>响应文件每页均应认真填写并加盖公章，包括附件，未盖章视为响应无效文件。所有页面必须清晰可分辨阅读，凡是有页面（含复印件）不清晰经专家讨论认为无法分辨的视为响应无效文件。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color w:val="auto"/>
          <w:sz w:val="24"/>
          <w:highlight w:val="none"/>
          <w:u w:val="single"/>
        </w:rPr>
      </w:pPr>
      <w:r>
        <w:rPr>
          <w:rFonts w:hint="eastAsia" w:ascii="仿宋" w:hAnsi="仿宋" w:eastAsia="仿宋" w:cs="仿宋"/>
          <w:color w:val="auto"/>
          <w:sz w:val="24"/>
          <w:highlight w:val="none"/>
        </w:rPr>
        <w:t>三、</w:t>
      </w:r>
      <w:r>
        <w:rPr>
          <w:rFonts w:hint="eastAsia" w:ascii="仿宋" w:hAnsi="仿宋" w:eastAsia="仿宋" w:cs="仿宋"/>
          <w:color w:val="auto"/>
          <w:sz w:val="24"/>
          <w:highlight w:val="none"/>
          <w:u w:val="single"/>
        </w:rPr>
        <w:t>响应供应商必须按照以下顺序进行响应书</w:t>
      </w:r>
      <w:r>
        <w:rPr>
          <w:rFonts w:hint="eastAsia" w:ascii="仿宋" w:hAnsi="仿宋" w:eastAsia="仿宋" w:cs="仿宋"/>
          <w:b/>
          <w:bCs/>
          <w:color w:val="auto"/>
          <w:sz w:val="24"/>
          <w:highlight w:val="none"/>
          <w:u w:val="single"/>
        </w:rPr>
        <w:t>编排装订（至少要简单装订成册，不得随意用回形针之类的别住）及盖章密封标记</w:t>
      </w:r>
      <w:r>
        <w:rPr>
          <w:rFonts w:hint="eastAsia" w:ascii="仿宋" w:hAnsi="仿宋" w:eastAsia="仿宋" w:cs="仿宋"/>
          <w:color w:val="auto"/>
          <w:sz w:val="24"/>
          <w:highlight w:val="none"/>
          <w:u w:val="single"/>
        </w:rPr>
        <w:t>，文件袋必须贴封条密封盖章，注明</w:t>
      </w:r>
      <w:r>
        <w:rPr>
          <w:rFonts w:hint="eastAsia" w:ascii="仿宋" w:hAnsi="仿宋" w:eastAsia="仿宋" w:cs="仿宋"/>
          <w:color w:val="auto"/>
          <w:sz w:val="24"/>
          <w:highlight w:val="none"/>
          <w:u w:val="single"/>
          <w:lang w:val="en-US" w:eastAsia="zh-CN"/>
        </w:rPr>
        <w:t>项目名称</w:t>
      </w:r>
      <w:r>
        <w:rPr>
          <w:rFonts w:hint="eastAsia" w:ascii="仿宋" w:hAnsi="仿宋" w:eastAsia="仿宋" w:cs="仿宋"/>
          <w:color w:val="auto"/>
          <w:sz w:val="24"/>
          <w:highlight w:val="none"/>
          <w:u w:val="single"/>
        </w:rPr>
        <w:t>，</w:t>
      </w:r>
      <w:r>
        <w:rPr>
          <w:rFonts w:hint="eastAsia" w:ascii="仿宋" w:hAnsi="仿宋" w:eastAsia="仿宋" w:cs="仿宋"/>
          <w:b/>
          <w:color w:val="auto"/>
          <w:sz w:val="24"/>
          <w:highlight w:val="none"/>
          <w:u w:val="single"/>
        </w:rPr>
        <w:t>一式</w:t>
      </w:r>
      <w:r>
        <w:rPr>
          <w:rFonts w:hint="eastAsia" w:ascii="仿宋" w:hAnsi="仿宋" w:eastAsia="仿宋" w:cs="仿宋"/>
          <w:b/>
          <w:color w:val="auto"/>
          <w:sz w:val="24"/>
          <w:highlight w:val="none"/>
          <w:u w:val="single"/>
          <w:lang w:eastAsia="zh-CN"/>
        </w:rPr>
        <w:t>两</w:t>
      </w:r>
      <w:r>
        <w:rPr>
          <w:rFonts w:hint="eastAsia" w:ascii="仿宋" w:hAnsi="仿宋" w:eastAsia="仿宋" w:cs="仿宋"/>
          <w:b/>
          <w:color w:val="auto"/>
          <w:sz w:val="24"/>
          <w:highlight w:val="none"/>
          <w:u w:val="single"/>
        </w:rPr>
        <w:t>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四、响应文件散乱未装订者不予评审，按响应无效处理；响应供应商因响应文件未装订而造成评审中资料遗失影响评审结果的，后果自负。</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 w:hAnsi="仿宋" w:eastAsia="仿宋" w:cs="仿宋"/>
          <w:b/>
          <w:bCs/>
          <w:color w:val="auto"/>
          <w:sz w:val="24"/>
          <w:highlight w:val="none"/>
          <w:u w:val="single"/>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 w:hAnsi="仿宋" w:eastAsia="仿宋" w:cs="仿宋"/>
          <w:b/>
          <w:bCs/>
          <w:color w:val="auto"/>
          <w:sz w:val="24"/>
          <w:highlight w:val="none"/>
          <w:u w:val="single"/>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响应文件格式如下：</w:t>
      </w:r>
    </w:p>
    <w:p>
      <w:pPr>
        <w:pStyle w:val="9"/>
        <w:keepNext w:val="0"/>
        <w:keepLines w:val="0"/>
        <w:pageBreakBefore w:val="0"/>
        <w:widowControl w:val="0"/>
        <w:kinsoku/>
        <w:wordWrap/>
        <w:overflowPunct/>
        <w:topLinePunct w:val="0"/>
        <w:autoSpaceDE/>
        <w:autoSpaceDN/>
        <w:bidi w:val="0"/>
        <w:adjustRightInd/>
        <w:snapToGrid/>
        <w:spacing w:line="360" w:lineRule="auto"/>
        <w:ind w:left="0" w:firstLine="1446" w:firstLineChars="200"/>
        <w:jc w:val="both"/>
        <w:textAlignment w:val="auto"/>
        <w:rPr>
          <w:rFonts w:hint="eastAsia" w:ascii="仿宋" w:hAnsi="仿宋" w:eastAsia="仿宋" w:cs="仿宋"/>
          <w:b/>
          <w:color w:val="auto"/>
          <w:kern w:val="0"/>
          <w:sz w:val="72"/>
          <w:szCs w:val="72"/>
          <w:highlight w:val="none"/>
        </w:rPr>
      </w:pPr>
    </w:p>
    <w:p>
      <w:pPr>
        <w:pStyle w:val="9"/>
        <w:keepNext w:val="0"/>
        <w:keepLines w:val="0"/>
        <w:pageBreakBefore w:val="0"/>
        <w:widowControl w:val="0"/>
        <w:kinsoku/>
        <w:wordWrap/>
        <w:overflowPunct/>
        <w:topLinePunct w:val="0"/>
        <w:autoSpaceDE/>
        <w:autoSpaceDN/>
        <w:bidi w:val="0"/>
        <w:adjustRightInd/>
        <w:snapToGrid/>
        <w:spacing w:line="360" w:lineRule="auto"/>
        <w:ind w:left="0" w:firstLine="1446" w:firstLineChars="200"/>
        <w:textAlignment w:val="auto"/>
        <w:rPr>
          <w:rFonts w:hint="eastAsia" w:ascii="仿宋" w:hAnsi="仿宋" w:eastAsia="仿宋" w:cs="仿宋"/>
          <w:b/>
          <w:color w:val="auto"/>
          <w:kern w:val="0"/>
          <w:sz w:val="72"/>
          <w:szCs w:val="72"/>
          <w:highlight w:val="none"/>
        </w:rPr>
      </w:pPr>
      <w:r>
        <w:rPr>
          <w:rFonts w:hint="eastAsia" w:ascii="仿宋" w:hAnsi="仿宋" w:eastAsia="仿宋" w:cs="仿宋"/>
          <w:b/>
          <w:color w:val="auto"/>
          <w:kern w:val="0"/>
          <w:sz w:val="72"/>
          <w:szCs w:val="72"/>
          <w:highlight w:val="none"/>
        </w:rPr>
        <w:br w:type="page"/>
      </w:r>
    </w:p>
    <w:p>
      <w:pPr>
        <w:pStyle w:val="9"/>
        <w:adjustRightInd w:val="0"/>
        <w:snapToGrid w:val="0"/>
        <w:spacing w:line="360" w:lineRule="auto"/>
        <w:jc w:val="center"/>
        <w:rPr>
          <w:rFonts w:hint="eastAsia" w:ascii="仿宋" w:hAnsi="仿宋" w:eastAsia="仿宋" w:cs="仿宋"/>
          <w:b/>
          <w:color w:val="auto"/>
          <w:kern w:val="0"/>
          <w:sz w:val="84"/>
          <w:szCs w:val="84"/>
          <w:highlight w:val="none"/>
        </w:rPr>
      </w:pPr>
      <w:r>
        <w:rPr>
          <w:rFonts w:hint="eastAsia" w:ascii="仿宋" w:hAnsi="仿宋" w:eastAsia="仿宋" w:cs="仿宋"/>
          <w:b/>
          <w:color w:val="auto"/>
          <w:kern w:val="0"/>
          <w:sz w:val="72"/>
          <w:szCs w:val="72"/>
          <w:highlight w:val="none"/>
        </w:rPr>
        <w:t>响 应 文 件</w:t>
      </w:r>
    </w:p>
    <w:p>
      <w:pPr>
        <w:pStyle w:val="9"/>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（正本/副本）</w:t>
      </w:r>
    </w:p>
    <w:p>
      <w:pPr>
        <w:pStyle w:val="9"/>
        <w:adjustRightInd w:val="0"/>
        <w:snapToGrid w:val="0"/>
        <w:spacing w:line="360" w:lineRule="auto"/>
        <w:rPr>
          <w:rFonts w:hint="eastAsia" w:ascii="仿宋" w:hAnsi="仿宋" w:eastAsia="仿宋" w:cs="仿宋"/>
          <w:b/>
          <w:color w:val="auto"/>
          <w:kern w:val="0"/>
          <w:sz w:val="24"/>
          <w:szCs w:val="24"/>
          <w:highlight w:val="none"/>
        </w:rPr>
      </w:pPr>
    </w:p>
    <w:p>
      <w:pPr>
        <w:pStyle w:val="9"/>
        <w:adjustRightInd w:val="0"/>
        <w:snapToGrid w:val="0"/>
        <w:spacing w:line="440" w:lineRule="exact"/>
        <w:rPr>
          <w:rFonts w:hint="eastAsia" w:ascii="仿宋" w:hAnsi="仿宋" w:eastAsia="仿宋" w:cs="仿宋"/>
          <w:b/>
          <w:color w:val="auto"/>
          <w:kern w:val="0"/>
          <w:sz w:val="24"/>
          <w:szCs w:val="24"/>
          <w:highlight w:val="none"/>
        </w:rPr>
      </w:pPr>
    </w:p>
    <w:p>
      <w:pPr>
        <w:pStyle w:val="9"/>
        <w:adjustRightInd w:val="0"/>
        <w:snapToGrid w:val="0"/>
        <w:spacing w:line="4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eastAsia="zh-CN"/>
        </w:rPr>
        <w:t>惠州市第一妇幼保健院</w:t>
      </w:r>
      <w:r>
        <w:rPr>
          <w:rFonts w:hint="eastAsia" w:ascii="仿宋" w:hAnsi="仿宋" w:eastAsia="仿宋" w:cs="仿宋"/>
          <w:b/>
          <w:color w:val="auto"/>
          <w:sz w:val="28"/>
          <w:szCs w:val="28"/>
          <w:highlight w:val="none"/>
        </w:rPr>
        <w:t>院内比选）</w:t>
      </w:r>
    </w:p>
    <w:p>
      <w:pPr>
        <w:pStyle w:val="9"/>
        <w:spacing w:line="360" w:lineRule="auto"/>
        <w:rPr>
          <w:rFonts w:hint="eastAsia" w:ascii="仿宋" w:hAnsi="仿宋" w:eastAsia="仿宋" w:cs="仿宋"/>
          <w:b/>
          <w:color w:val="auto"/>
          <w:sz w:val="28"/>
          <w:szCs w:val="28"/>
          <w:highlight w:val="none"/>
        </w:rPr>
      </w:pPr>
    </w:p>
    <w:p>
      <w:pPr>
        <w:pStyle w:val="9"/>
        <w:spacing w:line="360" w:lineRule="auto"/>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 xml:space="preserve">    项目编号：</w:t>
      </w:r>
    </w:p>
    <w:p>
      <w:pPr>
        <w:pStyle w:val="9"/>
        <w:adjustRightInd w:val="0"/>
        <w:snapToGrid w:val="0"/>
        <w:spacing w:line="44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w:t>
      </w:r>
    </w:p>
    <w:p>
      <w:pPr>
        <w:pStyle w:val="9"/>
        <w:adjustRightInd w:val="0"/>
        <w:snapToGrid w:val="0"/>
        <w:spacing w:line="44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项目名称： </w:t>
      </w:r>
    </w:p>
    <w:p>
      <w:pPr>
        <w:pStyle w:val="9"/>
        <w:adjustRightInd w:val="0"/>
        <w:snapToGrid w:val="0"/>
        <w:spacing w:line="440" w:lineRule="exact"/>
        <w:rPr>
          <w:rFonts w:hint="eastAsia" w:ascii="仿宋" w:hAnsi="仿宋" w:eastAsia="仿宋" w:cs="仿宋"/>
          <w:b/>
          <w:color w:val="auto"/>
          <w:kern w:val="0"/>
          <w:sz w:val="24"/>
          <w:szCs w:val="24"/>
          <w:highlight w:val="none"/>
        </w:rPr>
      </w:pPr>
    </w:p>
    <w:p>
      <w:pPr>
        <w:pStyle w:val="9"/>
        <w:adjustRightInd w:val="0"/>
        <w:snapToGrid w:val="0"/>
        <w:spacing w:line="440" w:lineRule="exact"/>
        <w:rPr>
          <w:rFonts w:hint="eastAsia" w:ascii="仿宋" w:hAnsi="仿宋" w:eastAsia="仿宋" w:cs="仿宋"/>
          <w:b/>
          <w:color w:val="auto"/>
          <w:kern w:val="0"/>
          <w:sz w:val="24"/>
          <w:szCs w:val="24"/>
          <w:highlight w:val="none"/>
        </w:rPr>
      </w:pPr>
    </w:p>
    <w:p>
      <w:pPr>
        <w:pStyle w:val="9"/>
        <w:adjustRightInd w:val="0"/>
        <w:snapToGrid w:val="0"/>
        <w:spacing w:line="440" w:lineRule="exact"/>
        <w:rPr>
          <w:rFonts w:hint="eastAsia" w:ascii="仿宋" w:hAnsi="仿宋" w:eastAsia="仿宋" w:cs="仿宋"/>
          <w:b/>
          <w:color w:val="auto"/>
          <w:kern w:val="0"/>
          <w:sz w:val="24"/>
          <w:szCs w:val="24"/>
          <w:highlight w:val="none"/>
        </w:rPr>
      </w:pPr>
    </w:p>
    <w:p>
      <w:pPr>
        <w:pStyle w:val="9"/>
        <w:adjustRightInd w:val="0"/>
        <w:snapToGrid w:val="0"/>
        <w:spacing w:line="440" w:lineRule="exact"/>
        <w:rPr>
          <w:rFonts w:hint="eastAsia" w:ascii="仿宋" w:hAnsi="仿宋" w:eastAsia="仿宋" w:cs="仿宋"/>
          <w:b/>
          <w:color w:val="auto"/>
          <w:kern w:val="0"/>
          <w:sz w:val="24"/>
          <w:szCs w:val="24"/>
          <w:highlight w:val="none"/>
        </w:rPr>
      </w:pPr>
    </w:p>
    <w:p>
      <w:pPr>
        <w:pStyle w:val="9"/>
        <w:adjustRightInd w:val="0"/>
        <w:snapToGrid w:val="0"/>
        <w:spacing w:line="440" w:lineRule="exact"/>
        <w:rPr>
          <w:rFonts w:hint="eastAsia" w:ascii="仿宋" w:hAnsi="仿宋" w:eastAsia="仿宋" w:cs="仿宋"/>
          <w:b/>
          <w:color w:val="auto"/>
          <w:kern w:val="0"/>
          <w:sz w:val="24"/>
          <w:szCs w:val="24"/>
          <w:highlight w:val="none"/>
        </w:rPr>
      </w:pPr>
    </w:p>
    <w:p>
      <w:pPr>
        <w:pStyle w:val="9"/>
        <w:adjustRightInd w:val="0"/>
        <w:snapToGrid w:val="0"/>
        <w:spacing w:line="440" w:lineRule="exact"/>
        <w:rPr>
          <w:rFonts w:hint="eastAsia" w:ascii="仿宋" w:hAnsi="仿宋" w:eastAsia="仿宋" w:cs="仿宋"/>
          <w:b/>
          <w:color w:val="auto"/>
          <w:kern w:val="0"/>
          <w:sz w:val="24"/>
          <w:szCs w:val="24"/>
          <w:highlight w:val="none"/>
        </w:rPr>
      </w:pPr>
    </w:p>
    <w:p>
      <w:pPr>
        <w:pStyle w:val="9"/>
        <w:adjustRightInd w:val="0"/>
        <w:snapToGrid w:val="0"/>
        <w:spacing w:line="440" w:lineRule="exact"/>
        <w:rPr>
          <w:rFonts w:hint="eastAsia" w:ascii="仿宋" w:hAnsi="仿宋" w:eastAsia="仿宋" w:cs="仿宋"/>
          <w:b/>
          <w:color w:val="auto"/>
          <w:kern w:val="0"/>
          <w:sz w:val="24"/>
          <w:szCs w:val="24"/>
          <w:highlight w:val="none"/>
        </w:rPr>
      </w:pPr>
    </w:p>
    <w:p>
      <w:pPr>
        <w:pStyle w:val="9"/>
        <w:adjustRightInd w:val="0"/>
        <w:snapToGrid w:val="0"/>
        <w:spacing w:line="440" w:lineRule="exact"/>
        <w:rPr>
          <w:rFonts w:hint="eastAsia" w:ascii="仿宋" w:hAnsi="仿宋" w:eastAsia="仿宋" w:cs="仿宋"/>
          <w:b/>
          <w:color w:val="auto"/>
          <w:kern w:val="0"/>
          <w:sz w:val="24"/>
          <w:szCs w:val="24"/>
          <w:highlight w:val="none"/>
          <w:lang w:eastAsia="zh-CN"/>
        </w:rPr>
      </w:pPr>
      <w:r>
        <w:rPr>
          <w:rFonts w:hint="eastAsia" w:ascii="仿宋" w:hAnsi="仿宋" w:eastAsia="仿宋" w:cs="仿宋"/>
          <w:b/>
          <w:color w:val="auto"/>
          <w:kern w:val="0"/>
          <w:sz w:val="24"/>
          <w:szCs w:val="24"/>
          <w:highlight w:val="none"/>
        </w:rPr>
        <w:t xml:space="preserve">响应供应商：                              </w:t>
      </w:r>
      <w:r>
        <w:rPr>
          <w:rFonts w:hint="eastAsia" w:ascii="仿宋" w:hAnsi="仿宋" w:eastAsia="仿宋" w:cs="仿宋"/>
          <w:b/>
          <w:color w:val="auto"/>
          <w:kern w:val="0"/>
          <w:sz w:val="24"/>
          <w:szCs w:val="24"/>
          <w:highlight w:val="none"/>
          <w:lang w:eastAsia="zh-CN"/>
        </w:rPr>
        <w:t>盖章</w:t>
      </w:r>
    </w:p>
    <w:p>
      <w:pPr>
        <w:pStyle w:val="9"/>
        <w:adjustRightInd w:val="0"/>
        <w:snapToGrid w:val="0"/>
        <w:spacing w:line="440" w:lineRule="exact"/>
        <w:rPr>
          <w:rFonts w:hint="eastAsia" w:ascii="仿宋" w:hAnsi="仿宋" w:eastAsia="仿宋" w:cs="仿宋"/>
          <w:b/>
          <w:color w:val="auto"/>
          <w:kern w:val="0"/>
          <w:sz w:val="24"/>
          <w:szCs w:val="24"/>
          <w:highlight w:val="none"/>
        </w:rPr>
      </w:pPr>
    </w:p>
    <w:p>
      <w:pPr>
        <w:pStyle w:val="9"/>
        <w:adjustRightInd w:val="0"/>
        <w:snapToGrid w:val="0"/>
        <w:spacing w:line="440" w:lineRule="exac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日      期：</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r>
        <w:rPr>
          <w:color w:val="auto"/>
          <w:highlight w:val="none"/>
        </w:rPr>
        <w:br w:type="page"/>
      </w:r>
      <w:r>
        <w:rPr>
          <w:rFonts w:hint="eastAsia" w:ascii="仿宋" w:hAnsi="仿宋" w:eastAsia="仿宋" w:cs="仿宋"/>
          <w:b/>
          <w:bCs/>
          <w:color w:val="auto"/>
          <w:sz w:val="28"/>
          <w:highlight w:val="none"/>
        </w:rPr>
        <w:t>1 资格性/符合性自查表</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046"/>
        <w:gridCol w:w="3870"/>
        <w:gridCol w:w="1709"/>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pct"/>
            <w:gridSpan w:val="2"/>
            <w:noWrap w:val="0"/>
            <w:vAlign w:val="top"/>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r>
              <w:rPr>
                <w:rFonts w:hint="eastAsia" w:ascii="仿宋" w:hAnsi="仿宋" w:eastAsia="仿宋" w:cs="仿宋"/>
                <w:b/>
                <w:bCs/>
                <w:color w:val="auto"/>
                <w:szCs w:val="21"/>
                <w:highlight w:val="none"/>
              </w:rPr>
              <w:t>评审内容</w:t>
            </w:r>
          </w:p>
        </w:tc>
        <w:tc>
          <w:tcPr>
            <w:tcW w:w="2271"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r>
              <w:rPr>
                <w:rFonts w:hint="eastAsia" w:ascii="仿宋" w:hAnsi="仿宋" w:eastAsia="仿宋" w:cs="仿宋"/>
                <w:b/>
                <w:bCs/>
                <w:color w:val="auto"/>
                <w:szCs w:val="21"/>
                <w:highlight w:val="none"/>
              </w:rPr>
              <w:t>采购文件要求</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r>
              <w:rPr>
                <w:rFonts w:hint="eastAsia" w:ascii="仿宋" w:hAnsi="仿宋" w:eastAsia="仿宋" w:cs="仿宋"/>
                <w:b/>
                <w:bCs/>
                <w:color w:val="auto"/>
                <w:szCs w:val="21"/>
                <w:highlight w:val="none"/>
              </w:rPr>
              <w:t>自查结论</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r>
              <w:rPr>
                <w:rFonts w:hint="eastAsia" w:ascii="仿宋" w:hAnsi="仿宋" w:eastAsia="仿宋" w:cs="仿宋"/>
                <w:b/>
                <w:bCs/>
                <w:color w:val="auto"/>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458" w:type="pct"/>
            <w:vMerge w:val="restar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r>
              <w:rPr>
                <w:rFonts w:hint="eastAsia" w:ascii="仿宋" w:hAnsi="仿宋" w:eastAsia="仿宋" w:cs="仿宋"/>
                <w:color w:val="auto"/>
                <w:szCs w:val="21"/>
                <w:highlight w:val="none"/>
              </w:rPr>
              <w:t>资格性审查</w:t>
            </w: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color w:val="auto"/>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具有独立承担民事责任能力</w:t>
            </w:r>
          </w:p>
        </w:tc>
        <w:tc>
          <w:tcPr>
            <w:tcW w:w="227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在中华人民共和国境内注册的具有独立承担民事责任能力的法人或其他组织（提供营业执照等证明文件）；</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具有良好的商业信誉和健全的财务会计制度</w:t>
            </w:r>
          </w:p>
        </w:tc>
        <w:tc>
          <w:tcPr>
            <w:tcW w:w="227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供应商必须具有良好的商业信誉和健全的财务会计制度。可提供：①</w:t>
            </w:r>
            <w:r>
              <w:rPr>
                <w:rFonts w:hint="eastAsia" w:ascii="仿宋" w:hAnsi="仿宋" w:eastAsia="仿宋" w:cs="仿宋"/>
                <w:color w:val="auto"/>
                <w:highlight w:val="none"/>
                <w:lang w:eastAsia="zh-CN"/>
              </w:rPr>
              <w:t>2022年</w:t>
            </w:r>
            <w:r>
              <w:rPr>
                <w:rFonts w:hint="eastAsia" w:ascii="仿宋" w:hAnsi="仿宋" w:eastAsia="仿宋" w:cs="仿宋"/>
                <w:color w:val="auto"/>
                <w:highlight w:val="none"/>
              </w:rPr>
              <w:t>至今任意一年经审计的审计报告复印件（包含审计报告中所涉及的财务报表和报表附注）；或②</w:t>
            </w:r>
            <w:r>
              <w:rPr>
                <w:rFonts w:hint="eastAsia" w:ascii="仿宋" w:hAnsi="仿宋" w:eastAsia="仿宋" w:cs="仿宋"/>
                <w:color w:val="auto"/>
                <w:highlight w:val="none"/>
                <w:lang w:eastAsia="zh-CN"/>
              </w:rPr>
              <w:t>2022年</w:t>
            </w:r>
            <w:r>
              <w:rPr>
                <w:rFonts w:hint="eastAsia" w:ascii="仿宋" w:hAnsi="仿宋" w:eastAsia="仿宋" w:cs="仿宋"/>
                <w:color w:val="auto"/>
                <w:highlight w:val="none"/>
              </w:rPr>
              <w:t>度至今任意一年</w:t>
            </w:r>
            <w:r>
              <w:rPr>
                <w:rFonts w:hint="eastAsia" w:ascii="仿宋" w:hAnsi="仿宋" w:eastAsia="仿宋" w:cs="仿宋"/>
                <w:color w:val="auto"/>
                <w:highlight w:val="none"/>
                <w:lang w:eastAsia="zh-CN"/>
              </w:rPr>
              <w:t>响应供应商</w:t>
            </w:r>
            <w:r>
              <w:rPr>
                <w:rFonts w:hint="eastAsia" w:ascii="仿宋" w:hAnsi="仿宋" w:eastAsia="仿宋" w:cs="仿宋"/>
                <w:color w:val="auto"/>
                <w:highlight w:val="none"/>
              </w:rPr>
              <w:t>人内部的财务报表复印件（新成立公司提供成立至今的月或季度财务报表复印件）；或③截至</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文件递交截止日</w:t>
            </w:r>
            <w:r>
              <w:rPr>
                <w:rFonts w:hint="eastAsia" w:ascii="仿宋" w:hAnsi="仿宋" w:eastAsia="仿宋" w:cs="仿宋"/>
                <w:color w:val="auto"/>
                <w:highlight w:val="none"/>
                <w:lang w:eastAsia="zh-CN"/>
              </w:rPr>
              <w:t>12个月内银行</w:t>
            </w:r>
            <w:r>
              <w:rPr>
                <w:rFonts w:hint="eastAsia" w:ascii="仿宋" w:hAnsi="仿宋" w:eastAsia="仿宋" w:cs="仿宋"/>
                <w:color w:val="auto"/>
                <w:highlight w:val="none"/>
              </w:rPr>
              <w:t>出具的资信证明（复印件）</w:t>
            </w:r>
            <w:r>
              <w:rPr>
                <w:rFonts w:hint="eastAsia" w:ascii="仿宋" w:hAnsi="仿宋" w:eastAsia="仿宋" w:cs="仿宋"/>
                <w:color w:val="auto"/>
                <w:highlight w:val="none"/>
                <w:lang w:eastAsia="zh-CN"/>
              </w:rPr>
              <w:t>；</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3.有</w:t>
            </w:r>
            <w:r>
              <w:rPr>
                <w:rFonts w:hint="eastAsia" w:ascii="仿宋" w:hAnsi="仿宋" w:eastAsia="仿宋" w:cs="仿宋"/>
                <w:color w:val="auto"/>
                <w:highlight w:val="none"/>
              </w:rPr>
              <w:t>依法缴纳税收</w:t>
            </w:r>
          </w:p>
        </w:tc>
        <w:tc>
          <w:tcPr>
            <w:tcW w:w="227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比选截止时间近12个月内任意一个月的依法缴纳税收证明材料（如依法免税，则须提供相应文件证明其依法免税）；</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4.有</w:t>
            </w:r>
            <w:r>
              <w:rPr>
                <w:rFonts w:hint="eastAsia" w:ascii="仿宋" w:hAnsi="仿宋" w:eastAsia="仿宋" w:cs="仿宋"/>
                <w:color w:val="auto"/>
                <w:highlight w:val="none"/>
              </w:rPr>
              <w:t>依法缴纳社会保险凭据</w:t>
            </w:r>
          </w:p>
        </w:tc>
        <w:tc>
          <w:tcPr>
            <w:tcW w:w="227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比选截止时间近12个月内任意一个月的依法缴纳社会保险凭据（如依法不需要缴纳社保，则须提供相应文件证明其依法不需要缴纳）</w:t>
            </w:r>
            <w:r>
              <w:rPr>
                <w:rFonts w:hint="eastAsia" w:ascii="仿宋" w:hAnsi="仿宋" w:eastAsia="仿宋" w:cs="仿宋"/>
                <w:color w:val="auto"/>
                <w:highlight w:val="none"/>
                <w:lang w:eastAsia="zh-CN"/>
              </w:rPr>
              <w:t>或书面声明</w:t>
            </w:r>
            <w:r>
              <w:rPr>
                <w:rFonts w:hint="eastAsia" w:ascii="仿宋" w:hAnsi="仿宋" w:eastAsia="仿宋" w:cs="仿宋"/>
                <w:color w:val="auto"/>
                <w:highlight w:val="none"/>
              </w:rPr>
              <w:t>；</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履行合同所必需的设备和专业技术能力</w:t>
            </w:r>
          </w:p>
        </w:tc>
        <w:tc>
          <w:tcPr>
            <w:tcW w:w="227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履行合同所必需的设备和专业技术能力的证明材料或书面声明；</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没有重大违法记录</w:t>
            </w:r>
          </w:p>
        </w:tc>
        <w:tc>
          <w:tcPr>
            <w:tcW w:w="227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参加政府采购活动前3年内在经营活动中没有重大违法记录的书面声明。</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7.信用记录</w:t>
            </w:r>
          </w:p>
        </w:tc>
        <w:tc>
          <w:tcPr>
            <w:tcW w:w="227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8.控股关系</w:t>
            </w:r>
          </w:p>
        </w:tc>
        <w:tc>
          <w:tcPr>
            <w:tcW w:w="227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zh-CN"/>
              </w:rPr>
              <w:t>单位负责人为同一人或者存在直接控股、管理关系的不同供应商，不得参加同一包号</w:t>
            </w:r>
            <w:r>
              <w:rPr>
                <w:rFonts w:hint="eastAsia" w:ascii="仿宋" w:hAnsi="仿宋" w:eastAsia="仿宋" w:cs="仿宋"/>
                <w:color w:val="auto"/>
                <w:szCs w:val="21"/>
                <w:highlight w:val="none"/>
                <w:lang w:val="en-US" w:eastAsia="zh-CN"/>
              </w:rPr>
              <w:t>比选</w:t>
            </w:r>
            <w:r>
              <w:rPr>
                <w:rFonts w:hint="eastAsia" w:ascii="仿宋" w:hAnsi="仿宋" w:eastAsia="仿宋" w:cs="仿宋"/>
                <w:color w:val="auto"/>
                <w:szCs w:val="21"/>
                <w:highlight w:val="none"/>
                <w:lang w:val="zh-CN"/>
              </w:rPr>
              <w:t>或者未划分包号的同一采购项目。(供应商出具声明函)</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9.不得参加本项目情况</w:t>
            </w:r>
          </w:p>
        </w:tc>
        <w:tc>
          <w:tcPr>
            <w:tcW w:w="227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zh-CN"/>
              </w:rPr>
              <w:t>为本采购项目提供整体设计、规范编制或者项目管理、监理、检测等服务的供应商，不得再参加本采购项目的采购活动。(供应商出具声明函)</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10.联合体</w:t>
            </w:r>
          </w:p>
        </w:tc>
        <w:tc>
          <w:tcPr>
            <w:tcW w:w="227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本项目不接受联合体参加比选，不允许响应供应商对各比选项目进行分包或转包(供应商出具声明函)</w:t>
            </w:r>
            <w:r>
              <w:rPr>
                <w:rFonts w:hint="eastAsia" w:ascii="仿宋" w:hAnsi="仿宋" w:eastAsia="仿宋" w:cs="仿宋"/>
                <w:color w:val="auto"/>
                <w:szCs w:val="21"/>
                <w:highlight w:val="none"/>
                <w:lang w:eastAsia="zh-CN"/>
              </w:rPr>
              <w:t>。</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11.落实政府采购政策需满足的资格要求</w:t>
            </w:r>
          </w:p>
        </w:tc>
        <w:tc>
          <w:tcPr>
            <w:tcW w:w="227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eastAsia="zh-CN"/>
              </w:rPr>
              <w:t>本项目是专门面向中小企业采购的项目，供应商应为中小微企业。（提供《中小企业声明函》,具体格式文件见比选文件</w:t>
            </w:r>
            <w:r>
              <w:rPr>
                <w:rFonts w:hint="eastAsia" w:ascii="仿宋" w:hAnsi="仿宋" w:eastAsia="仿宋" w:cs="仿宋"/>
                <w:b/>
                <w:bCs/>
                <w:color w:val="auto"/>
                <w:szCs w:val="21"/>
                <w:highlight w:val="none"/>
                <w:lang w:eastAsia="zh-CN"/>
              </w:rPr>
              <w:t>P53</w:t>
            </w:r>
            <w:r>
              <w:rPr>
                <w:rFonts w:hint="eastAsia" w:ascii="仿宋" w:hAnsi="仿宋" w:eastAsia="仿宋" w:cs="仿宋"/>
                <w:color w:val="auto"/>
                <w:szCs w:val="21"/>
                <w:highlight w:val="none"/>
                <w:lang w:eastAsia="zh-CN"/>
              </w:rPr>
              <w:t>中小企业声明函，未按要求提供声明函的将导致响应无效）。</w:t>
            </w:r>
            <w:r>
              <w:rPr>
                <w:rFonts w:hint="eastAsia" w:ascii="仿宋" w:hAnsi="仿宋" w:eastAsia="仿宋" w:cs="仿宋"/>
                <w:color w:val="auto"/>
                <w:szCs w:val="21"/>
                <w:highlight w:val="none"/>
              </w:rPr>
              <w:t>本项目中小企业划分标准</w:t>
            </w:r>
            <w:r>
              <w:rPr>
                <w:rFonts w:hint="eastAsia" w:ascii="仿宋" w:hAnsi="仿宋" w:eastAsia="仿宋" w:cs="仿宋"/>
                <w:b/>
                <w:bCs/>
                <w:color w:val="auto"/>
                <w:szCs w:val="21"/>
                <w:highlight w:val="none"/>
              </w:rPr>
              <w:t>所属行业为</w:t>
            </w:r>
            <w:r>
              <w:rPr>
                <w:rFonts w:hint="eastAsia" w:ascii="仿宋" w:hAnsi="仿宋" w:eastAsia="仿宋" w:cs="仿宋"/>
                <w:b/>
                <w:bCs/>
                <w:color w:val="auto"/>
                <w:szCs w:val="21"/>
                <w:highlight w:val="none"/>
                <w:lang w:eastAsia="zh-CN"/>
              </w:rPr>
              <w:t>：</w:t>
            </w:r>
            <w:r>
              <w:rPr>
                <w:rFonts w:hint="eastAsia" w:ascii="仿宋" w:hAnsi="仿宋" w:eastAsia="仿宋" w:cs="仿宋"/>
                <w:b/>
                <w:bCs/>
                <w:color w:val="auto"/>
                <w:szCs w:val="21"/>
                <w:highlight w:val="none"/>
                <w:lang w:val="en-US" w:eastAsia="zh-CN"/>
              </w:rPr>
              <w:t>软件和信息技术服务业</w:t>
            </w:r>
            <w:r>
              <w:rPr>
                <w:rFonts w:hint="eastAsia" w:ascii="仿宋" w:hAnsi="仿宋" w:eastAsia="仿宋" w:cs="仿宋"/>
                <w:color w:val="auto"/>
                <w:szCs w:val="21"/>
                <w:highlight w:val="none"/>
                <w:lang w:val="en-US" w:eastAsia="zh-CN"/>
              </w:rPr>
              <w:t>。</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8" w:type="pct"/>
            <w:vMerge w:val="continue"/>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color w:val="auto"/>
                <w:highlight w:val="none"/>
              </w:rPr>
            </w:pPr>
            <w:r>
              <w:rPr>
                <w:rFonts w:hint="eastAsia" w:ascii="仿宋" w:hAnsi="仿宋" w:eastAsia="仿宋" w:cs="仿宋"/>
                <w:color w:val="auto"/>
                <w:szCs w:val="21"/>
                <w:highlight w:val="none"/>
                <w:lang w:val="en-US" w:eastAsia="zh-CN"/>
              </w:rPr>
              <w:t>12.报名</w:t>
            </w:r>
          </w:p>
        </w:tc>
        <w:tc>
          <w:tcPr>
            <w:tcW w:w="227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已在医院办公室报名。</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45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color w:val="auto"/>
                <w:highlight w:val="none"/>
              </w:rPr>
            </w:pPr>
            <w:r>
              <w:rPr>
                <w:rFonts w:hint="eastAsia" w:ascii="仿宋" w:hAnsi="仿宋" w:eastAsia="仿宋" w:cs="仿宋"/>
                <w:color w:val="auto"/>
                <w:szCs w:val="21"/>
                <w:highlight w:val="none"/>
              </w:rPr>
              <w:t>符合性审查</w:t>
            </w: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文件签署</w:t>
            </w:r>
          </w:p>
        </w:tc>
        <w:tc>
          <w:tcPr>
            <w:tcW w:w="227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eastAsia="zh-CN"/>
              </w:rPr>
              <w:t>按照比选文件规定要求签署、盖章且响应文件有法定代表人签字或盖个人名章（或签字人有法定代表人有效授权书）的。</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458" w:type="pct"/>
            <w:vMerge w:val="continue"/>
            <w:noWrap w:val="0"/>
            <w:vAlign w:val="top"/>
          </w:tcPr>
          <w:p>
            <w:pPr>
              <w:keepNext w:val="0"/>
              <w:keepLines w:val="0"/>
              <w:pageBreakBefore w:val="0"/>
              <w:widowControl w:val="0"/>
              <w:kinsoku/>
              <w:wordWrap/>
              <w:overflowPunct/>
              <w:topLinePunct w:val="0"/>
              <w:autoSpaceDE/>
              <w:autoSpaceDN/>
              <w:bidi w:val="0"/>
              <w:adjustRightInd/>
              <w:snapToGrid/>
              <w:ind w:left="0" w:leftChars="0"/>
              <w:textAlignment w:val="auto"/>
              <w:rPr>
                <w:rFonts w:hint="eastAsia"/>
                <w:color w:val="auto"/>
                <w:highlight w:val="none"/>
              </w:rPr>
            </w:pP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响应有效期</w:t>
            </w:r>
          </w:p>
        </w:tc>
        <w:tc>
          <w:tcPr>
            <w:tcW w:w="2271" w:type="pct"/>
            <w:noWrap w:val="0"/>
            <w:vAlign w:val="center"/>
          </w:tcPr>
          <w:p>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lang w:eastAsia="zh-CN"/>
              </w:rPr>
              <w:t>响应函已提交并符合比选文件要求的，且响应有效期不少于比选文件中载明的响应有效期限；</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458" w:type="pct"/>
            <w:vMerge w:val="continue"/>
            <w:noWrap w:val="0"/>
            <w:vAlign w:val="top"/>
          </w:tcPr>
          <w:p>
            <w:pPr>
              <w:keepNext w:val="0"/>
              <w:keepLines w:val="0"/>
              <w:pageBreakBefore w:val="0"/>
              <w:widowControl w:val="0"/>
              <w:kinsoku/>
              <w:wordWrap/>
              <w:overflowPunct/>
              <w:topLinePunct w:val="0"/>
              <w:autoSpaceDE/>
              <w:autoSpaceDN/>
              <w:bidi w:val="0"/>
              <w:adjustRightInd/>
              <w:snapToGrid/>
              <w:ind w:left="0" w:leftChars="0"/>
              <w:textAlignment w:val="auto"/>
              <w:rPr>
                <w:rFonts w:hint="eastAsia"/>
                <w:color w:val="auto"/>
                <w:highlight w:val="none"/>
              </w:rPr>
            </w:pP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商务要求评审</w:t>
            </w:r>
          </w:p>
        </w:tc>
        <w:tc>
          <w:tcPr>
            <w:tcW w:w="2271" w:type="pct"/>
            <w:noWrap w:val="0"/>
            <w:vAlign w:val="center"/>
          </w:tcPr>
          <w:p>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eastAsia="zh-CN"/>
              </w:rPr>
              <w:t>实质性（“★”项）商务条款是否全部完全响应；</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458" w:type="pct"/>
            <w:vMerge w:val="continue"/>
            <w:noWrap w:val="0"/>
            <w:vAlign w:val="top"/>
          </w:tcPr>
          <w:p>
            <w:pPr>
              <w:keepNext w:val="0"/>
              <w:keepLines w:val="0"/>
              <w:pageBreakBefore w:val="0"/>
              <w:widowControl w:val="0"/>
              <w:kinsoku/>
              <w:wordWrap/>
              <w:overflowPunct/>
              <w:topLinePunct w:val="0"/>
              <w:autoSpaceDE/>
              <w:autoSpaceDN/>
              <w:bidi w:val="0"/>
              <w:adjustRightInd/>
              <w:snapToGrid/>
              <w:ind w:left="0" w:leftChars="0"/>
              <w:textAlignment w:val="auto"/>
              <w:rPr>
                <w:rFonts w:hint="eastAsia"/>
                <w:color w:val="auto"/>
                <w:highlight w:val="none"/>
              </w:rPr>
            </w:pP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技术</w:t>
            </w:r>
            <w:r>
              <w:rPr>
                <w:rFonts w:hint="eastAsia" w:ascii="仿宋" w:hAnsi="仿宋" w:eastAsia="仿宋" w:cs="仿宋"/>
                <w:color w:val="auto"/>
                <w:szCs w:val="21"/>
                <w:highlight w:val="none"/>
              </w:rPr>
              <w:t>要求评审</w:t>
            </w:r>
          </w:p>
        </w:tc>
        <w:tc>
          <w:tcPr>
            <w:tcW w:w="2271" w:type="pct"/>
            <w:noWrap w:val="0"/>
            <w:vAlign w:val="center"/>
          </w:tcPr>
          <w:p>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eastAsia="zh-CN"/>
              </w:rPr>
              <w:t>实质性（“★”项）技术要求条款是否全部完全响应；</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458" w:type="pct"/>
            <w:vMerge w:val="continue"/>
            <w:noWrap w:val="0"/>
            <w:vAlign w:val="top"/>
          </w:tcPr>
          <w:p>
            <w:pPr>
              <w:keepNext w:val="0"/>
              <w:keepLines w:val="0"/>
              <w:pageBreakBefore w:val="0"/>
              <w:widowControl w:val="0"/>
              <w:kinsoku/>
              <w:wordWrap/>
              <w:overflowPunct/>
              <w:topLinePunct w:val="0"/>
              <w:autoSpaceDE/>
              <w:autoSpaceDN/>
              <w:bidi w:val="0"/>
              <w:adjustRightInd/>
              <w:snapToGrid/>
              <w:ind w:left="0" w:leftChars="0"/>
              <w:textAlignment w:val="auto"/>
              <w:rPr>
                <w:rFonts w:hint="eastAsia"/>
                <w:color w:val="auto"/>
                <w:highlight w:val="none"/>
              </w:rPr>
            </w:pP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报价合理性</w:t>
            </w:r>
          </w:p>
        </w:tc>
        <w:tc>
          <w:tcPr>
            <w:tcW w:w="2271" w:type="pct"/>
            <w:noWrap w:val="0"/>
            <w:vAlign w:val="center"/>
          </w:tcPr>
          <w:p>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eastAsia="zh-CN"/>
              </w:rPr>
              <w:t>报价方案是唯一确定、报价合理。</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如有分项报价要求，各分项报价不得高于各分项最高预算单价，合计总报价是固定唯一价且无超出采购预算或最高限价；</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458" w:type="pct"/>
            <w:vMerge w:val="continue"/>
            <w:noWrap w:val="0"/>
            <w:vAlign w:val="top"/>
          </w:tcPr>
          <w:p>
            <w:pPr>
              <w:keepNext w:val="0"/>
              <w:keepLines w:val="0"/>
              <w:pageBreakBefore w:val="0"/>
              <w:widowControl w:val="0"/>
              <w:kinsoku/>
              <w:wordWrap/>
              <w:overflowPunct/>
              <w:topLinePunct w:val="0"/>
              <w:autoSpaceDE/>
              <w:autoSpaceDN/>
              <w:bidi w:val="0"/>
              <w:adjustRightInd/>
              <w:snapToGrid/>
              <w:ind w:left="0" w:leftChars="0"/>
              <w:textAlignment w:val="auto"/>
              <w:rPr>
                <w:rFonts w:hint="eastAsia"/>
                <w:color w:val="auto"/>
                <w:highlight w:val="none"/>
              </w:rPr>
            </w:pPr>
          </w:p>
        </w:tc>
        <w:tc>
          <w:tcPr>
            <w:tcW w:w="6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其他</w:t>
            </w:r>
          </w:p>
        </w:tc>
        <w:tc>
          <w:tcPr>
            <w:tcW w:w="2271" w:type="pct"/>
            <w:noWrap w:val="0"/>
            <w:vAlign w:val="center"/>
          </w:tcPr>
          <w:p>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80" w:lineRule="exact"/>
              <w:ind w:left="0" w:leftChars="0" w:right="0" w:rightChars="0"/>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eastAsia="zh-CN"/>
              </w:rPr>
              <w:t>按有关法律、法规、规章和比选文件中规定的其他无效响应情形。</w:t>
            </w:r>
          </w:p>
        </w:tc>
        <w:tc>
          <w:tcPr>
            <w:tcW w:w="100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p>
    <w:p>
      <w:pPr>
        <w:pStyle w:val="6"/>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注：以上材料将作为响应供应商</w:t>
      </w:r>
      <w:r>
        <w:rPr>
          <w:rFonts w:hint="eastAsia" w:ascii="仿宋" w:hAnsi="仿宋" w:eastAsia="仿宋" w:cs="仿宋"/>
          <w:color w:val="auto"/>
          <w:sz w:val="24"/>
          <w:szCs w:val="24"/>
          <w:highlight w:val="none"/>
          <w:lang w:val="en-US" w:eastAsia="zh-CN"/>
        </w:rPr>
        <w:t>资格性和符合性</w:t>
      </w:r>
      <w:r>
        <w:rPr>
          <w:rFonts w:hint="eastAsia" w:ascii="仿宋" w:hAnsi="仿宋" w:eastAsia="仿宋" w:cs="仿宋"/>
          <w:color w:val="auto"/>
          <w:sz w:val="24"/>
          <w:szCs w:val="24"/>
          <w:highlight w:val="none"/>
        </w:rPr>
        <w:t>审核的重要内容之一，响应供应商必须严格按照其内容及要求在响应文件中对应序列如实提供，对缺漏和不符合项将会直接导致响应无效！在对应的□打“√”，并标注页码。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响应供应商法定代表人（或法定代表人授权代表）签字：</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响应供应商名称</w:t>
      </w:r>
      <w:r>
        <w:rPr>
          <w:rFonts w:hint="eastAsia" w:ascii="仿宋" w:hAnsi="仿宋" w:eastAsia="仿宋" w:cs="仿宋"/>
          <w:color w:val="auto"/>
          <w:sz w:val="24"/>
          <w:szCs w:val="24"/>
          <w:highlight w:val="none"/>
          <w:lang w:eastAsia="zh-CN"/>
        </w:rPr>
        <w:t>（盖章）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pPr>
        <w:pStyle w:val="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br w:type="page"/>
      </w:r>
      <w:r>
        <w:rPr>
          <w:rFonts w:hint="eastAsia" w:ascii="仿宋" w:hAnsi="仿宋" w:eastAsia="仿宋" w:cs="仿宋"/>
          <w:b/>
          <w:bCs/>
          <w:color w:val="auto"/>
          <w:sz w:val="24"/>
          <w:szCs w:val="24"/>
          <w:highlight w:val="none"/>
        </w:rPr>
        <w:t>2 评审项目响应资料表</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5"/>
        <w:gridCol w:w="5476"/>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48" w:type="pct"/>
            <w:noWrap w:val="0"/>
            <w:vAlign w:val="center"/>
          </w:tcPr>
          <w:p>
            <w:pPr>
              <w:pStyle w:val="18"/>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评审分项</w:t>
            </w:r>
          </w:p>
          <w:p>
            <w:pPr>
              <w:pStyle w:val="18"/>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（评分标准）</w:t>
            </w:r>
          </w:p>
        </w:tc>
        <w:tc>
          <w:tcPr>
            <w:tcW w:w="3213" w:type="pct"/>
            <w:noWrap w:val="0"/>
            <w:vAlign w:val="center"/>
          </w:tcPr>
          <w:p>
            <w:pPr>
              <w:pStyle w:val="18"/>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评审内容</w:t>
            </w:r>
          </w:p>
        </w:tc>
        <w:tc>
          <w:tcPr>
            <w:tcW w:w="937" w:type="pct"/>
            <w:noWrap w:val="0"/>
            <w:vAlign w:val="center"/>
          </w:tcPr>
          <w:p>
            <w:pPr>
              <w:pStyle w:val="18"/>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4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rPr>
              <w:t>技术响应程度</w:t>
            </w:r>
            <w:r>
              <w:rPr>
                <w:rFonts w:hint="eastAsia" w:ascii="仿宋" w:hAnsi="仿宋" w:eastAsia="仿宋" w:cs="仿宋"/>
                <w:color w:val="auto"/>
                <w:kern w:val="2"/>
                <w:sz w:val="21"/>
                <w:szCs w:val="21"/>
                <w:highlight w:val="none"/>
                <w:lang w:val="en-US" w:eastAsia="zh-CN"/>
              </w:rPr>
              <w:t>(带▲号条款）</w:t>
            </w:r>
          </w:p>
        </w:tc>
        <w:tc>
          <w:tcPr>
            <w:tcW w:w="32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完全满足采购人需求中带▲的重要技术参数的，得</w:t>
            </w:r>
            <w:r>
              <w:rPr>
                <w:rFonts w:hint="eastAsia" w:ascii="仿宋" w:hAnsi="仿宋" w:eastAsia="仿宋" w:cs="仿宋"/>
                <w:color w:val="auto"/>
                <w:sz w:val="21"/>
                <w:szCs w:val="21"/>
                <w:highlight w:val="none"/>
                <w:lang w:val="en-US" w:eastAsia="zh-CN"/>
              </w:rPr>
              <w:t>12</w:t>
            </w:r>
            <w:r>
              <w:rPr>
                <w:rFonts w:hint="eastAsia" w:ascii="仿宋" w:hAnsi="仿宋" w:eastAsia="仿宋" w:cs="仿宋"/>
                <w:color w:val="auto"/>
                <w:sz w:val="21"/>
                <w:szCs w:val="21"/>
                <w:highlight w:val="none"/>
                <w:lang w:eastAsia="zh-CN"/>
              </w:rPr>
              <w:t>分；一项不满足得</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lang w:eastAsia="zh-CN"/>
              </w:rPr>
              <w:t>分；两项不满足得</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lang w:eastAsia="zh-CN"/>
              </w:rPr>
              <w:t>分；如此类推，每不满足一项带▲的重要技术参数的得分减少</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分，当达到</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lang w:eastAsia="zh-CN"/>
              </w:rPr>
              <w:t>项或以上时，视为严重偏离本项不得分。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both"/>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注：在每项带“▲”号的技术条款中，若要求提供佐证材料的则应按要求提供，未按采购文件要求提供证明材料的技术参数，以响应文件格式技术和服务要求响应表为准。</w:t>
            </w:r>
          </w:p>
        </w:tc>
        <w:tc>
          <w:tcPr>
            <w:tcW w:w="937" w:type="pct"/>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4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rPr>
              <w:t>技术响应程度(非▲号条款）</w:t>
            </w:r>
          </w:p>
        </w:tc>
        <w:tc>
          <w:tcPr>
            <w:tcW w:w="32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both"/>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完全满足技术参数要求中不带▲号的一般技术参数，得6分；有一项不带▲号条款负偏离，得5分；有二项不带▲号条款负偏离，得4分；有三项不带▲号条款负偏离，得3分；以此类推，当不带▲号条款负偏离达到6项时，视为严重偏离此评分项不得分。采购文件未要求提供证明材料的技术参数，以响应文件格式技术要求响应表为准。</w:t>
            </w:r>
          </w:p>
        </w:tc>
        <w:tc>
          <w:tcPr>
            <w:tcW w:w="937" w:type="pct"/>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4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rPr>
              <w:t>质量保障措施</w:t>
            </w:r>
          </w:p>
        </w:tc>
        <w:tc>
          <w:tcPr>
            <w:tcW w:w="32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GB" w:eastAsia="zh-CN"/>
              </w:rPr>
            </w:pPr>
            <w:r>
              <w:rPr>
                <w:rFonts w:hint="eastAsia" w:ascii="仿宋" w:hAnsi="仿宋" w:eastAsia="仿宋" w:cs="仿宋"/>
                <w:color w:val="auto"/>
                <w:sz w:val="21"/>
                <w:szCs w:val="21"/>
                <w:highlight w:val="none"/>
                <w:lang w:val="en-US" w:eastAsia="zh-CN"/>
              </w:rPr>
              <w:t>根据各响应供应商所提供的质量保障措施方案（包括但不限于以下内容：①</w:t>
            </w:r>
            <w:r>
              <w:rPr>
                <w:rFonts w:hint="eastAsia" w:ascii="仿宋" w:hAnsi="仿宋" w:eastAsia="仿宋" w:cs="仿宋"/>
                <w:color w:val="auto"/>
                <w:sz w:val="21"/>
                <w:szCs w:val="21"/>
                <w:highlight w:val="none"/>
                <w:lang w:val="en-GB" w:eastAsia="zh-CN"/>
              </w:rPr>
              <w:t>总体质量控制：评估质量控制方案是否全面，是否能够覆盖各种情况发生，确保服务期间对于问题处理、需求开发等每一部分都有严格的质量控制措施。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GB" w:eastAsia="zh-CN"/>
              </w:rPr>
            </w:pPr>
            <w:r>
              <w:rPr>
                <w:rFonts w:hint="eastAsia" w:ascii="仿宋" w:hAnsi="仿宋" w:eastAsia="仿宋" w:cs="仿宋"/>
                <w:color w:val="auto"/>
                <w:sz w:val="21"/>
                <w:szCs w:val="21"/>
                <w:highlight w:val="none"/>
                <w:lang w:val="en-GB" w:eastAsia="zh-CN"/>
              </w:rPr>
              <w:t>②项目进度控制：评估项目进度控制措施是否清晰，是否合理分配资源、明确关键节点，并能及时调整进度以确保规划内容按时完成。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GB" w:eastAsia="zh-CN"/>
              </w:rPr>
            </w:pPr>
            <w:r>
              <w:rPr>
                <w:rFonts w:hint="eastAsia" w:ascii="仿宋" w:hAnsi="仿宋" w:eastAsia="仿宋" w:cs="仿宋"/>
                <w:color w:val="auto"/>
                <w:sz w:val="21"/>
                <w:szCs w:val="21"/>
                <w:highlight w:val="none"/>
                <w:lang w:val="en-GB" w:eastAsia="zh-CN"/>
              </w:rPr>
              <w:t>③服务过程中质量管理方案：评估服务过程中质量管理的方案是否详细，包括质量检查、验收、反馈和改进等环节的具体安排。</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GB" w:eastAsia="zh-CN"/>
              </w:rPr>
            </w:pPr>
            <w:r>
              <w:rPr>
                <w:rFonts w:hint="eastAsia" w:ascii="仿宋" w:hAnsi="仿宋" w:eastAsia="仿宋" w:cs="仿宋"/>
                <w:color w:val="auto"/>
                <w:sz w:val="21"/>
                <w:szCs w:val="21"/>
                <w:highlight w:val="none"/>
                <w:lang w:val="en-GB" w:eastAsia="zh-CN"/>
              </w:rPr>
              <w:t>④服务过程中质量管理制度：评估服务过程中质量管理制度的健全性，是否包含质量标准、检验方法、责任分配等方面的内容，以保证服务质量持续达标。</w:t>
            </w:r>
            <w:r>
              <w:rPr>
                <w:rFonts w:hint="eastAsia" w:ascii="仿宋" w:hAnsi="仿宋" w:eastAsia="仿宋" w:cs="仿宋"/>
                <w:color w:val="auto"/>
                <w:sz w:val="21"/>
                <w:szCs w:val="21"/>
                <w:highlight w:val="none"/>
                <w:lang w:val="en-US" w:eastAsia="zh-CN"/>
              </w:rPr>
              <w:t>）进行评价：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GB"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val="en-GB" w:eastAsia="zh-CN"/>
              </w:rPr>
              <w:t>提供完整且详细的保障措施，得10分；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GB" w:eastAsia="zh-CN"/>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val="en-GB" w:eastAsia="zh-CN"/>
              </w:rPr>
              <w:t>提供清晰的保障措施，但不够详细，得</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lang w:val="en-GB" w:eastAsia="zh-CN"/>
              </w:rPr>
              <w:t>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GB" w:eastAsia="zh-CN"/>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val="en-GB" w:eastAsia="zh-CN"/>
              </w:rPr>
              <w:t>提供基础的保障措施，但内容简略，得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val="en-GB" w:eastAsia="zh-CN"/>
              </w:rPr>
              <w:t>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both"/>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val="en-GB" w:eastAsia="zh-CN"/>
              </w:rPr>
              <w:t>提供的保障措施不完整，模糊质量保障或不提供方案不得分。</w:t>
            </w:r>
          </w:p>
        </w:tc>
        <w:tc>
          <w:tcPr>
            <w:tcW w:w="937" w:type="pct"/>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rPr>
              <w:t>项目</w:t>
            </w:r>
            <w:r>
              <w:rPr>
                <w:rFonts w:hint="eastAsia" w:ascii="仿宋" w:hAnsi="仿宋" w:eastAsia="仿宋" w:cs="仿宋"/>
                <w:color w:val="auto"/>
                <w:kern w:val="2"/>
                <w:sz w:val="21"/>
                <w:szCs w:val="21"/>
                <w:highlight w:val="none"/>
                <w:lang w:eastAsia="zh-CN"/>
              </w:rPr>
              <w:t>服务方案</w:t>
            </w:r>
          </w:p>
        </w:tc>
        <w:tc>
          <w:tcPr>
            <w:tcW w:w="32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根据供应商提供的项目方案（包括但不限于实施改善项目方案、项目实施保障、预期成果等）进行评分：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1.方案合理性、完整性强，具备可行性，完全满足且优于采购需求的得10分；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2.方案合理性、完整性较强，比较具备可行性，完全满足采购需求的得6分；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3.方案合理性、完整性较差，不具备可行性，不能完全满足采购需求的得2分；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both"/>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4.未提供实施方案不得分。</w:t>
            </w:r>
          </w:p>
        </w:tc>
        <w:tc>
          <w:tcPr>
            <w:tcW w:w="937" w:type="pct"/>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4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Hans" w:bidi="ar-SA"/>
              </w:rPr>
              <w:t>综合实力</w:t>
            </w:r>
          </w:p>
        </w:tc>
        <w:tc>
          <w:tcPr>
            <w:tcW w:w="32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GB" w:eastAsia="zh-CN"/>
              </w:rPr>
            </w:pPr>
            <w:r>
              <w:rPr>
                <w:rFonts w:hint="eastAsia" w:ascii="仿宋" w:hAnsi="仿宋" w:eastAsia="仿宋" w:cs="仿宋"/>
                <w:color w:val="auto"/>
                <w:sz w:val="21"/>
                <w:szCs w:val="21"/>
                <w:highlight w:val="none"/>
                <w:lang w:val="en-US" w:eastAsia="zh-CN"/>
              </w:rPr>
              <w:t>1.供应商拥</w:t>
            </w:r>
            <w:r>
              <w:rPr>
                <w:rFonts w:hint="eastAsia" w:ascii="仿宋" w:hAnsi="仿宋" w:eastAsia="仿宋" w:cs="仿宋"/>
                <w:color w:val="auto"/>
                <w:sz w:val="21"/>
                <w:szCs w:val="21"/>
                <w:highlight w:val="none"/>
                <w:lang w:val="en-GB" w:eastAsia="zh-CN"/>
              </w:rPr>
              <w:t>有与本项目相关系统的</w:t>
            </w:r>
            <w:r>
              <w:rPr>
                <w:rFonts w:hint="eastAsia" w:ascii="仿宋" w:hAnsi="仿宋" w:eastAsia="仿宋" w:cs="仿宋"/>
                <w:color w:val="auto"/>
                <w:sz w:val="21"/>
                <w:szCs w:val="21"/>
                <w:highlight w:val="none"/>
                <w:lang w:val="en-US" w:eastAsia="zh-CN"/>
              </w:rPr>
              <w:t>《计算机软件著作权登记证书》</w:t>
            </w:r>
            <w:r>
              <w:rPr>
                <w:rFonts w:hint="eastAsia" w:ascii="仿宋" w:hAnsi="仿宋" w:eastAsia="仿宋" w:cs="仿宋"/>
                <w:color w:val="auto"/>
                <w:sz w:val="21"/>
                <w:szCs w:val="21"/>
                <w:highlight w:val="none"/>
                <w:lang w:val="en-GB" w:eastAsia="zh-CN"/>
              </w:rPr>
              <w:t>或授权证书，满足条件得5分，不提供不得分得5分。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GB" w:eastAsia="zh-CN"/>
              </w:rPr>
              <w:t>注：需提供</w:t>
            </w:r>
            <w:r>
              <w:rPr>
                <w:rFonts w:hint="eastAsia" w:ascii="仿宋" w:hAnsi="仿宋" w:eastAsia="仿宋" w:cs="仿宋"/>
                <w:color w:val="auto"/>
                <w:sz w:val="21"/>
                <w:szCs w:val="21"/>
                <w:highlight w:val="none"/>
                <w:lang w:val="en-US" w:eastAsia="zh-CN"/>
              </w:rPr>
              <w:t>《计算机软件著作权登记证书》</w:t>
            </w:r>
            <w:r>
              <w:rPr>
                <w:rFonts w:hint="eastAsia" w:ascii="仿宋" w:hAnsi="仿宋" w:eastAsia="仿宋" w:cs="仿宋"/>
                <w:color w:val="auto"/>
                <w:sz w:val="21"/>
                <w:szCs w:val="21"/>
                <w:highlight w:val="none"/>
                <w:lang w:val="en-GB" w:eastAsia="zh-CN"/>
              </w:rPr>
              <w:t>或授权书复印件并加盖公章。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2.供应商具备以下有效证书的，每提供一项，得1分，最高得3分，不提供不得分：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GB" w:eastAsia="zh-CN"/>
              </w:rPr>
              <w:t>（1）</w:t>
            </w:r>
            <w:r>
              <w:rPr>
                <w:rFonts w:hint="eastAsia" w:ascii="仿宋" w:hAnsi="仿宋" w:eastAsia="仿宋" w:cs="仿宋"/>
                <w:color w:val="auto"/>
                <w:sz w:val="21"/>
                <w:szCs w:val="21"/>
                <w:highlight w:val="none"/>
                <w:lang w:val="en-US" w:eastAsia="zh-CN"/>
              </w:rPr>
              <w:t>具有质量管理体系认证证书；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GB" w:eastAsia="zh-CN"/>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val="en-GB" w:eastAsia="zh-CN"/>
              </w:rPr>
              <w:t>）</w:t>
            </w:r>
            <w:r>
              <w:rPr>
                <w:rFonts w:hint="eastAsia" w:ascii="仿宋" w:hAnsi="仿宋" w:eastAsia="仿宋" w:cs="仿宋"/>
                <w:color w:val="auto"/>
                <w:sz w:val="21"/>
                <w:szCs w:val="21"/>
                <w:highlight w:val="none"/>
                <w:lang w:val="en-US" w:eastAsia="zh-CN"/>
              </w:rPr>
              <w:t>具有环境管理体系认证证书；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GB" w:eastAsia="zh-CN"/>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val="en-GB" w:eastAsia="zh-CN"/>
              </w:rPr>
              <w:t>）</w:t>
            </w:r>
            <w:r>
              <w:rPr>
                <w:rFonts w:hint="eastAsia" w:ascii="仿宋" w:hAnsi="仿宋" w:eastAsia="仿宋" w:cs="仿宋"/>
                <w:color w:val="auto"/>
                <w:sz w:val="21"/>
                <w:szCs w:val="21"/>
                <w:highlight w:val="none"/>
                <w:lang w:val="en-US" w:eastAsia="zh-CN"/>
              </w:rPr>
              <w:t>具有职业健康安全管理体系认证证书。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both"/>
              <w:textAlignment w:val="auto"/>
              <w:rPr>
                <w:rFonts w:hint="eastAsia" w:ascii="Calibri" w:hAnsi="Calibri" w:eastAsia="宋体" w:cs="Times New Roman"/>
                <w:kern w:val="2"/>
                <w:sz w:val="21"/>
                <w:szCs w:val="21"/>
                <w:lang w:val="en-US" w:eastAsia="zh-CN" w:bidi="ar-SA"/>
              </w:rPr>
            </w:pPr>
            <w:r>
              <w:rPr>
                <w:rFonts w:hint="eastAsia" w:ascii="仿宋" w:hAnsi="仿宋" w:eastAsia="仿宋" w:cs="仿宋"/>
                <w:color w:val="auto"/>
                <w:sz w:val="21"/>
                <w:szCs w:val="21"/>
                <w:highlight w:val="none"/>
                <w:lang w:val="en-US" w:eastAsia="zh-CN"/>
              </w:rPr>
              <w:t>注：须同时提供以上证书扫描件及国家认证认可监督管理委员的</w:t>
            </w:r>
            <w:r>
              <w:rPr>
                <w:rFonts w:hint="default"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lang w:val="en-US" w:eastAsia="zh-CN"/>
              </w:rPr>
              <w:t>全国认证认可信息公共服务平台</w:t>
            </w:r>
            <w:r>
              <w:rPr>
                <w:rFonts w:hint="default"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lang w:val="en-US" w:eastAsia="zh-CN"/>
              </w:rPr>
              <w:t>（</w:t>
            </w:r>
            <w:r>
              <w:rPr>
                <w:rFonts w:hint="default" w:ascii="仿宋" w:hAnsi="仿宋" w:eastAsia="仿宋" w:cs="仿宋"/>
                <w:color w:val="auto"/>
                <w:sz w:val="21"/>
                <w:szCs w:val="21"/>
                <w:highlight w:val="none"/>
                <w:lang w:val="en-US" w:eastAsia="zh-CN"/>
              </w:rPr>
              <w:t>http://cx.cnca.cn</w:t>
            </w:r>
            <w:r>
              <w:rPr>
                <w:rFonts w:hint="eastAsia" w:ascii="仿宋" w:hAnsi="仿宋" w:eastAsia="仿宋" w:cs="仿宋"/>
                <w:color w:val="auto"/>
                <w:sz w:val="21"/>
                <w:szCs w:val="21"/>
                <w:highlight w:val="none"/>
                <w:lang w:val="en-US" w:eastAsia="zh-CN"/>
              </w:rPr>
              <w:t>）查询结果截图，失效、撤销或暂停的对应证书项不得分。因企业成立时间不足，导致未能取得相关认证且提供书面说明的，可获得对应证书的分值。</w:t>
            </w:r>
          </w:p>
        </w:tc>
        <w:tc>
          <w:tcPr>
            <w:tcW w:w="937" w:type="pct"/>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4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Hans" w:bidi="ar-SA"/>
              </w:rPr>
              <w:t>项目团队</w:t>
            </w:r>
          </w:p>
        </w:tc>
        <w:tc>
          <w:tcPr>
            <w:tcW w:w="32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u w:val="none"/>
                <w:lang w:val="en-US" w:eastAsia="zh-CN" w:bidi="ar-SA"/>
              </w:rPr>
              <w:t>根据供应商</w:t>
            </w:r>
            <w:r>
              <w:rPr>
                <w:rFonts w:hint="default" w:ascii="仿宋" w:hAnsi="仿宋" w:eastAsia="仿宋" w:cs="仿宋"/>
                <w:color w:val="auto"/>
                <w:kern w:val="0"/>
                <w:sz w:val="21"/>
                <w:szCs w:val="21"/>
                <w:highlight w:val="none"/>
                <w:u w:val="none"/>
                <w:lang w:val="en-US" w:eastAsia="zh-CN" w:bidi="ar-SA"/>
              </w:rPr>
              <w:t>拟派项目服务团队</w:t>
            </w:r>
            <w:r>
              <w:rPr>
                <w:rFonts w:hint="eastAsia" w:ascii="仿宋" w:hAnsi="仿宋" w:eastAsia="仿宋" w:cs="仿宋"/>
                <w:color w:val="auto"/>
                <w:kern w:val="0"/>
                <w:sz w:val="21"/>
                <w:szCs w:val="21"/>
                <w:highlight w:val="none"/>
                <w:u w:val="none"/>
                <w:lang w:val="en-US" w:eastAsia="zh-CN" w:bidi="ar-SA"/>
              </w:rPr>
              <w:t>进行评审</w:t>
            </w:r>
            <w:r>
              <w:rPr>
                <w:rFonts w:hint="eastAsia" w:ascii="仿宋" w:hAnsi="仿宋" w:eastAsia="仿宋" w:cs="仿宋"/>
                <w:color w:val="auto"/>
                <w:sz w:val="21"/>
                <w:szCs w:val="21"/>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GB" w:eastAsia="zh-CN"/>
              </w:rPr>
            </w:pPr>
            <w:r>
              <w:rPr>
                <w:rFonts w:hint="eastAsia" w:ascii="仿宋" w:hAnsi="仿宋" w:eastAsia="仿宋" w:cs="仿宋"/>
                <w:color w:val="auto"/>
                <w:sz w:val="21"/>
                <w:szCs w:val="21"/>
                <w:highlight w:val="none"/>
                <w:lang w:val="en-GB" w:eastAsia="zh-CN"/>
              </w:rPr>
              <w:t>1</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lang w:val="en-GB" w:eastAsia="zh-CN"/>
              </w:rPr>
              <w:t>拟派本项目负责人（1人），</w:t>
            </w:r>
            <w:r>
              <w:rPr>
                <w:rFonts w:hint="eastAsia" w:ascii="仿宋" w:hAnsi="仿宋" w:eastAsia="仿宋" w:cs="仿宋"/>
                <w:color w:val="auto"/>
                <w:kern w:val="0"/>
                <w:sz w:val="21"/>
                <w:szCs w:val="21"/>
                <w:highlight w:val="none"/>
                <w:u w:val="none"/>
                <w:lang w:val="en-GB" w:eastAsia="zh-CN" w:bidi="ar-SA"/>
              </w:rPr>
              <w:t>本项最高得</w:t>
            </w:r>
            <w:r>
              <w:rPr>
                <w:rFonts w:hint="eastAsia" w:ascii="仿宋" w:hAnsi="仿宋" w:eastAsia="仿宋" w:cs="仿宋"/>
                <w:color w:val="auto"/>
                <w:kern w:val="0"/>
                <w:sz w:val="21"/>
                <w:szCs w:val="21"/>
                <w:highlight w:val="none"/>
                <w:u w:val="none"/>
                <w:lang w:val="en-US" w:eastAsia="zh-CN" w:bidi="ar-SA"/>
              </w:rPr>
              <w:t>4分</w:t>
            </w:r>
            <w:r>
              <w:rPr>
                <w:rFonts w:hint="eastAsia" w:ascii="仿宋" w:hAnsi="仿宋" w:eastAsia="仿宋" w:cs="仿宋"/>
                <w:color w:val="auto"/>
                <w:sz w:val="21"/>
                <w:szCs w:val="21"/>
                <w:highlight w:val="none"/>
                <w:lang w:val="en-GB"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GB" w:eastAsia="zh-CN"/>
              </w:rPr>
              <w:t>（</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val="en-GB" w:eastAsia="zh-CN"/>
              </w:rPr>
              <w:t>）具备本科（及以上）学历，得</w:t>
            </w:r>
            <w:r>
              <w:rPr>
                <w:rFonts w:hint="eastAsia" w:ascii="仿宋" w:hAnsi="仿宋" w:eastAsia="仿宋" w:cs="仿宋"/>
                <w:color w:val="auto"/>
                <w:sz w:val="21"/>
                <w:szCs w:val="21"/>
                <w:highlight w:val="none"/>
                <w:lang w:val="en-US" w:eastAsia="zh-CN"/>
              </w:rPr>
              <w:t>2分；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GB" w:eastAsia="zh-CN"/>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val="en-GB" w:eastAsia="zh-CN"/>
              </w:rPr>
              <w:t>具备人力资源和社会保障部门颁发的信息系统项目管理师或软件设计师，得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val="en-GB" w:eastAsia="zh-CN"/>
              </w:rPr>
              <w:t>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GB" w:eastAsia="zh-CN"/>
              </w:rPr>
            </w:pPr>
            <w:r>
              <w:rPr>
                <w:rFonts w:hint="eastAsia" w:ascii="仿宋" w:hAnsi="仿宋" w:eastAsia="仿宋" w:cs="仿宋"/>
                <w:color w:val="auto"/>
                <w:sz w:val="21"/>
                <w:szCs w:val="21"/>
                <w:highlight w:val="none"/>
                <w:lang w:val="en-GB" w:eastAsia="zh-CN"/>
              </w:rPr>
              <w:t>2</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lang w:val="en-GB" w:eastAsia="zh-CN"/>
              </w:rPr>
              <w:t>项目团队成员（不含项目负责人），本项最高得</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lang w:val="en-GB" w:eastAsia="zh-CN"/>
              </w:rPr>
              <w:t>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GB" w:eastAsia="zh-CN"/>
              </w:rPr>
              <w:t>（</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val="en-GB" w:eastAsia="zh-CN"/>
              </w:rPr>
              <w:t>）具备本科（及以上）学历，</w:t>
            </w:r>
            <w:r>
              <w:rPr>
                <w:rFonts w:hint="eastAsia" w:ascii="仿宋" w:hAnsi="仿宋" w:eastAsia="仿宋" w:cs="仿宋"/>
                <w:color w:val="auto"/>
                <w:kern w:val="0"/>
                <w:sz w:val="21"/>
                <w:szCs w:val="21"/>
                <w:highlight w:val="none"/>
                <w:u w:val="none"/>
                <w:lang w:val="en-GB" w:eastAsia="zh-CN" w:bidi="ar-SA"/>
              </w:rPr>
              <w:t>每提供一人得</w:t>
            </w:r>
            <w:r>
              <w:rPr>
                <w:rFonts w:hint="eastAsia" w:ascii="仿宋" w:hAnsi="仿宋" w:eastAsia="仿宋" w:cs="仿宋"/>
                <w:color w:val="auto"/>
                <w:kern w:val="0"/>
                <w:sz w:val="21"/>
                <w:szCs w:val="21"/>
                <w:highlight w:val="none"/>
                <w:u w:val="none"/>
                <w:lang w:val="en-US" w:eastAsia="zh-CN" w:bidi="ar-SA"/>
              </w:rPr>
              <w:t>1分，最高得3分</w:t>
            </w:r>
            <w:r>
              <w:rPr>
                <w:rFonts w:hint="eastAsia" w:ascii="仿宋" w:hAnsi="仿宋" w:eastAsia="仿宋" w:cs="仿宋"/>
                <w:color w:val="auto"/>
                <w:sz w:val="21"/>
                <w:szCs w:val="21"/>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val="en-GB" w:eastAsia="zh-CN"/>
              </w:rPr>
              <w:t>具备人力资源和社会保障部门颁发的系统集成项目管理工程师或软件设计师或数据库系统工程师资质的，</w:t>
            </w:r>
            <w:r>
              <w:rPr>
                <w:rFonts w:hint="eastAsia" w:ascii="仿宋" w:hAnsi="仿宋" w:eastAsia="仿宋" w:cs="仿宋"/>
                <w:color w:val="auto"/>
                <w:kern w:val="0"/>
                <w:sz w:val="21"/>
                <w:szCs w:val="21"/>
                <w:highlight w:val="none"/>
                <w:u w:val="none"/>
                <w:lang w:val="en-GB" w:eastAsia="zh-CN" w:bidi="ar-SA"/>
              </w:rPr>
              <w:t>每提供一人得</w:t>
            </w:r>
            <w:r>
              <w:rPr>
                <w:rFonts w:hint="eastAsia" w:ascii="仿宋" w:hAnsi="仿宋" w:eastAsia="仿宋" w:cs="仿宋"/>
                <w:color w:val="auto"/>
                <w:kern w:val="0"/>
                <w:sz w:val="21"/>
                <w:szCs w:val="21"/>
                <w:highlight w:val="none"/>
                <w:u w:val="none"/>
                <w:lang w:val="en-US" w:eastAsia="zh-CN" w:bidi="ar-SA"/>
              </w:rPr>
              <w:t>1分，最高得3分</w:t>
            </w:r>
            <w:r>
              <w:rPr>
                <w:rFonts w:hint="eastAsia" w:ascii="仿宋" w:hAnsi="仿宋" w:eastAsia="仿宋" w:cs="仿宋"/>
                <w:color w:val="auto"/>
                <w:sz w:val="21"/>
                <w:szCs w:val="21"/>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both"/>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GB" w:eastAsia="zh-CN"/>
              </w:rPr>
              <w:t>注：①序号</w:t>
            </w:r>
            <w:r>
              <w:rPr>
                <w:rFonts w:hint="eastAsia" w:ascii="仿宋" w:hAnsi="仿宋" w:eastAsia="仿宋" w:cs="仿宋"/>
                <w:color w:val="auto"/>
                <w:sz w:val="21"/>
                <w:szCs w:val="21"/>
                <w:highlight w:val="none"/>
                <w:lang w:val="en-US" w:eastAsia="zh-CN"/>
              </w:rPr>
              <w:t>1、序号2可以同一个人具备；②</w:t>
            </w:r>
            <w:r>
              <w:rPr>
                <w:rFonts w:hint="eastAsia" w:ascii="仿宋" w:hAnsi="仿宋" w:eastAsia="仿宋" w:cs="仿宋"/>
                <w:color w:val="auto"/>
                <w:sz w:val="21"/>
                <w:szCs w:val="21"/>
                <w:highlight w:val="none"/>
                <w:lang w:val="en-GB" w:eastAsia="zh-CN"/>
              </w:rPr>
              <w:t>需提供上述人员在响应截止日前近半年内任意1个月缴纳的社保明细（若公司成立未到半年，按公司成立实际时间提供实缴社保明细），并由单位盖章，以及相关证书复印件作为凭证；③无提供或提供的材料不符合要求的不得分。</w:t>
            </w:r>
          </w:p>
        </w:tc>
        <w:tc>
          <w:tcPr>
            <w:tcW w:w="937" w:type="pct"/>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4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GB" w:eastAsia="zh-CN" w:bidi="ar-SA"/>
              </w:rPr>
              <w:t>售后服务方案</w:t>
            </w:r>
          </w:p>
        </w:tc>
        <w:tc>
          <w:tcPr>
            <w:tcW w:w="32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GB" w:eastAsia="zh-CN"/>
              </w:rPr>
            </w:pPr>
            <w:r>
              <w:rPr>
                <w:rFonts w:hint="eastAsia" w:ascii="仿宋" w:hAnsi="仿宋" w:eastAsia="仿宋" w:cs="仿宋"/>
                <w:color w:val="auto"/>
                <w:sz w:val="21"/>
                <w:szCs w:val="21"/>
                <w:highlight w:val="none"/>
                <w:lang w:val="en-GB" w:eastAsia="zh-CN"/>
              </w:rPr>
              <w:t>对</w:t>
            </w:r>
            <w:r>
              <w:rPr>
                <w:rFonts w:hint="eastAsia" w:ascii="仿宋" w:hAnsi="仿宋" w:eastAsia="仿宋" w:cs="仿宋"/>
                <w:color w:val="auto"/>
                <w:sz w:val="21"/>
                <w:szCs w:val="21"/>
                <w:highlight w:val="none"/>
                <w:lang w:val="en-US" w:eastAsia="zh-CN"/>
              </w:rPr>
              <w:t>供应商</w:t>
            </w:r>
            <w:r>
              <w:rPr>
                <w:rFonts w:hint="eastAsia" w:ascii="仿宋" w:hAnsi="仿宋" w:eastAsia="仿宋" w:cs="仿宋"/>
                <w:color w:val="auto"/>
                <w:sz w:val="21"/>
                <w:szCs w:val="21"/>
                <w:highlight w:val="none"/>
                <w:lang w:val="en-GB" w:eastAsia="zh-CN"/>
              </w:rPr>
              <w:t>提供的售后服务方案（包括但不限于质保期、维护保养方案、应急维修时间、维修的及时性、安排的合理性等）是否完善具体，各阶段服务计划是否详尽进行综合评审：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GB" w:eastAsia="zh-Hans"/>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val="en-GB" w:eastAsia="zh-Hans"/>
              </w:rPr>
              <w:t>方案详细周全、科学合理、针对性强的，得</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lang w:val="en-GB" w:eastAsia="zh-Hans"/>
              </w:rPr>
              <w:t>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GB" w:eastAsia="zh-Hans"/>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val="en-GB" w:eastAsia="zh-Hans"/>
              </w:rPr>
              <w:t>方案基本合理、清晰可行的，得</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lang w:val="en-GB" w:eastAsia="zh-Hans"/>
              </w:rPr>
              <w:t>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GB" w:eastAsia="zh-Hans"/>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val="en-GB" w:eastAsia="zh-Hans"/>
              </w:rPr>
              <w:t>方案较简略、针对性不强的，得</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val="en-GB" w:eastAsia="zh-Hans"/>
              </w:rPr>
              <w:t>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both"/>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val="en-GB" w:eastAsia="zh-Hans"/>
              </w:rPr>
              <w:t>未提供</w:t>
            </w:r>
            <w:r>
              <w:rPr>
                <w:rFonts w:hint="eastAsia" w:ascii="仿宋" w:hAnsi="仿宋" w:eastAsia="仿宋" w:cs="仿宋"/>
                <w:color w:val="auto"/>
                <w:sz w:val="21"/>
                <w:szCs w:val="21"/>
                <w:highlight w:val="none"/>
                <w:lang w:val="en-GB" w:eastAsia="zh-CN"/>
              </w:rPr>
              <w:t>不得</w:t>
            </w:r>
            <w:r>
              <w:rPr>
                <w:rFonts w:hint="eastAsia" w:ascii="仿宋" w:hAnsi="仿宋" w:eastAsia="仿宋" w:cs="仿宋"/>
                <w:color w:val="auto"/>
                <w:sz w:val="21"/>
                <w:szCs w:val="21"/>
                <w:highlight w:val="none"/>
                <w:lang w:val="en-GB" w:eastAsia="zh-Hans"/>
              </w:rPr>
              <w:t>分。</w:t>
            </w:r>
          </w:p>
        </w:tc>
        <w:tc>
          <w:tcPr>
            <w:tcW w:w="937" w:type="pct"/>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4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培训方案</w:t>
            </w:r>
          </w:p>
        </w:tc>
        <w:tc>
          <w:tcPr>
            <w:tcW w:w="32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响应供应商能够针对本次项目提供出完善的培训体系及培训方案，能够为采购人提供专业的培训（包括但不限于培训计划、培训内容及列明培训时间、地点）。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1.培训方案详细，可操作性强，得8分；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2.培训方案较详细，有一定的操作性，得6分；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both"/>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3.培训方案较粗略，可操作性不强，得4分；</w:t>
            </w:r>
            <w:r>
              <w:rPr>
                <w:rFonts w:hint="eastAsia" w:ascii="仿宋" w:hAnsi="仿宋" w:eastAsia="仿宋" w:cs="仿宋"/>
                <w:color w:val="auto"/>
                <w:sz w:val="21"/>
                <w:szCs w:val="21"/>
                <w:highlight w:val="none"/>
                <w:lang w:val="en-US" w:eastAsia="zh-CN"/>
              </w:rPr>
              <w:br w:type="textWrapping"/>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val="en-GB" w:eastAsia="zh-Hans"/>
              </w:rPr>
              <w:t>未提供</w:t>
            </w:r>
            <w:r>
              <w:rPr>
                <w:rFonts w:hint="eastAsia" w:ascii="仿宋" w:hAnsi="仿宋" w:eastAsia="仿宋" w:cs="仿宋"/>
                <w:color w:val="auto"/>
                <w:sz w:val="21"/>
                <w:szCs w:val="21"/>
                <w:highlight w:val="none"/>
                <w:lang w:val="en-GB" w:eastAsia="zh-CN"/>
              </w:rPr>
              <w:t>不得</w:t>
            </w:r>
            <w:r>
              <w:rPr>
                <w:rFonts w:hint="eastAsia" w:ascii="仿宋" w:hAnsi="仿宋" w:eastAsia="仿宋" w:cs="仿宋"/>
                <w:color w:val="auto"/>
                <w:sz w:val="21"/>
                <w:szCs w:val="21"/>
                <w:highlight w:val="none"/>
                <w:lang w:val="en-GB" w:eastAsia="zh-Hans"/>
              </w:rPr>
              <w:t>分。</w:t>
            </w:r>
          </w:p>
        </w:tc>
        <w:tc>
          <w:tcPr>
            <w:tcW w:w="937" w:type="pct"/>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rPr>
              <w:t>同类业绩</w:t>
            </w:r>
          </w:p>
        </w:tc>
        <w:tc>
          <w:tcPr>
            <w:tcW w:w="32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供应商提供2022年1月1日至今承担过的同类业绩进行评分，每提供一个，得2分，满分</w:t>
            </w:r>
            <w:r>
              <w:rPr>
                <w:rFonts w:hint="eastAsia" w:ascii="仿宋" w:hAnsi="仿宋" w:eastAsia="仿宋" w:cs="仿宋"/>
                <w:color w:val="auto"/>
                <w:kern w:val="0"/>
                <w:sz w:val="21"/>
                <w:szCs w:val="21"/>
                <w:highlight w:val="none"/>
                <w:lang w:val="en-US" w:eastAsia="zh-CN"/>
              </w:rPr>
              <w:t>8</w:t>
            </w:r>
            <w:r>
              <w:rPr>
                <w:rFonts w:hint="eastAsia" w:ascii="仿宋" w:hAnsi="仿宋" w:eastAsia="仿宋" w:cs="仿宋"/>
                <w:color w:val="auto"/>
                <w:kern w:val="0"/>
                <w:sz w:val="21"/>
                <w:szCs w:val="21"/>
                <w:highlight w:val="none"/>
              </w:rPr>
              <w:t>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both"/>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注：同类业绩证明文件是中标/成交通知书或合同关键页的复印件或扫描件（合同关键页是指包括：①能显示服务相关信息；②签订合同双方的单位名称、合同项目名称；③签订合同双方的签章、盖章及签订日期），无提供不得分。</w:t>
            </w:r>
          </w:p>
        </w:tc>
        <w:tc>
          <w:tcPr>
            <w:tcW w:w="937" w:type="pct"/>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eastAsia="zh-CN"/>
              </w:rPr>
              <w:t>响应</w:t>
            </w:r>
            <w:r>
              <w:rPr>
                <w:rFonts w:hint="eastAsia" w:ascii="仿宋" w:hAnsi="仿宋" w:eastAsia="仿宋" w:cs="仿宋"/>
                <w:color w:val="auto"/>
                <w:kern w:val="2"/>
                <w:sz w:val="21"/>
                <w:szCs w:val="21"/>
                <w:highlight w:val="none"/>
              </w:rPr>
              <w:t>报价得分</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报价得分＝（</w:t>
            </w:r>
            <w:r>
              <w:rPr>
                <w:rFonts w:hint="eastAsia" w:ascii="仿宋" w:hAnsi="仿宋" w:eastAsia="仿宋" w:cs="仿宋"/>
                <w:color w:val="auto"/>
                <w:sz w:val="21"/>
                <w:szCs w:val="21"/>
                <w:highlight w:val="none"/>
                <w:lang w:eastAsia="zh-CN"/>
              </w:rPr>
              <w:t>评审</w:t>
            </w:r>
            <w:r>
              <w:rPr>
                <w:rFonts w:hint="eastAsia" w:ascii="仿宋" w:hAnsi="仿宋" w:eastAsia="仿宋" w:cs="仿宋"/>
                <w:color w:val="auto"/>
                <w:sz w:val="21"/>
                <w:szCs w:val="21"/>
                <w:highlight w:val="none"/>
              </w:rPr>
              <w:t>基准价/</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报价）×价格分值</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both"/>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【注：满足</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文件要求且</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价格最低的</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报价为</w:t>
            </w:r>
            <w:r>
              <w:rPr>
                <w:rFonts w:hint="eastAsia" w:ascii="仿宋" w:hAnsi="仿宋" w:eastAsia="仿宋" w:cs="仿宋"/>
                <w:color w:val="auto"/>
                <w:sz w:val="21"/>
                <w:szCs w:val="21"/>
                <w:highlight w:val="none"/>
                <w:lang w:eastAsia="zh-CN"/>
              </w:rPr>
              <w:t>评审</w:t>
            </w:r>
            <w:r>
              <w:rPr>
                <w:rFonts w:hint="eastAsia" w:ascii="仿宋" w:hAnsi="仿宋" w:eastAsia="仿宋" w:cs="仿宋"/>
                <w:color w:val="auto"/>
                <w:sz w:val="21"/>
                <w:szCs w:val="21"/>
                <w:highlight w:val="none"/>
              </w:rPr>
              <w:t>基准价。】最低报价不是</w:t>
            </w:r>
            <w:r>
              <w:rPr>
                <w:rFonts w:hint="eastAsia" w:ascii="仿宋" w:hAnsi="仿宋" w:eastAsia="仿宋" w:cs="仿宋"/>
                <w:color w:val="auto"/>
                <w:sz w:val="21"/>
                <w:szCs w:val="21"/>
                <w:highlight w:val="none"/>
                <w:lang w:eastAsia="zh-CN"/>
              </w:rPr>
              <w:t>成交</w:t>
            </w:r>
            <w:r>
              <w:rPr>
                <w:rFonts w:hint="eastAsia" w:ascii="仿宋" w:hAnsi="仿宋" w:eastAsia="仿宋" w:cs="仿宋"/>
                <w:color w:val="auto"/>
                <w:sz w:val="21"/>
                <w:szCs w:val="21"/>
                <w:highlight w:val="none"/>
              </w:rPr>
              <w:t>的唯一依据。因落实政府采购政策进行价格调整的，以调整后的价格计算</w:t>
            </w:r>
            <w:r>
              <w:rPr>
                <w:rFonts w:hint="eastAsia" w:ascii="仿宋" w:hAnsi="仿宋" w:eastAsia="仿宋" w:cs="仿宋"/>
                <w:color w:val="auto"/>
                <w:sz w:val="21"/>
                <w:szCs w:val="21"/>
                <w:highlight w:val="none"/>
                <w:lang w:eastAsia="zh-CN"/>
              </w:rPr>
              <w:t>评审</w:t>
            </w:r>
            <w:r>
              <w:rPr>
                <w:rFonts w:hint="eastAsia" w:ascii="仿宋" w:hAnsi="仿宋" w:eastAsia="仿宋" w:cs="仿宋"/>
                <w:color w:val="auto"/>
                <w:sz w:val="21"/>
                <w:szCs w:val="21"/>
                <w:highlight w:val="none"/>
              </w:rPr>
              <w:t>基准价和</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报价。</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响应供应商名称（盖章）：</w:t>
      </w:r>
      <w:r>
        <w:rPr>
          <w:rFonts w:hint="eastAsia" w:ascii="仿宋" w:hAnsi="仿宋" w:eastAsia="仿宋" w:cs="仿宋"/>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28"/>
          <w:szCs w:val="28"/>
          <w:highlight w:val="none"/>
        </w:rPr>
        <w:t>3 资格性文件</w:t>
      </w:r>
    </w:p>
    <w:p>
      <w:pPr>
        <w:keepNext w:val="0"/>
        <w:keepLines w:val="0"/>
        <w:pageBreakBefore w:val="0"/>
        <w:widowControl w:val="0"/>
        <w:kinsoku/>
        <w:wordWrap/>
        <w:overflowPunct/>
        <w:topLinePunct w:val="0"/>
        <w:autoSpaceDE/>
        <w:autoSpaceDN/>
        <w:bidi w:val="0"/>
        <w:adjustRightInd/>
        <w:snapToGrid/>
        <w:spacing w:before="0" w:after="0"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响应函</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eastAsia="zh-CN"/>
        </w:rPr>
        <w:t>惠州市第一妇幼保健院</w:t>
      </w:r>
      <w:r>
        <w:rPr>
          <w:rFonts w:hint="eastAsia" w:ascii="仿宋" w:hAnsi="仿宋" w:eastAsia="仿宋" w:cs="仿宋"/>
          <w:color w:val="auto"/>
          <w:sz w:val="24"/>
          <w:highlight w:val="none"/>
        </w:rPr>
        <w:t>：</w:t>
      </w:r>
    </w:p>
    <w:p>
      <w:pPr>
        <w:autoSpaceDE w:val="0"/>
        <w:autoSpaceDN w:val="0"/>
        <w:spacing w:line="38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kern w:val="0"/>
          <w:sz w:val="24"/>
          <w:highlight w:val="none"/>
        </w:rPr>
        <w:t>依据贵方</w:t>
      </w:r>
      <w:r>
        <w:rPr>
          <w:rFonts w:hint="eastAsia" w:ascii="仿宋" w:hAnsi="仿宋" w:eastAsia="仿宋" w:cs="仿宋"/>
          <w:color w:val="auto"/>
          <w:sz w:val="24"/>
          <w:highlight w:val="none"/>
        </w:rPr>
        <w:t>采购项目名称：</w:t>
      </w:r>
      <w:r>
        <w:rPr>
          <w:rFonts w:hint="eastAsia" w:ascii="仿宋" w:hAnsi="仿宋" w:eastAsia="仿宋" w:cs="仿宋"/>
          <w:color w:val="auto"/>
          <w:sz w:val="24"/>
          <w:highlight w:val="none"/>
          <w:u w:val="single"/>
          <w:lang w:val="zh-CN"/>
        </w:rPr>
        <w:t xml:space="preserve"> </w:t>
      </w:r>
      <w:r>
        <w:rPr>
          <w:rFonts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u w:val="single"/>
          <w:lang w:val="zh-CN"/>
        </w:rPr>
        <w:t>项目（</w:t>
      </w:r>
      <w:r>
        <w:rPr>
          <w:rFonts w:hint="eastAsia" w:ascii="仿宋" w:hAnsi="仿宋" w:eastAsia="仿宋" w:cs="仿宋"/>
          <w:color w:val="auto"/>
          <w:sz w:val="24"/>
          <w:highlight w:val="none"/>
          <w:u w:val="single"/>
        </w:rPr>
        <w:t>项目编号：</w:t>
      </w:r>
      <w:r>
        <w:rPr>
          <w:rFonts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zh-CN"/>
        </w:rPr>
        <w:t>）的</w:t>
      </w:r>
      <w:r>
        <w:rPr>
          <w:rFonts w:hint="eastAsia" w:ascii="仿宋" w:hAnsi="仿宋" w:eastAsia="仿宋" w:cs="仿宋"/>
          <w:color w:val="auto"/>
          <w:kern w:val="0"/>
          <w:sz w:val="24"/>
          <w:highlight w:val="none"/>
        </w:rPr>
        <w:t>响应邀请，我方代表</w:t>
      </w:r>
      <w:r>
        <w:rPr>
          <w:rFonts w:hint="eastAsia" w:ascii="仿宋" w:hAnsi="仿宋" w:eastAsia="仿宋" w:cs="仿宋"/>
          <w:color w:val="auto"/>
          <w:sz w:val="24"/>
          <w:highlight w:val="none"/>
          <w:u w:val="single"/>
        </w:rPr>
        <w:t>（姓名、职务）</w:t>
      </w:r>
      <w:r>
        <w:rPr>
          <w:rFonts w:hint="eastAsia" w:ascii="仿宋" w:hAnsi="仿宋" w:eastAsia="仿宋" w:cs="仿宋"/>
          <w:color w:val="auto"/>
          <w:kern w:val="0"/>
          <w:sz w:val="24"/>
          <w:highlight w:val="none"/>
        </w:rPr>
        <w:t>经正式授权并代表</w:t>
      </w:r>
      <w:r>
        <w:rPr>
          <w:rFonts w:hint="eastAsia" w:ascii="仿宋" w:hAnsi="仿宋" w:eastAsia="仿宋" w:cs="仿宋"/>
          <w:color w:val="auto"/>
          <w:sz w:val="24"/>
          <w:highlight w:val="none"/>
          <w:u w:val="single"/>
        </w:rPr>
        <w:t>（响应供应商名称、地址）</w:t>
      </w:r>
      <w:r>
        <w:rPr>
          <w:rFonts w:hint="eastAsia" w:ascii="仿宋" w:hAnsi="仿宋" w:eastAsia="仿宋" w:cs="仿宋"/>
          <w:color w:val="auto"/>
          <w:kern w:val="0"/>
          <w:sz w:val="24"/>
          <w:highlight w:val="none"/>
        </w:rPr>
        <w:t>提交下述文件一式</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2</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 </w:t>
      </w:r>
      <w:r>
        <w:rPr>
          <w:rFonts w:hint="eastAsia" w:ascii="仿宋" w:hAnsi="仿宋" w:eastAsia="仿宋" w:cs="仿宋"/>
          <w:color w:val="auto"/>
          <w:sz w:val="24"/>
          <w:highlight w:val="none"/>
        </w:rPr>
        <w:t>自查表</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 </w:t>
      </w:r>
      <w:r>
        <w:rPr>
          <w:rFonts w:hint="eastAsia" w:ascii="仿宋" w:hAnsi="仿宋" w:eastAsia="仿宋" w:cs="仿宋"/>
          <w:color w:val="auto"/>
          <w:sz w:val="24"/>
          <w:highlight w:val="none"/>
        </w:rPr>
        <w:t>资格性文件</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3. </w:t>
      </w:r>
      <w:r>
        <w:rPr>
          <w:rFonts w:hint="eastAsia" w:ascii="仿宋" w:hAnsi="仿宋" w:eastAsia="仿宋" w:cs="仿宋"/>
          <w:color w:val="auto"/>
          <w:sz w:val="24"/>
          <w:highlight w:val="none"/>
        </w:rPr>
        <w:t>商务部分</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 xml:space="preserve">4. </w:t>
      </w:r>
      <w:r>
        <w:rPr>
          <w:rFonts w:hint="eastAsia" w:ascii="仿宋" w:hAnsi="仿宋" w:eastAsia="仿宋" w:cs="仿宋"/>
          <w:color w:val="auto"/>
          <w:kern w:val="0"/>
          <w:sz w:val="24"/>
          <w:highlight w:val="none"/>
          <w:lang w:eastAsia="zh-CN"/>
        </w:rPr>
        <w:t>技术</w:t>
      </w:r>
      <w:r>
        <w:rPr>
          <w:rFonts w:hint="eastAsia" w:ascii="仿宋" w:hAnsi="仿宋" w:eastAsia="仿宋" w:cs="仿宋"/>
          <w:color w:val="auto"/>
          <w:kern w:val="0"/>
          <w:sz w:val="24"/>
          <w:highlight w:val="none"/>
        </w:rPr>
        <w:t>部分</w:t>
      </w:r>
      <w:r>
        <w:rPr>
          <w:rFonts w:hint="eastAsia" w:ascii="仿宋" w:hAnsi="仿宋" w:eastAsia="仿宋" w:cs="仿宋"/>
          <w:color w:val="auto"/>
          <w:kern w:val="0"/>
          <w:sz w:val="24"/>
          <w:highlight w:val="none"/>
          <w:lang w:eastAsia="zh-CN"/>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5. 价格部分</w:t>
      </w:r>
      <w:r>
        <w:rPr>
          <w:rFonts w:hint="eastAsia" w:ascii="仿宋" w:hAnsi="仿宋" w:eastAsia="仿宋" w:cs="仿宋"/>
          <w:color w:val="auto"/>
          <w:sz w:val="24"/>
          <w:highlight w:val="none"/>
        </w:rPr>
        <w:t>。</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在此，我方声明如下：</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1.同意并接受比选文件的各项要求，遵守比选文件中的各项规定，按比选文件的要求提供报价。</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2.响应有效期为递交响应文件之日起</w:t>
      </w:r>
      <w:r>
        <w:rPr>
          <w:rFonts w:hint="eastAsia" w:ascii="仿宋" w:hAnsi="仿宋" w:eastAsia="仿宋" w:cs="仿宋"/>
          <w:color w:val="auto"/>
          <w:sz w:val="24"/>
          <w:highlight w:val="none"/>
          <w:u w:val="single"/>
        </w:rPr>
        <w:t>90天</w:t>
      </w:r>
      <w:r>
        <w:rPr>
          <w:rFonts w:hint="eastAsia" w:ascii="仿宋" w:hAnsi="仿宋" w:eastAsia="仿宋" w:cs="仿宋"/>
          <w:color w:val="auto"/>
          <w:sz w:val="24"/>
          <w:highlight w:val="none"/>
        </w:rPr>
        <w:t>，成交人响应/比选有效期延至合同验收之日。</w:t>
      </w:r>
    </w:p>
    <w:p>
      <w:pPr>
        <w:spacing w:line="380" w:lineRule="exact"/>
        <w:ind w:firstLine="480" w:firstLineChars="200"/>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b/>
          <w:bCs/>
          <w:color w:val="auto"/>
          <w:sz w:val="24"/>
          <w:highlight w:val="none"/>
        </w:rPr>
        <w:t>我方已经详细地阅读了全部比选文件及其附件，包括澄清及参考文件</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如果有的话</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。我方已完全清晰理解比选文件的所有要求，不存在任何含糊不清和误解之处，同意放弃对这些文件所提出的异议和质疑的权利。</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4.我方已毫无保留地向贵方提供一切所需的证明材料。</w:t>
      </w:r>
    </w:p>
    <w:p>
      <w:pPr>
        <w:spacing w:line="3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5.我方承诺在本次响应/响应文件中提供的一切文件，无论是原件还是复印件均为真实和准确的，绝无任何虚假、伪造和夸大</w:t>
      </w:r>
      <w:r>
        <w:rPr>
          <w:rFonts w:hint="eastAsia" w:ascii="仿宋" w:hAnsi="仿宋" w:eastAsia="仿宋" w:cs="仿宋"/>
          <w:color w:val="auto"/>
          <w:sz w:val="24"/>
          <w:highlight w:val="none"/>
          <w:lang w:eastAsia="zh-CN"/>
        </w:rPr>
        <w:t>的成分</w:t>
      </w:r>
      <w:r>
        <w:rPr>
          <w:rFonts w:hint="eastAsia" w:ascii="仿宋" w:hAnsi="仿宋" w:eastAsia="仿宋" w:cs="仿宋"/>
          <w:color w:val="auto"/>
          <w:sz w:val="24"/>
          <w:highlight w:val="none"/>
        </w:rPr>
        <w:t>，否则，愿承担相应的后果和法律责任。</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6.我方完全服从贵院采购流程与规定并尊重</w:t>
      </w:r>
      <w:r>
        <w:rPr>
          <w:rFonts w:hint="eastAsia" w:ascii="仿宋" w:hAnsi="仿宋" w:eastAsia="仿宋" w:cs="仿宋"/>
          <w:color w:val="auto"/>
          <w:sz w:val="24"/>
          <w:highlight w:val="none"/>
          <w:lang w:eastAsia="zh-CN"/>
        </w:rPr>
        <w:t>评审小组</w:t>
      </w:r>
      <w:r>
        <w:rPr>
          <w:rFonts w:hint="eastAsia" w:ascii="仿宋" w:hAnsi="仿宋" w:eastAsia="仿宋" w:cs="仿宋"/>
          <w:color w:val="auto"/>
          <w:sz w:val="24"/>
          <w:highlight w:val="none"/>
        </w:rPr>
        <w:t>所作的评定结果，同时清楚理解到报价最低并非意味着必定获得成交资格。</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p>
    <w:p>
      <w:pPr>
        <w:tabs>
          <w:tab w:val="left" w:pos="5250"/>
        </w:tabs>
        <w:autoSpaceDE w:val="0"/>
        <w:autoSpaceDN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账号</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地址：</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传真：</w:t>
      </w:r>
      <w:r>
        <w:rPr>
          <w:rFonts w:hint="eastAsia" w:ascii="仿宋" w:hAnsi="仿宋" w:eastAsia="仿宋" w:cs="仿宋"/>
          <w:color w:val="auto"/>
          <w:kern w:val="0"/>
          <w:sz w:val="24"/>
          <w:highlight w:val="none"/>
          <w:u w:val="single"/>
        </w:rPr>
        <w:t xml:space="preserve">                               </w:t>
      </w:r>
    </w:p>
    <w:p>
      <w:pPr>
        <w:autoSpaceDE w:val="0"/>
        <w:autoSpaceDN w:val="0"/>
        <w:adjustRightInd w:val="0"/>
        <w:spacing w:line="380" w:lineRule="exact"/>
        <w:ind w:right="33"/>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电话：</w:t>
      </w:r>
      <w:r>
        <w:rPr>
          <w:rFonts w:hint="eastAsia" w:ascii="仿宋" w:hAnsi="仿宋" w:eastAsia="仿宋" w:cs="仿宋"/>
          <w:color w:val="auto"/>
          <w:kern w:val="0"/>
          <w:sz w:val="24"/>
          <w:highlight w:val="none"/>
          <w:u w:val="single"/>
        </w:rPr>
        <w:t xml:space="preserve">                               </w:t>
      </w:r>
    </w:p>
    <w:p>
      <w:pPr>
        <w:autoSpaceDE w:val="0"/>
        <w:autoSpaceDN w:val="0"/>
        <w:adjustRightInd w:val="0"/>
        <w:spacing w:line="380" w:lineRule="exact"/>
        <w:ind w:right="246"/>
        <w:rPr>
          <w:rFonts w:hint="eastAsia"/>
          <w:color w:val="auto"/>
          <w:highlight w:val="none"/>
        </w:rPr>
      </w:pPr>
      <w:r>
        <w:rPr>
          <w:rFonts w:hint="eastAsia" w:ascii="仿宋" w:hAnsi="仿宋" w:eastAsia="仿宋" w:cs="仿宋"/>
          <w:color w:val="auto"/>
          <w:kern w:val="0"/>
          <w:sz w:val="24"/>
          <w:highlight w:val="none"/>
        </w:rPr>
        <w:t>电子邮件：</w:t>
      </w:r>
      <w:r>
        <w:rPr>
          <w:rFonts w:hint="eastAsia" w:ascii="仿宋" w:hAnsi="仿宋" w:eastAsia="仿宋" w:cs="仿宋"/>
          <w:color w:val="auto"/>
          <w:kern w:val="0"/>
          <w:sz w:val="24"/>
          <w:highlight w:val="none"/>
          <w:u w:val="single"/>
        </w:rPr>
        <w:t xml:space="preserve">                           </w:t>
      </w:r>
    </w:p>
    <w:p>
      <w:pPr>
        <w:adjustRightInd w:val="0"/>
        <w:snapToGrid w:val="0"/>
        <w:spacing w:line="380" w:lineRule="exact"/>
        <w:rPr>
          <w:rFonts w:hint="eastAsia" w:ascii="仿宋" w:hAnsi="仿宋" w:eastAsia="仿宋" w:cs="仿宋"/>
          <w:color w:val="auto"/>
          <w:sz w:val="30"/>
          <w:szCs w:val="30"/>
          <w:highlight w:val="none"/>
        </w:rPr>
      </w:pPr>
      <w:r>
        <w:rPr>
          <w:rFonts w:hint="eastAsia" w:ascii="仿宋" w:hAnsi="仿宋" w:eastAsia="仿宋" w:cs="仿宋"/>
          <w:color w:val="auto"/>
          <w:sz w:val="24"/>
          <w:highlight w:val="none"/>
          <w:u w:val="single"/>
        </w:rPr>
        <w:br w:type="page"/>
      </w:r>
    </w:p>
    <w:p>
      <w:pPr>
        <w:pStyle w:val="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3.2法定代表人/负责人资格证明书及授权委托书</w:t>
      </w:r>
    </w:p>
    <w:p>
      <w:pPr>
        <w:spacing w:line="48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（1）法定代表人/负责人资格证明书</w:t>
      </w:r>
    </w:p>
    <w:p>
      <w:pPr>
        <w:pStyle w:val="19"/>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响应供应商</w:t>
      </w:r>
      <w:r>
        <w:rPr>
          <w:rFonts w:ascii="仿宋" w:hAnsi="仿宋" w:eastAsia="仿宋" w:cs="仿宋"/>
          <w:color w:val="auto"/>
          <w:sz w:val="24"/>
          <w:szCs w:val="24"/>
          <w:highlight w:val="none"/>
        </w:rPr>
        <w:t>可使用下述格式，也可使用广东省工商行政管理局统一印制的法定代表人证明书格式）</w:t>
      </w:r>
    </w:p>
    <w:p>
      <w:pPr>
        <w:pStyle w:val="19"/>
        <w:jc w:val="center"/>
        <w:outlineLvl w:val="3"/>
        <w:rPr>
          <w:rFonts w:ascii="仿宋" w:hAnsi="仿宋" w:eastAsia="仿宋" w:cs="仿宋"/>
          <w:color w:val="auto"/>
          <w:sz w:val="24"/>
          <w:szCs w:val="24"/>
          <w:highlight w:val="none"/>
        </w:rPr>
      </w:pPr>
      <w:r>
        <w:rPr>
          <w:rFonts w:ascii="仿宋" w:hAnsi="仿宋" w:eastAsia="仿宋" w:cs="仿宋"/>
          <w:b/>
          <w:color w:val="auto"/>
          <w:sz w:val="24"/>
          <w:szCs w:val="24"/>
          <w:highlight w:val="none"/>
        </w:rPr>
        <w:t>法定代表人证明书</w:t>
      </w:r>
    </w:p>
    <w:p>
      <w:pPr>
        <w:pStyle w:val="19"/>
        <w:rPr>
          <w:rFonts w:ascii="仿宋" w:hAnsi="仿宋" w:eastAsia="仿宋" w:cs="仿宋"/>
          <w:color w:val="auto"/>
          <w:sz w:val="24"/>
          <w:szCs w:val="24"/>
          <w:highlight w:val="none"/>
        </w:rPr>
      </w:pP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现任我单位</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职务，为法定代表人，特此证明。</w:t>
      </w:r>
    </w:p>
    <w:p>
      <w:pPr>
        <w:pStyle w:val="19"/>
        <w:rPr>
          <w:rFonts w:hint="default" w:ascii="仿宋" w:hAnsi="仿宋" w:eastAsia="仿宋" w:cs="仿宋"/>
          <w:color w:val="auto"/>
          <w:sz w:val="24"/>
          <w:szCs w:val="24"/>
          <w:highlight w:val="none"/>
          <w:lang w:val="en-US" w:eastAsia="zh-CN"/>
        </w:rPr>
      </w:pPr>
      <w:r>
        <w:rPr>
          <w:rFonts w:ascii="仿宋" w:hAnsi="仿宋" w:eastAsia="仿宋" w:cs="仿宋"/>
          <w:color w:val="auto"/>
          <w:sz w:val="24"/>
          <w:szCs w:val="24"/>
          <w:highlight w:val="none"/>
        </w:rPr>
        <w:t>有效期限：</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p>
    <w:p>
      <w:pPr>
        <w:pStyle w:val="19"/>
        <w:ind w:firstLine="240" w:firstLineChars="100"/>
        <w:rPr>
          <w:rFonts w:hint="default" w:ascii="仿宋" w:hAnsi="仿宋" w:eastAsia="仿宋" w:cs="仿宋"/>
          <w:color w:val="auto"/>
          <w:sz w:val="24"/>
          <w:szCs w:val="24"/>
          <w:highlight w:val="none"/>
          <w:lang w:val="en-US" w:eastAsia="zh-CN"/>
        </w:rPr>
      </w:pPr>
      <w:r>
        <w:rPr>
          <w:rFonts w:ascii="仿宋" w:hAnsi="仿宋" w:eastAsia="仿宋" w:cs="仿宋"/>
          <w:color w:val="auto"/>
          <w:sz w:val="24"/>
          <w:szCs w:val="24"/>
          <w:highlight w:val="none"/>
        </w:rPr>
        <w:t>附：代表人性别：</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年龄：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ascii="仿宋" w:hAnsi="仿宋" w:eastAsia="仿宋" w:cs="仿宋"/>
          <w:color w:val="auto"/>
          <w:sz w:val="24"/>
          <w:szCs w:val="24"/>
          <w:highlight w:val="none"/>
        </w:rPr>
        <w:t>身份证号码：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p>
    <w:p>
      <w:pPr>
        <w:pStyle w:val="19"/>
        <w:ind w:firstLine="240" w:firstLineChars="100"/>
        <w:rPr>
          <w:rFonts w:ascii="仿宋" w:hAnsi="仿宋" w:eastAsia="仿宋" w:cs="仿宋"/>
          <w:color w:val="auto"/>
          <w:sz w:val="24"/>
          <w:szCs w:val="24"/>
          <w:highlight w:val="none"/>
        </w:rPr>
      </w:pPr>
      <w:r>
        <w:rPr>
          <w:rFonts w:ascii="仿宋" w:hAnsi="仿宋" w:eastAsia="仿宋" w:cs="仿宋"/>
          <w:color w:val="auto"/>
          <w:sz w:val="24"/>
          <w:szCs w:val="24"/>
          <w:highlight w:val="none"/>
        </w:rPr>
        <w:t>注册号码：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ascii="仿宋" w:hAnsi="仿宋" w:eastAsia="仿宋" w:cs="仿宋"/>
          <w:color w:val="auto"/>
          <w:sz w:val="24"/>
          <w:szCs w:val="24"/>
          <w:highlight w:val="none"/>
        </w:rPr>
        <w:t>企业类型：</w:t>
      </w:r>
    </w:p>
    <w:p>
      <w:pPr>
        <w:pStyle w:val="19"/>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经营</w:t>
      </w:r>
      <w:r>
        <w:rPr>
          <w:rFonts w:ascii="仿宋" w:hAnsi="仿宋" w:eastAsia="仿宋" w:cs="仿宋"/>
          <w:color w:val="auto"/>
          <w:sz w:val="24"/>
          <w:szCs w:val="24"/>
          <w:highlight w:val="none"/>
        </w:rPr>
        <w:t>范围：</w:t>
      </w:r>
      <w:r>
        <w:rPr>
          <w:rFonts w:hint="eastAsia" w:ascii="仿宋" w:hAnsi="仿宋" w:eastAsia="仿宋" w:cs="仿宋"/>
          <w:color w:val="auto"/>
          <w:sz w:val="24"/>
          <w:highlight w:val="none"/>
          <w:u w:val="single"/>
        </w:rPr>
        <w:t xml:space="preserve">                </w:t>
      </w:r>
    </w:p>
    <w:p>
      <w:pPr>
        <w:pStyle w:val="19"/>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响应供应商</w:t>
      </w:r>
      <w:r>
        <w:rPr>
          <w:rFonts w:ascii="仿宋" w:hAnsi="仿宋" w:eastAsia="仿宋" w:cs="仿宋"/>
          <w:color w:val="auto"/>
          <w:sz w:val="24"/>
          <w:szCs w:val="24"/>
          <w:highlight w:val="none"/>
        </w:rPr>
        <w:t>名称（盖章）：</w:t>
      </w:r>
      <w:r>
        <w:rPr>
          <w:rFonts w:hint="eastAsia" w:ascii="仿宋" w:hAnsi="仿宋" w:eastAsia="仿宋" w:cs="仿宋"/>
          <w:color w:val="auto"/>
          <w:sz w:val="24"/>
          <w:highlight w:val="none"/>
          <w:u w:val="single"/>
        </w:rPr>
        <w:t xml:space="preserve">                </w:t>
      </w:r>
    </w:p>
    <w:p>
      <w:pPr>
        <w:pStyle w:val="19"/>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ascii="仿宋" w:hAnsi="仿宋" w:eastAsia="仿宋" w:cs="仿宋"/>
          <w:color w:val="auto"/>
          <w:sz w:val="24"/>
          <w:szCs w:val="24"/>
          <w:highlight w:val="none"/>
        </w:rPr>
        <w:t>地址：</w:t>
      </w:r>
      <w:r>
        <w:rPr>
          <w:rFonts w:hint="eastAsia" w:ascii="仿宋" w:hAnsi="仿宋" w:eastAsia="仿宋" w:cs="仿宋"/>
          <w:color w:val="auto"/>
          <w:sz w:val="24"/>
          <w:highlight w:val="none"/>
          <w:u w:val="single"/>
        </w:rPr>
        <w:t xml:space="preserve">                </w:t>
      </w:r>
    </w:p>
    <w:p>
      <w:pPr>
        <w:pStyle w:val="19"/>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响应供应商法定代表人</w:t>
      </w:r>
      <w:r>
        <w:rPr>
          <w:rFonts w:ascii="仿宋" w:hAnsi="仿宋" w:eastAsia="仿宋" w:cs="仿宋"/>
          <w:color w:val="auto"/>
          <w:sz w:val="24"/>
          <w:szCs w:val="24"/>
          <w:highlight w:val="none"/>
        </w:rPr>
        <w:t>（签字或盖章）：</w:t>
      </w:r>
      <w:r>
        <w:rPr>
          <w:rFonts w:hint="eastAsia" w:ascii="仿宋" w:hAnsi="仿宋" w:eastAsia="仿宋" w:cs="仿宋"/>
          <w:color w:val="auto"/>
          <w:sz w:val="24"/>
          <w:highlight w:val="none"/>
          <w:u w:val="single"/>
        </w:rPr>
        <w:t xml:space="preserve">                </w:t>
      </w:r>
    </w:p>
    <w:p>
      <w:pPr>
        <w:pStyle w:val="19"/>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ascii="仿宋" w:hAnsi="仿宋" w:eastAsia="仿宋" w:cs="仿宋"/>
          <w:color w:val="auto"/>
          <w:sz w:val="24"/>
          <w:szCs w:val="24"/>
          <w:highlight w:val="none"/>
        </w:rPr>
        <w:t>职务：</w:t>
      </w:r>
      <w:r>
        <w:rPr>
          <w:rFonts w:hint="eastAsia" w:ascii="仿宋" w:hAnsi="仿宋" w:eastAsia="仿宋" w:cs="仿宋"/>
          <w:color w:val="auto"/>
          <w:sz w:val="24"/>
          <w:highlight w:val="none"/>
          <w:u w:val="single"/>
        </w:rPr>
        <w:t xml:space="preserve">                        </w:t>
      </w:r>
    </w:p>
    <w:p>
      <w:pPr>
        <w:pStyle w:val="19"/>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ascii="仿宋" w:hAnsi="仿宋" w:eastAsia="仿宋" w:cs="仿宋"/>
          <w:color w:val="auto"/>
          <w:sz w:val="24"/>
          <w:szCs w:val="24"/>
          <w:highlight w:val="none"/>
        </w:rPr>
        <w:t>日期： 年 月 日</w:t>
      </w: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b/>
          <w:color w:val="auto"/>
          <w:sz w:val="28"/>
          <w:szCs w:val="28"/>
          <w:highlight w:val="none"/>
        </w:rPr>
        <w:t xml:space="preserve"> </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rPr>
        <w:t>为避免响应无效，请供应商务必提供本附件</w:t>
      </w:r>
      <w:r>
        <w:rPr>
          <w:rFonts w:hint="eastAsia" w:ascii="仿宋" w:hAnsi="仿宋" w:eastAsia="仿宋" w:cs="仿宋"/>
          <w:b/>
          <w:color w:val="auto"/>
          <w:sz w:val="28"/>
          <w:szCs w:val="28"/>
          <w:highlight w:val="none"/>
          <w:lang w:eastAsia="zh-CN"/>
        </w:rPr>
        <w:t>）</w:t>
      </w:r>
    </w:p>
    <w:p>
      <w:pPr>
        <w:rPr>
          <w:rFonts w:hint="eastAsia" w:ascii="仿宋" w:hAnsi="仿宋" w:eastAsia="仿宋" w:cs="仿宋"/>
          <w:b/>
          <w:color w:val="auto"/>
          <w:sz w:val="28"/>
          <w:szCs w:val="28"/>
          <w:highlight w:val="none"/>
        </w:rPr>
      </w:pPr>
    </w:p>
    <w:p>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2922905</wp:posOffset>
                </wp:positionH>
                <wp:positionV relativeFrom="paragraph">
                  <wp:posOffset>5715</wp:posOffset>
                </wp:positionV>
                <wp:extent cx="2333625" cy="1584325"/>
                <wp:effectExtent l="4445" t="4445" r="5080" b="11430"/>
                <wp:wrapNone/>
                <wp:docPr id="17" name="流程图: 可选过程 1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30.15pt;margin-top:0.45pt;height:124.75pt;width:183.75pt;z-index:251661312;mso-width-relative:page;mso-height-relative:page;" fillcolor="#FFFFFF" filled="t" stroked="t" coordsize="21600,21600" o:gfxdata="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mVPlDdcAAAAIAQAADwAAAAAAAAABACAAAAAiAAAAZHJzL2Rvd25yZXYueG1sUEsB&#10;AhQAFAAAAAgAh07iQDjsXpUvAgAAYA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hint="eastAsia" w:ascii="仿宋" w:hAnsi="仿宋" w:eastAsia="仿宋" w:cs="仿宋"/>
          <w:b/>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182880</wp:posOffset>
                </wp:positionH>
                <wp:positionV relativeFrom="paragraph">
                  <wp:posOffset>43815</wp:posOffset>
                </wp:positionV>
                <wp:extent cx="2333625" cy="1584325"/>
                <wp:effectExtent l="4445" t="4445" r="5080" b="11430"/>
                <wp:wrapNone/>
                <wp:docPr id="18" name="流程图: 可选过程 1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4.4pt;margin-top:3.45pt;height:124.75pt;width:183.75pt;z-index:251659264;mso-width-relative:page;mso-height-relative:page;" fillcolor="#FFFFFF" filled="t" stroked="t" coordsize="21600,21600" o:gfxdata="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pL7AHWAAAACAEAAA8AAAAAAAAAAQAgAAAAIgAAAGRycy9kb3ducmV2LnhtbFBLAQIU&#10;ABQAAAAIAIdO4kDneG2tLgIAAGAEAAAOAAAAAAAAAAEAIAAAACUBAABkcnMvZTJvRG9jLnhtbFBL&#10;BQYAAAAABgAGAFkBAADF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（2）法定代表人/负责人授权委托书</w:t>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（对于银行、保险、电信、邮政、铁路等行业以及获得总公司</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授权的分公司，可以提供</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分支机构负责人授权书）</w:t>
      </w:r>
    </w:p>
    <w:p>
      <w:pPr>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法定代表人授权书</w:t>
      </w:r>
    </w:p>
    <w:p>
      <w:pPr>
        <w:ind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惠州市第一妇幼保健院</w:t>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本授权书声明：</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是注册于</w:t>
      </w:r>
      <w:r>
        <w:rPr>
          <w:rFonts w:hint="eastAsia" w:ascii="仿宋" w:hAnsi="仿宋" w:eastAsia="仿宋" w:cs="仿宋"/>
          <w:color w:val="auto"/>
          <w:sz w:val="24"/>
          <w:highlight w:val="none"/>
          <w:u w:val="single"/>
        </w:rPr>
        <w:t>（国家或地区）</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eastAsia="zh-CN"/>
        </w:rPr>
        <w:t>响应供应商</w:t>
      </w:r>
      <w:r>
        <w:rPr>
          <w:rFonts w:hint="eastAsia" w:ascii="仿宋" w:hAnsi="仿宋" w:eastAsia="仿宋" w:cs="仿宋"/>
          <w:color w:val="auto"/>
          <w:sz w:val="24"/>
          <w:highlight w:val="none"/>
          <w:u w:val="single"/>
        </w:rPr>
        <w:t>名称）</w:t>
      </w:r>
      <w:r>
        <w:rPr>
          <w:rFonts w:hint="eastAsia" w:ascii="仿宋" w:hAnsi="仿宋" w:eastAsia="仿宋" w:cs="仿宋"/>
          <w:color w:val="auto"/>
          <w:sz w:val="24"/>
          <w:highlight w:val="none"/>
        </w:rPr>
        <w:t>的法定代表人，现任</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职务，有效证件号码：</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。现授权</w:t>
      </w:r>
      <w:r>
        <w:rPr>
          <w:rFonts w:hint="eastAsia" w:ascii="仿宋" w:hAnsi="仿宋" w:eastAsia="仿宋" w:cs="仿宋"/>
          <w:color w:val="auto"/>
          <w:sz w:val="24"/>
          <w:highlight w:val="none"/>
          <w:u w:val="single"/>
        </w:rPr>
        <w:t>（姓名、职务）</w:t>
      </w:r>
      <w:r>
        <w:rPr>
          <w:rFonts w:hint="eastAsia" w:ascii="仿宋" w:hAnsi="仿宋" w:eastAsia="仿宋" w:cs="仿宋"/>
          <w:color w:val="auto"/>
          <w:sz w:val="24"/>
          <w:highlight w:val="none"/>
        </w:rPr>
        <w:t>作为我公司的全权代理人，就“</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”项目采购[采购项目编号为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和合同执行，以我方的名义处理一切与之有关的事宜。</w:t>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本授权书于</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日签字生效，特此声明。</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响应供应商名称（盖章）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lang w:val="en-US" w:eastAsia="zh-CN"/>
        </w:rPr>
        <w:t xml:space="preserve">            </w:t>
      </w:r>
    </w:p>
    <w:p>
      <w:pPr>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rPr>
        <w:t xml:space="preserve"> 地址：</w:t>
      </w:r>
      <w:r>
        <w:rPr>
          <w:rFonts w:hint="eastAsia" w:ascii="仿宋" w:hAnsi="仿宋" w:eastAsia="仿宋" w:cs="仿宋"/>
          <w:color w:val="auto"/>
          <w:sz w:val="24"/>
          <w:highlight w:val="none"/>
          <w:u w:val="single"/>
          <w:lang w:val="en-US" w:eastAsia="zh-CN"/>
        </w:rPr>
        <w:t xml:space="preserve">               </w:t>
      </w:r>
    </w:p>
    <w:p>
      <w:pPr>
        <w:rPr>
          <w:rFonts w:hint="default" w:ascii="仿宋" w:hAnsi="仿宋" w:eastAsia="仿宋" w:cs="仿宋"/>
          <w:color w:val="auto"/>
          <w:sz w:val="24"/>
          <w:highlight w:val="none"/>
          <w:lang w:val="en-US"/>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响应供应商法定代表人</w:t>
      </w:r>
      <w:r>
        <w:rPr>
          <w:rFonts w:hint="eastAsia" w:ascii="仿宋" w:hAnsi="仿宋" w:eastAsia="仿宋" w:cs="仿宋"/>
          <w:color w:val="auto"/>
          <w:sz w:val="24"/>
          <w:highlight w:val="none"/>
        </w:rPr>
        <w:t>（签字或盖章）：</w:t>
      </w:r>
      <w:r>
        <w:rPr>
          <w:rFonts w:hint="eastAsia" w:ascii="仿宋" w:hAnsi="仿宋" w:eastAsia="仿宋" w:cs="仿宋"/>
          <w:color w:val="auto"/>
          <w:sz w:val="24"/>
          <w:highlight w:val="none"/>
          <w:u w:val="single"/>
          <w:lang w:val="en-US" w:eastAsia="zh-CN"/>
        </w:rPr>
        <w:t xml:space="preserve">               </w:t>
      </w:r>
    </w:p>
    <w:p>
      <w:pP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职务：</w:t>
      </w:r>
      <w:r>
        <w:rPr>
          <w:rFonts w:hint="eastAsia" w:ascii="仿宋" w:hAnsi="仿宋" w:eastAsia="仿宋" w:cs="仿宋"/>
          <w:color w:val="auto"/>
          <w:sz w:val="24"/>
          <w:highlight w:val="none"/>
          <w:u w:val="single"/>
          <w:lang w:val="en-US" w:eastAsia="zh-CN"/>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法定代表人授权代表（签字或盖章）：</w:t>
      </w:r>
      <w:r>
        <w:rPr>
          <w:rFonts w:hint="eastAsia" w:ascii="仿宋" w:hAnsi="仿宋" w:eastAsia="仿宋" w:cs="仿宋"/>
          <w:color w:val="auto"/>
          <w:sz w:val="24"/>
          <w:highlight w:val="none"/>
          <w:u w:val="single"/>
          <w:lang w:val="en-US" w:eastAsia="zh-CN"/>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职务：</w:t>
      </w:r>
      <w:r>
        <w:rPr>
          <w:rFonts w:hint="eastAsia" w:ascii="仿宋" w:hAnsi="仿宋" w:eastAsia="仿宋" w:cs="仿宋"/>
          <w:color w:val="auto"/>
          <w:sz w:val="24"/>
          <w:highlight w:val="none"/>
          <w:u w:val="single"/>
          <w:lang w:val="en-US" w:eastAsia="zh-CN"/>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ind w:firstLine="480"/>
        <w:rPr>
          <w:color w:val="auto"/>
          <w:highlight w:val="none"/>
        </w:rPr>
      </w:pPr>
    </w:p>
    <w:p>
      <w:pPr>
        <w:spacing w:line="360" w:lineRule="auto"/>
        <w:ind w:firstLine="42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84455</wp:posOffset>
                </wp:positionV>
                <wp:extent cx="2333625" cy="1584325"/>
                <wp:effectExtent l="4445" t="4445" r="5080" b="11430"/>
                <wp:wrapNone/>
                <wp:docPr id="19" name="流程图: 可选过程 1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代理人身份证复印件正面</w:t>
                            </w:r>
                          </w:p>
                        </w:txbxContent>
                      </wps:txbx>
                      <wps:bodyPr upright="1"/>
                    </wps:wsp>
                  </a:graphicData>
                </a:graphic>
              </wp:anchor>
            </w:drawing>
          </mc:Choice>
          <mc:Fallback>
            <w:pict>
              <v:shape id="_x0000_s1026" o:spid="_x0000_s1026" o:spt="176" type="#_x0000_t176" style="position:absolute;left:0pt;margin-left:-0.75pt;margin-top:6.65pt;height:124.75pt;width:183.75pt;z-index:251660288;mso-width-relative:page;mso-height-relative:page;" fillcolor="#FFFFFF" filled="t" stroked="t" coordsize="21600,21600" o:gfxdata="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6X/MidcAAAAJAQAADwAAAAAAAAABACAAAAAiAAAAZHJzL2Rvd25yZXYueG1sUEsB&#10;AhQAFAAAAAgAh07iQHDJhOAvAgAAYA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代理人身份证复印件正面</w:t>
                      </w:r>
                    </w:p>
                  </w:txbxContent>
                </v:textbox>
              </v:shape>
            </w:pict>
          </mc:Fallback>
        </mc:AlternateContent>
      </w: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3360" behindDoc="0" locked="0" layoutInCell="1" allowOverlap="1">
                <wp:simplePos x="0" y="0"/>
                <wp:positionH relativeFrom="column">
                  <wp:posOffset>2889885</wp:posOffset>
                </wp:positionH>
                <wp:positionV relativeFrom="paragraph">
                  <wp:posOffset>62230</wp:posOffset>
                </wp:positionV>
                <wp:extent cx="2333625" cy="1584325"/>
                <wp:effectExtent l="4445" t="4445" r="5080" b="11430"/>
                <wp:wrapNone/>
                <wp:docPr id="20" name="流程图: 可选过程 20"/>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代理人身份证复印件反面</w:t>
                            </w:r>
                          </w:p>
                        </w:txbxContent>
                      </wps:txbx>
                      <wps:bodyPr upright="1"/>
                    </wps:wsp>
                  </a:graphicData>
                </a:graphic>
              </wp:anchor>
            </w:drawing>
          </mc:Choice>
          <mc:Fallback>
            <w:pict>
              <v:shape id="_x0000_s1026" o:spid="_x0000_s1026" o:spt="176" type="#_x0000_t176" style="position:absolute;left:0pt;margin-left:227.55pt;margin-top:4.9pt;height:124.75pt;width:183.75pt;z-index:251663360;mso-width-relative:page;mso-height-relative:page;" fillcolor="#FFFFFF" filled="t" stroked="t" coordsize="21600,21600" o:gfxdata="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pvn2l1wAAAAkBAAAPAAAAAAAAAAEAIAAAACIAAABkcnMvZG93bnJldi54bWxQSwEC&#10;FAAUAAAACACHTuJAZs/YHS4CAABgBAAADgAAAAAAAAABACAAAAAmAQAAZHJzL2Uyb0RvYy54bWxQ&#10;SwUGAAAAAAYABgBZAQAAxg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代理人身份证复印件反面</w:t>
                      </w:r>
                    </w:p>
                  </w:txbxContent>
                </v:textbox>
              </v:shape>
            </w:pict>
          </mc:Fallback>
        </mc:AlternateContent>
      </w: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2336" behindDoc="0" locked="0" layoutInCell="1" allowOverlap="1">
                <wp:simplePos x="0" y="0"/>
                <wp:positionH relativeFrom="column">
                  <wp:posOffset>1030605</wp:posOffset>
                </wp:positionH>
                <wp:positionV relativeFrom="paragraph">
                  <wp:posOffset>7917180</wp:posOffset>
                </wp:positionV>
                <wp:extent cx="2333625" cy="1584325"/>
                <wp:effectExtent l="4445" t="4445" r="5080" b="11430"/>
                <wp:wrapNone/>
                <wp:docPr id="21" name="流程图: 可选过程 2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wps:txbx>
                      <wps:bodyPr upright="1"/>
                    </wps:wsp>
                  </a:graphicData>
                </a:graphic>
              </wp:anchor>
            </w:drawing>
          </mc:Choice>
          <mc:Fallback>
            <w:pict>
              <v:shape id="_x0000_s1026" o:spid="_x0000_s1026" o:spt="176" type="#_x0000_t176" style="position:absolute;left:0pt;margin-left:81.15pt;margin-top:623.4pt;height:124.75pt;width:183.75pt;z-index:251662336;mso-width-relative:page;mso-height-relative:page;" fillcolor="#FFFFFF" filled="t" stroked="t" coordsize="21600,21600" o:gfxdata="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dcMse2QAAAA0BAAAPAAAAAAAAAAEAIAAAACIAAABkcnMvZG93bnJldi54bWxQ&#10;SwECFAAUAAAACACHTuJA8X4xUC8CAABgBAAADgAAAAAAAAABACAAAAAo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v:textbox>
              </v:shape>
            </w:pict>
          </mc:Fallback>
        </mc:AlternateContent>
      </w:r>
    </w:p>
    <w:p>
      <w:pPr>
        <w:spacing w:line="300" w:lineRule="auto"/>
        <w:jc w:val="center"/>
        <w:rPr>
          <w:rFonts w:hint="eastAsia" w:ascii="仿宋" w:hAnsi="仿宋" w:eastAsia="仿宋" w:cs="仿宋"/>
          <w:b/>
          <w:color w:val="auto"/>
          <w:sz w:val="28"/>
          <w:szCs w:val="28"/>
          <w:highlight w:val="none"/>
        </w:rPr>
      </w:pPr>
    </w:p>
    <w:p>
      <w:pPr>
        <w:spacing w:line="300" w:lineRule="auto"/>
        <w:jc w:val="center"/>
        <w:rPr>
          <w:rFonts w:hint="eastAsia" w:ascii="仿宋" w:hAnsi="仿宋" w:eastAsia="仿宋" w:cs="仿宋"/>
          <w:b/>
          <w:color w:val="auto"/>
          <w:sz w:val="28"/>
          <w:szCs w:val="28"/>
          <w:highlight w:val="none"/>
        </w:rPr>
      </w:pPr>
    </w:p>
    <w:p>
      <w:pPr>
        <w:spacing w:line="30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spacing w:line="30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3．3关于资格的声明函</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lang w:eastAsia="zh-CN"/>
        </w:rPr>
        <w:t>惠州市第一妇幼保健院</w:t>
      </w:r>
      <w:r>
        <w:rPr>
          <w:rFonts w:hint="eastAsia" w:ascii="仿宋" w:hAnsi="仿宋" w:eastAsia="仿宋" w:cs="仿宋"/>
          <w:color w:val="auto"/>
          <w:sz w:val="24"/>
          <w:highlight w:val="none"/>
          <w:u w:val="single"/>
        </w:rPr>
        <w:t>：</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关于贵方采购项目名称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响应邀请，本签字人愿意参加响应，提供比选文件中规定的货物、服务及工程，并证明提交的下列文件和说明是准确的和真实的。</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1.具备《政府采购法》第二十二条规定的条件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且提供以下证明文件：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（1）在中华人民共和国境内注册的具有独立承担民事责任能力的法人或其他组织（提供营业执照等证明文件）；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（2）供应商必须具有良好的商业信誉和健全的财务会计制度。可提供：①</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rPr>
        <w:t>年至今任意一年经审计的审计报告复印件（包含审计报告中所涉及的财务报表和报表附注）；或②</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rPr>
        <w:t>年度至今任意一年</w:t>
      </w:r>
      <w:r>
        <w:rPr>
          <w:rFonts w:hint="eastAsia" w:ascii="仿宋" w:hAnsi="仿宋" w:eastAsia="仿宋" w:cs="仿宋"/>
          <w:color w:val="auto"/>
          <w:kern w:val="0"/>
          <w:sz w:val="24"/>
          <w:szCs w:val="24"/>
          <w:highlight w:val="none"/>
          <w:lang w:eastAsia="zh-CN"/>
        </w:rPr>
        <w:t>响应供应商</w:t>
      </w:r>
      <w:r>
        <w:rPr>
          <w:rFonts w:hint="eastAsia" w:ascii="仿宋" w:hAnsi="仿宋" w:eastAsia="仿宋" w:cs="仿宋"/>
          <w:color w:val="auto"/>
          <w:sz w:val="24"/>
          <w:highlight w:val="none"/>
        </w:rPr>
        <w:t>内部的财务报表复印件（新成立公司提供成立至今的月或季度财务报表复印件）；或③截至</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文件递交截止日</w:t>
      </w:r>
      <w:r>
        <w:rPr>
          <w:rFonts w:hint="eastAsia" w:ascii="仿宋" w:hAnsi="仿宋" w:eastAsia="仿宋" w:cs="仿宋"/>
          <w:color w:val="auto"/>
          <w:sz w:val="24"/>
          <w:highlight w:val="none"/>
          <w:lang w:eastAsia="zh-CN"/>
        </w:rPr>
        <w:t>12个月内银行</w:t>
      </w:r>
      <w:r>
        <w:rPr>
          <w:rFonts w:hint="eastAsia" w:ascii="仿宋" w:hAnsi="仿宋" w:eastAsia="仿宋" w:cs="仿宋"/>
          <w:color w:val="auto"/>
          <w:sz w:val="24"/>
          <w:highlight w:val="none"/>
        </w:rPr>
        <w:t>出具的资信证明（复印件）；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（3）比选截止时间前一年内任意一个月的依法缴纳税收证明材料（如依法免税，则须提供相应文件证明其依法免税）；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（4）比选截止时间前一年内任意一个月的依法缴纳社会保险凭据（如依法不需要缴纳社保，则须提供相应文件证明其依法不需要缴纳）；</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（5）履行合同所必需的设备和专业技术能力的证明材料或书面声明；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（6）参加政府采购活动前3年内在经营活动中没有重大违法记录的书面声明。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3.单位负责人为同一人或者存在直接控股、管理关系的不同供应商，不得参加同一包号比选或者未划分包号的同一采购项目。</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供应商出具声明函</w:t>
      </w:r>
      <w:r>
        <w:rPr>
          <w:rFonts w:hint="eastAsia" w:ascii="仿宋" w:hAnsi="仿宋" w:eastAsia="仿宋" w:cs="仿宋"/>
          <w:color w:val="auto"/>
          <w:sz w:val="24"/>
          <w:highlight w:val="none"/>
          <w:lang w:eastAsia="zh-CN"/>
        </w:rPr>
        <w:t>）</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eastAsia="zh-CN"/>
        </w:rPr>
        <w:t>为本采购项目提供整体设计、规范编制或者项目管理、监理、检测等服务的供应商，不得再参加本采购项目的采购活动。（</w:t>
      </w:r>
      <w:r>
        <w:rPr>
          <w:rFonts w:hint="eastAsia" w:ascii="仿宋" w:hAnsi="仿宋" w:eastAsia="仿宋" w:cs="仿宋"/>
          <w:color w:val="auto"/>
          <w:sz w:val="24"/>
          <w:highlight w:val="none"/>
        </w:rPr>
        <w:t>供应商出具声明函</w:t>
      </w:r>
      <w:r>
        <w:rPr>
          <w:rFonts w:hint="eastAsia" w:ascii="仿宋" w:hAnsi="仿宋" w:eastAsia="仿宋" w:cs="仿宋"/>
          <w:color w:val="auto"/>
          <w:sz w:val="24"/>
          <w:highlight w:val="none"/>
          <w:lang w:eastAsia="zh-CN"/>
        </w:rPr>
        <w:t>）</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5.本项目不接受联合体参加比选，不允许响应供应商对各比选项目进行分包或转包</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供应商出具声明函</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pPr>
        <w:spacing w:line="48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6.本项目是专门面向中小企业采购的项目。（提供《中小企业声明函》，具体格式文件见比选文件</w:t>
      </w:r>
      <w:r>
        <w:rPr>
          <w:rFonts w:hint="eastAsia" w:ascii="仿宋" w:hAnsi="仿宋" w:eastAsia="仿宋" w:cs="仿宋"/>
          <w:b/>
          <w:bCs/>
          <w:color w:val="auto"/>
          <w:sz w:val="24"/>
          <w:highlight w:val="none"/>
          <w:lang w:val="en-US" w:eastAsia="zh-CN"/>
        </w:rPr>
        <w:t>P53</w:t>
      </w:r>
      <w:r>
        <w:rPr>
          <w:rFonts w:hint="eastAsia" w:ascii="仿宋" w:hAnsi="仿宋" w:eastAsia="仿宋" w:cs="仿宋"/>
          <w:color w:val="auto"/>
          <w:sz w:val="24"/>
          <w:highlight w:val="none"/>
          <w:lang w:val="en-US" w:eastAsia="zh-CN"/>
        </w:rPr>
        <w:t>中小企业声明函（工程、服务）</w:t>
      </w:r>
      <w:r>
        <w:rPr>
          <w:rFonts w:hint="eastAsia" w:ascii="仿宋" w:hAnsi="仿宋" w:eastAsia="仿宋" w:cs="仿宋"/>
          <w:color w:val="auto"/>
          <w:sz w:val="24"/>
          <w:highlight w:val="none"/>
          <w:lang w:val="hr-HR" w:eastAsia="zh-CN"/>
        </w:rPr>
        <w:t>，未按要求提供声明函的将导致响应无效</w:t>
      </w:r>
      <w:r>
        <w:rPr>
          <w:rFonts w:hint="eastAsia" w:ascii="仿宋" w:hAnsi="仿宋" w:eastAsia="仿宋" w:cs="仿宋"/>
          <w:color w:val="auto"/>
          <w:sz w:val="24"/>
          <w:highlight w:val="none"/>
          <w:lang w:val="en-US" w:eastAsia="zh-CN"/>
        </w:rPr>
        <w:t>）。本项目中小企业划分标准</w:t>
      </w:r>
      <w:r>
        <w:rPr>
          <w:rFonts w:hint="eastAsia" w:ascii="仿宋" w:hAnsi="仿宋" w:eastAsia="仿宋" w:cs="仿宋"/>
          <w:b/>
          <w:bCs/>
          <w:color w:val="auto"/>
          <w:sz w:val="24"/>
          <w:highlight w:val="none"/>
          <w:lang w:val="en-US" w:eastAsia="zh-CN"/>
        </w:rPr>
        <w:t>所属行业为：软件和信息技术服务业</w:t>
      </w:r>
      <w:r>
        <w:rPr>
          <w:rFonts w:hint="eastAsia" w:ascii="仿宋" w:hAnsi="仿宋" w:eastAsia="仿宋" w:cs="仿宋"/>
          <w:color w:val="auto"/>
          <w:sz w:val="24"/>
          <w:highlight w:val="none"/>
          <w:lang w:val="en-US" w:eastAsia="zh-CN"/>
        </w:rPr>
        <w:t>。</w:t>
      </w:r>
    </w:p>
    <w:p>
      <w:pPr>
        <w:spacing w:line="48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7.已在医院办公室报名。</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（相关资质及证明文件附后）</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pStyle w:val="2"/>
        <w:ind w:left="0" w:leftChars="0" w:firstLine="0" w:firstLineChars="0"/>
        <w:rPr>
          <w:rFonts w:hint="eastAsia"/>
          <w:color w:val="auto"/>
          <w:sz w:val="24"/>
          <w:szCs w:val="24"/>
          <w:highlight w:val="none"/>
        </w:rPr>
      </w:pPr>
      <w:r>
        <w:rPr>
          <w:color w:val="auto"/>
          <w:sz w:val="24"/>
          <w:highlight w:val="none"/>
        </w:rPr>
        <w:br w:type="page"/>
      </w:r>
      <w:r>
        <w:rPr>
          <w:rFonts w:hint="eastAsia" w:ascii="仿宋" w:hAnsi="仿宋" w:eastAsia="仿宋" w:cs="仿宋"/>
          <w:color w:val="auto"/>
          <w:highlight w:val="none"/>
        </w:rPr>
        <w:t>4 商务部分</w:t>
      </w:r>
    </w:p>
    <w:p>
      <w:pPr>
        <w:tabs>
          <w:tab w:val="left" w:pos="540"/>
        </w:tabs>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4.1</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lang w:val="en-GB"/>
        </w:rPr>
        <w:t>其它必需重要事项说明及承诺</w:t>
      </w:r>
      <w:r>
        <w:rPr>
          <w:rFonts w:hint="eastAsia" w:ascii="仿宋" w:hAnsi="仿宋" w:eastAsia="仿宋" w:cs="仿宋"/>
          <w:b/>
          <w:color w:val="auto"/>
          <w:sz w:val="24"/>
          <w:highlight w:val="none"/>
          <w:lang w:val="en-GB" w:eastAsia="zh-CN"/>
        </w:rPr>
        <w:t>（</w:t>
      </w:r>
      <w:r>
        <w:rPr>
          <w:rFonts w:hint="eastAsia" w:ascii="仿宋" w:hAnsi="仿宋" w:eastAsia="仿宋" w:cs="仿宋"/>
          <w:b/>
          <w:color w:val="auto"/>
          <w:sz w:val="24"/>
          <w:highlight w:val="none"/>
          <w:lang w:val="en-GB"/>
        </w:rPr>
        <w:t>单页</w:t>
      </w:r>
      <w:r>
        <w:rPr>
          <w:rFonts w:hint="eastAsia" w:ascii="仿宋" w:hAnsi="仿宋" w:eastAsia="仿宋" w:cs="仿宋"/>
          <w:b/>
          <w:color w:val="auto"/>
          <w:sz w:val="24"/>
          <w:highlight w:val="none"/>
          <w:lang w:val="en-GB" w:eastAsia="zh-CN"/>
        </w:rPr>
        <w:t>）</w:t>
      </w:r>
    </w:p>
    <w:p>
      <w:pPr>
        <w:adjustRightInd w:val="0"/>
        <w:snapToGrid w:val="0"/>
        <w:spacing w:line="40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4.1.1近三年经营活动中无重大违法违规声明函</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参加本项目前三年内，在经营活动中没有违法记录承诺函。</w:t>
      </w:r>
    </w:p>
    <w:p>
      <w:pPr>
        <w:adjustRightInd w:val="0"/>
        <w:snapToGrid w:val="0"/>
        <w:spacing w:line="400" w:lineRule="exact"/>
        <w:jc w:val="center"/>
        <w:rPr>
          <w:rFonts w:hint="eastAsia" w:ascii="仿宋" w:hAnsi="仿宋" w:eastAsia="仿宋" w:cs="仿宋"/>
          <w:b/>
          <w:color w:val="auto"/>
          <w:sz w:val="28"/>
          <w:szCs w:val="28"/>
          <w:highlight w:val="none"/>
        </w:rPr>
      </w:pPr>
    </w:p>
    <w:p>
      <w:pPr>
        <w:adjustRightInd w:val="0"/>
        <w:snapToGrid w:val="0"/>
        <w:spacing w:line="40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近三年经营活动中无重大违法违规声明函</w:t>
      </w:r>
    </w:p>
    <w:p>
      <w:pPr>
        <w:spacing w:line="400" w:lineRule="exact"/>
        <w:ind w:left="-540" w:leftChars="-257"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惠州市第一妇幼保健院</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本人以</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响应供应商名称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法定代表人的资格，郑重声明：</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我公司在参加本项目采购活动前三年，在经营活动中无重大违法、违规的不良记录。若在本次项目响应的全过程中，被查实我公司提供的资料及上述声明不属实，或提供的相关资料不属实或不满足资格审查要求，医院有权取消我公司的响应及成交资格，且我公司将无条件承担由此给本次比选带来的一切后果，包括经济损失。</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pPr>
        <w:adjustRightInd w:val="0"/>
        <w:snapToGrid w:val="0"/>
        <w:spacing w:line="400" w:lineRule="exact"/>
        <w:ind w:firstLine="555"/>
        <w:rPr>
          <w:rFonts w:hint="eastAsia" w:ascii="仿宋" w:hAnsi="仿宋" w:eastAsia="仿宋" w:cs="仿宋"/>
          <w:color w:val="auto"/>
          <w:sz w:val="24"/>
          <w:highlight w:val="none"/>
        </w:rPr>
      </w:pP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400" w:lineRule="exact"/>
        <w:rPr>
          <w:rFonts w:hint="eastAsia" w:ascii="仿宋" w:hAnsi="仿宋" w:eastAsia="仿宋" w:cs="仿宋"/>
          <w:color w:val="auto"/>
          <w:sz w:val="24"/>
          <w:highlight w:val="none"/>
        </w:rPr>
      </w:pPr>
      <w:r>
        <w:rPr>
          <w:rFonts w:ascii="仿宋" w:hAnsi="仿宋" w:eastAsia="仿宋" w:cs="仿宋"/>
          <w:color w:val="auto"/>
          <w:sz w:val="24"/>
          <w:highlight w:val="none"/>
        </w:rPr>
        <w:br w:type="page"/>
      </w:r>
      <w:r>
        <w:rPr>
          <w:rFonts w:hint="eastAsia" w:ascii="仿宋" w:hAnsi="仿宋" w:eastAsia="仿宋" w:cs="仿宋"/>
          <w:color w:val="auto"/>
          <w:sz w:val="24"/>
          <w:highlight w:val="none"/>
          <w:lang w:val="en-US" w:eastAsia="zh-CN"/>
        </w:rPr>
        <w:t>4.1.2</w:t>
      </w:r>
      <w:r>
        <w:rPr>
          <w:rFonts w:hint="eastAsia" w:ascii="仿宋" w:hAnsi="仿宋" w:eastAsia="仿宋" w:cs="仿宋"/>
          <w:color w:val="auto"/>
          <w:sz w:val="24"/>
          <w:highlight w:val="none"/>
        </w:rPr>
        <w:t>诚信响应承诺书。</w:t>
      </w:r>
    </w:p>
    <w:p>
      <w:pPr>
        <w:spacing w:line="400" w:lineRule="exact"/>
        <w:jc w:val="center"/>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诚信响应承诺书</w:t>
      </w:r>
      <w:r>
        <w:rPr>
          <w:rFonts w:hint="eastAsia" w:ascii="仿宋" w:hAnsi="仿宋" w:eastAsia="仿宋" w:cs="仿宋"/>
          <w:b/>
          <w:color w:val="auto"/>
          <w:sz w:val="30"/>
          <w:szCs w:val="30"/>
          <w:highlight w:val="none"/>
          <w:lang w:val="hr-HR" w:eastAsia="zh-CN"/>
        </w:rPr>
        <w:t>（</w:t>
      </w:r>
      <w:r>
        <w:rPr>
          <w:rFonts w:hint="eastAsia" w:ascii="仿宋" w:hAnsi="仿宋" w:eastAsia="仿宋" w:cs="仿宋"/>
          <w:b/>
          <w:color w:val="auto"/>
          <w:sz w:val="30"/>
          <w:szCs w:val="30"/>
          <w:highlight w:val="none"/>
          <w:lang w:val="hr-HR"/>
        </w:rPr>
        <w:t>单页</w:t>
      </w:r>
      <w:r>
        <w:rPr>
          <w:rFonts w:hint="eastAsia" w:ascii="仿宋" w:hAnsi="仿宋" w:eastAsia="仿宋" w:cs="仿宋"/>
          <w:b/>
          <w:color w:val="auto"/>
          <w:sz w:val="30"/>
          <w:szCs w:val="30"/>
          <w:highlight w:val="none"/>
          <w:lang w:val="hr-HR" w:eastAsia="zh-CN"/>
        </w:rPr>
        <w:t>）</w:t>
      </w:r>
    </w:p>
    <w:p>
      <w:pPr>
        <w:spacing w:line="400" w:lineRule="exact"/>
        <w:ind w:left="-540" w:leftChars="-257"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惠州市第一妇幼保健院</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本企业郑重承诺：</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一、遵守政府采购法律、法规和规章制度，维护医院采购市场秩序和公平竞争环境，不恶意竞价；</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二、依法诚信参与医院比选、响应采购活动，自觉维护采购人合法权益；</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三、严格保守医院比选采购活动中获取的国家秘密和商业秘密；</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四、依法履行采购合同和采购活动中的各项承诺，为采购人提供符合规定质量标准的货物、工程和服务，以及优良的售后服务；</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五、依法诚信进行质疑与投诉活动；</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六、主动接受医院比选采购监督管理部门的监督检查。</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本公司若有违反本承诺内容的行为，愿意承担相应的后果和法律责任，包括愿意接受医院作出的处罚。 </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400" w:lineRule="exact"/>
        <w:rPr>
          <w:rFonts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备注：附上</w:t>
      </w:r>
      <w:r>
        <w:rPr>
          <w:rFonts w:hint="eastAsia" w:ascii="仿宋" w:hAnsi="仿宋" w:eastAsia="仿宋" w:cs="仿宋"/>
          <w:color w:val="auto"/>
          <w:sz w:val="24"/>
          <w:highlight w:val="none"/>
          <w:lang w:bidi="ar"/>
        </w:rPr>
        <w:t>国家企业信用信息公示系统/信用中国/中国政府采购网查询的征信情况。</w:t>
      </w:r>
    </w:p>
    <w:p>
      <w:pPr>
        <w:numPr>
          <w:ilvl w:val="0"/>
          <w:numId w:val="0"/>
        </w:numPr>
        <w:rPr>
          <w:rFonts w:hint="eastAsia" w:ascii="仿宋" w:hAnsi="仿宋" w:eastAsia="仿宋" w:cs="仿宋"/>
          <w:color w:val="auto"/>
          <w:sz w:val="24"/>
        </w:rPr>
      </w:pPr>
      <w:r>
        <w:rPr>
          <w:rFonts w:hint="eastAsia" w:ascii="仿宋" w:hAnsi="仿宋" w:eastAsia="仿宋" w:cs="仿宋"/>
          <w:color w:val="auto"/>
          <w:highlight w:val="none"/>
        </w:rPr>
        <w:br w:type="page"/>
      </w:r>
      <w:r>
        <w:rPr>
          <w:rFonts w:hint="eastAsia" w:ascii="仿宋" w:hAnsi="仿宋" w:eastAsia="仿宋" w:cs="仿宋"/>
          <w:color w:val="auto"/>
          <w:sz w:val="24"/>
          <w:highlight w:val="none"/>
          <w:lang w:val="en-US" w:eastAsia="zh-CN"/>
        </w:rPr>
        <w:t>4.1.3</w:t>
      </w:r>
      <w:r>
        <w:rPr>
          <w:rFonts w:hint="eastAsia" w:ascii="仿宋" w:hAnsi="仿宋" w:eastAsia="仿宋" w:cs="仿宋"/>
          <w:color w:val="auto"/>
          <w:sz w:val="24"/>
        </w:rPr>
        <w:t>中小企业声明函。</w:t>
      </w:r>
    </w:p>
    <w:p>
      <w:pPr>
        <w:pStyle w:val="8"/>
        <w:ind w:left="0" w:leftChars="0" w:firstLine="0" w:firstLineChars="0"/>
        <w:rPr>
          <w:rFonts w:hint="eastAsia"/>
          <w:color w:val="auto"/>
        </w:rPr>
      </w:pPr>
    </w:p>
    <w:p>
      <w:pPr>
        <w:numPr>
          <w:ilvl w:val="0"/>
          <w:numId w:val="0"/>
        </w:numPr>
        <w:rPr>
          <w:rFonts w:hint="eastAsia" w:ascii="仿宋" w:hAnsi="仿宋" w:eastAsia="仿宋" w:cs="仿宋"/>
          <w:color w:val="auto"/>
          <w:sz w:val="24"/>
          <w:highlight w:val="none"/>
        </w:rPr>
      </w:pPr>
      <w:r>
        <w:rPr>
          <w:rFonts w:hint="eastAsia" w:ascii="仿宋" w:hAnsi="仿宋" w:eastAsia="仿宋" w:cs="仿宋"/>
          <w:color w:val="auto"/>
          <w:sz w:val="24"/>
          <w:highlight w:val="none"/>
        </w:rPr>
        <w:t>（以下格式文件由供应商根据需要选用）</w:t>
      </w:r>
    </w:p>
    <w:p>
      <w:pPr>
        <w:numPr>
          <w:ilvl w:val="0"/>
          <w:numId w:val="0"/>
        </w:numPr>
        <w:rPr>
          <w:rFonts w:hint="eastAsia"/>
          <w:color w:val="auto"/>
          <w:highlight w:val="none"/>
        </w:rPr>
      </w:pPr>
      <w:r>
        <w:rPr>
          <w:rFonts w:hint="eastAsia" w:ascii="仿宋" w:hAnsi="仿宋" w:eastAsia="仿宋" w:cs="仿宋"/>
          <w:color w:val="auto"/>
          <w:sz w:val="24"/>
          <w:highlight w:val="none"/>
          <w:lang w:val="en-US" w:eastAsia="zh-CN"/>
        </w:rPr>
        <w:t>4.1.3.1</w:t>
      </w:r>
      <w:r>
        <w:rPr>
          <w:rFonts w:hint="eastAsia" w:ascii="仿宋" w:hAnsi="仿宋" w:eastAsia="仿宋" w:cs="仿宋"/>
          <w:color w:val="auto"/>
          <w:sz w:val="24"/>
          <w:highlight w:val="none"/>
        </w:rPr>
        <w:t>中小企业声明函（所投产品制造商为中小企业时提交本函，所属行业应符合采购文件中明确的本项目所属行业）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4"/>
          <w:highlight w:val="none"/>
        </w:rPr>
      </w:pPr>
      <w:r>
        <w:rPr>
          <w:rFonts w:hint="eastAsia" w:ascii="仿宋" w:hAnsi="仿宋" w:eastAsia="仿宋" w:cs="仿宋"/>
          <w:b/>
          <w:color w:val="auto"/>
          <w:sz w:val="30"/>
          <w:szCs w:val="30"/>
          <w:highlight w:val="none"/>
          <w:lang w:val="hr-HR"/>
        </w:rPr>
        <w:t>中小企业声明函（货物）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号）的规定，本公司（联合体）参加（单位名称）的（项目名称）采购活动，提供的货物全部由符合政策要求的中小企业制造。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1.（标的名称），属于（采购文件中明确的所属行业）行业；制造商为（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2.（标的名称），属于（采购文件中明确的所属行业）行业；制造商为（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应当对其出具的《中小企业声明函》真实性负责，</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出具的《中小企业声明函》内容不实的，属于提供虚假材料谋取</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。在实际操作中，</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希望获得中小企业扶持政策支持的，应从制造商处获得充分、准确的信息。对相关制造商信息了解不充分，或者不能确定相关信息真实、准确的，不建议出具《中小企业声明函》。</w:t>
      </w:r>
    </w:p>
    <w:p>
      <w:pPr>
        <w:pStyle w:val="8"/>
        <w:numPr>
          <w:ilvl w:val="0"/>
          <w:numId w:val="0"/>
        </w:numPr>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中小企业声明函（承建本项目工程为中小企业或者承接本项目服务为中小企业时提交本函，所属行业应符合采购文件中明确的本项目所属行业）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4.1.3.2</w:t>
      </w:r>
      <w:r>
        <w:rPr>
          <w:rFonts w:hint="eastAsia" w:ascii="仿宋" w:hAnsi="仿宋" w:eastAsia="仿宋" w:cs="仿宋"/>
          <w:color w:val="auto"/>
          <w:sz w:val="24"/>
          <w:highlight w:val="none"/>
        </w:rPr>
        <w:t>中小企业声明函（承建本项目工程为中小企业或者承接本项目服务为中小企业时提交本函，所属行业应符合采购文件中明确的本项目所属行业）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中小企业声明函（工程、服务）</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1.（标的名称），属于（采购文件中明确的所属行业）行业；承建（承接）企业为（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2.（标的名称），属于（采购文件中明确的所属行业）行业；承建（承接）企业为（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应当自行核实是否属于小微企业，并认真填写声明函，若有虚假将追究其责任。</w:t>
      </w:r>
    </w:p>
    <w:p>
      <w:pPr>
        <w:spacing w:line="240" w:lineRule="auto"/>
        <w:ind w:firstLine="0" w:firstLineChars="0"/>
        <w:rPr>
          <w:rFonts w:hint="eastAsia" w:ascii="仿宋" w:hAnsi="仿宋" w:eastAsia="仿宋" w:cs="仿宋"/>
          <w:color w:val="auto"/>
          <w:sz w:val="24"/>
        </w:rPr>
      </w:pPr>
      <w:r>
        <w:rPr>
          <w:rFonts w:hint="eastAsia" w:ascii="仿宋" w:hAnsi="仿宋" w:eastAsia="仿宋" w:cs="仿宋"/>
          <w:color w:val="auto"/>
          <w:sz w:val="24"/>
          <w:highlight w:val="none"/>
        </w:rPr>
        <w:br w:type="page"/>
      </w:r>
      <w:r>
        <w:rPr>
          <w:rFonts w:hint="eastAsia" w:ascii="仿宋" w:hAnsi="仿宋" w:eastAsia="仿宋" w:cs="仿宋"/>
          <w:color w:val="auto"/>
          <w:sz w:val="24"/>
          <w:highlight w:val="none"/>
          <w:lang w:val="en-US" w:eastAsia="zh-CN"/>
        </w:rPr>
        <w:t>4.1.4</w:t>
      </w:r>
      <w:r>
        <w:rPr>
          <w:rFonts w:hint="eastAsia" w:ascii="仿宋" w:hAnsi="仿宋" w:eastAsia="仿宋" w:cs="仿宋"/>
          <w:color w:val="auto"/>
          <w:sz w:val="24"/>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监狱企业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提供由监狱管理局、戒毒管理局（含新疆生产建设兵团）出具的属于监狱企业的证明文件。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残疾人福利性单位声明函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注：本函未填写或未勾选视作未</w:t>
      </w:r>
      <w:r>
        <w:rPr>
          <w:rFonts w:hint="eastAsia" w:ascii="仿宋" w:hAnsi="仿宋" w:eastAsia="仿宋" w:cs="仿宋"/>
          <w:color w:val="auto"/>
          <w:sz w:val="24"/>
          <w:highlight w:val="none"/>
          <w:lang w:eastAsia="zh-CN"/>
        </w:rPr>
        <w:t>作</w:t>
      </w:r>
      <w:r>
        <w:rPr>
          <w:rFonts w:hint="eastAsia" w:ascii="仿宋" w:hAnsi="仿宋" w:eastAsia="仿宋" w:cs="仿宋"/>
          <w:color w:val="auto"/>
          <w:sz w:val="24"/>
          <w:highlight w:val="none"/>
        </w:rPr>
        <w:t>声明。</w:t>
      </w:r>
    </w:p>
    <w:p>
      <w:pPr>
        <w:rPr>
          <w:rFonts w:hint="default"/>
          <w:color w:val="auto"/>
          <w:highlight w:val="none"/>
          <w:lang w:val="en-US" w:eastAsia="zh-CN"/>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pStyle w:val="2"/>
        <w:rPr>
          <w:rFonts w:hint="eastAsia"/>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4.2商务条款响应</w:t>
      </w:r>
    </w:p>
    <w:p>
      <w:pP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4.2.1 实质性响应商务条款</w:t>
      </w:r>
      <w:r>
        <w:rPr>
          <w:rFonts w:hint="eastAsia" w:ascii="仿宋" w:hAnsi="仿宋" w:eastAsia="仿宋" w:cs="仿宋"/>
          <w:b/>
          <w:color w:val="auto"/>
          <w:sz w:val="24"/>
          <w:highlight w:val="none"/>
          <w:lang w:eastAsia="zh-CN"/>
        </w:rPr>
        <w:t>（单页填写）</w:t>
      </w:r>
      <w:bookmarkStart w:id="0" w:name="_GoBack"/>
      <w:bookmarkEnd w:id="0"/>
    </w:p>
    <w:p>
      <w:pPr>
        <w:rPr>
          <w:rFonts w:hint="eastAsia" w:ascii="仿宋" w:hAnsi="仿宋" w:eastAsia="仿宋" w:cs="仿宋"/>
          <w:b/>
          <w:color w:val="auto"/>
          <w:sz w:val="24"/>
          <w:highlight w:val="none"/>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1075"/>
        <w:gridCol w:w="3651"/>
        <w:gridCol w:w="735"/>
        <w:gridCol w:w="1430"/>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5000" w:type="pct"/>
            <w:gridSpan w:val="6"/>
            <w:noWrap w:val="0"/>
            <w:vAlign w:val="center"/>
          </w:tcPr>
          <w:p>
            <w:pPr>
              <w:spacing w:after="12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”项）商务条款响应表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349" w:type="pct"/>
            <w:shd w:val="clear" w:color="auto" w:fill="F1F1F1"/>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631" w:type="pct"/>
            <w:shd w:val="clear" w:color="auto" w:fill="F1F1F1"/>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2142" w:type="pct"/>
            <w:shd w:val="clear" w:color="auto" w:fill="F1F1F1"/>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要求</w:t>
            </w:r>
          </w:p>
        </w:tc>
        <w:tc>
          <w:tcPr>
            <w:tcW w:w="431" w:type="pct"/>
            <w:shd w:val="clear" w:color="auto" w:fill="F1F1F1"/>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839" w:type="pct"/>
            <w:shd w:val="clear" w:color="auto" w:fill="F1F1F1"/>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偏离情况（正/负/无）</w:t>
            </w:r>
          </w:p>
        </w:tc>
        <w:tc>
          <w:tcPr>
            <w:tcW w:w="605" w:type="pct"/>
            <w:shd w:val="clear" w:color="auto" w:fill="F1F1F1"/>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49" w:type="pct"/>
            <w:noWrap w:val="0"/>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p>
        </w:tc>
        <w:tc>
          <w:tcPr>
            <w:tcW w:w="631" w:type="pct"/>
            <w:noWrap w:val="0"/>
            <w:vAlign w:val="center"/>
          </w:tcPr>
          <w:p>
            <w:pPr>
              <w:spacing w:line="380" w:lineRule="exact"/>
              <w:jc w:val="center"/>
              <w:rPr>
                <w:rFonts w:hint="eastAsia" w:ascii="仿宋" w:hAnsi="仿宋" w:eastAsia="仿宋" w:cs="仿宋"/>
                <w:color w:val="auto"/>
                <w:sz w:val="21"/>
                <w:szCs w:val="21"/>
                <w:highlight w:val="none"/>
                <w:lang w:val="en-US" w:eastAsia="zh-CN"/>
              </w:rPr>
            </w:pPr>
          </w:p>
        </w:tc>
        <w:tc>
          <w:tcPr>
            <w:tcW w:w="2142" w:type="pct"/>
            <w:noWrap w:val="0"/>
            <w:vAlign w:val="center"/>
          </w:tcPr>
          <w:p>
            <w:pPr>
              <w:adjustRightInd w:val="0"/>
              <w:snapToGrid w:val="0"/>
              <w:spacing w:line="360" w:lineRule="auto"/>
              <w:jc w:val="center"/>
              <w:rPr>
                <w:rFonts w:hint="eastAsia" w:ascii="仿宋" w:hAnsi="仿宋" w:eastAsia="仿宋" w:cs="仿宋"/>
                <w:color w:val="auto"/>
                <w:sz w:val="21"/>
                <w:szCs w:val="21"/>
                <w:highlight w:val="none"/>
                <w:lang w:val="en-US" w:eastAsia="zh-CN"/>
              </w:rPr>
            </w:pPr>
          </w:p>
        </w:tc>
        <w:tc>
          <w:tcPr>
            <w:tcW w:w="431" w:type="pct"/>
            <w:noWrap w:val="0"/>
            <w:vAlign w:val="center"/>
          </w:tcPr>
          <w:p>
            <w:pPr>
              <w:spacing w:line="380" w:lineRule="exact"/>
              <w:ind w:left="40" w:leftChars="19"/>
              <w:jc w:val="left"/>
              <w:rPr>
                <w:rFonts w:hint="eastAsia" w:ascii="仿宋" w:hAnsi="仿宋" w:eastAsia="仿宋" w:cs="仿宋"/>
                <w:color w:val="auto"/>
                <w:szCs w:val="21"/>
                <w:highlight w:val="none"/>
                <w:lang w:val="zh-CN"/>
              </w:rPr>
            </w:pPr>
          </w:p>
        </w:tc>
        <w:tc>
          <w:tcPr>
            <w:tcW w:w="839" w:type="pct"/>
            <w:noWrap w:val="0"/>
            <w:vAlign w:val="center"/>
          </w:tcPr>
          <w:p>
            <w:pPr>
              <w:spacing w:line="380" w:lineRule="exact"/>
              <w:ind w:left="40" w:leftChars="19"/>
              <w:jc w:val="left"/>
              <w:rPr>
                <w:rFonts w:hint="eastAsia" w:ascii="仿宋" w:hAnsi="仿宋" w:eastAsia="仿宋" w:cs="仿宋"/>
                <w:color w:val="auto"/>
                <w:szCs w:val="21"/>
                <w:highlight w:val="none"/>
                <w:lang w:val="zh-CN"/>
              </w:rPr>
            </w:pPr>
          </w:p>
        </w:tc>
        <w:tc>
          <w:tcPr>
            <w:tcW w:w="605" w:type="pct"/>
            <w:noWrap w:val="0"/>
            <w:vAlign w:val="center"/>
          </w:tcPr>
          <w:p>
            <w:pPr>
              <w:spacing w:line="380" w:lineRule="exact"/>
              <w:ind w:left="40" w:leftChars="19"/>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49" w:type="pct"/>
            <w:noWrap w:val="0"/>
            <w:vAlign w:val="center"/>
          </w:tcPr>
          <w:p>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631" w:type="pct"/>
            <w:noWrap w:val="0"/>
            <w:vAlign w:val="center"/>
          </w:tcPr>
          <w:p>
            <w:pPr>
              <w:jc w:val="center"/>
              <w:rPr>
                <w:rFonts w:hint="eastAsia" w:ascii="仿宋" w:hAnsi="仿宋" w:eastAsia="仿宋" w:cs="仿宋"/>
                <w:color w:val="auto"/>
                <w:sz w:val="21"/>
                <w:szCs w:val="21"/>
                <w:highlight w:val="none"/>
              </w:rPr>
            </w:pPr>
          </w:p>
        </w:tc>
        <w:tc>
          <w:tcPr>
            <w:tcW w:w="2142" w:type="pct"/>
            <w:noWrap w:val="0"/>
            <w:vAlign w:val="center"/>
          </w:tcPr>
          <w:p>
            <w:pPr>
              <w:adjustRightInd w:val="0"/>
              <w:snapToGrid w:val="0"/>
              <w:spacing w:line="360" w:lineRule="auto"/>
              <w:jc w:val="center"/>
              <w:rPr>
                <w:rFonts w:hint="eastAsia" w:ascii="仿宋" w:hAnsi="仿宋" w:eastAsia="仿宋" w:cs="仿宋"/>
                <w:color w:val="auto"/>
                <w:sz w:val="21"/>
                <w:szCs w:val="21"/>
                <w:highlight w:val="none"/>
              </w:rPr>
            </w:pPr>
          </w:p>
        </w:tc>
        <w:tc>
          <w:tcPr>
            <w:tcW w:w="431" w:type="pct"/>
            <w:noWrap w:val="0"/>
            <w:vAlign w:val="top"/>
          </w:tcPr>
          <w:p>
            <w:pPr>
              <w:rPr>
                <w:rFonts w:hint="eastAsia" w:ascii="仿宋" w:hAnsi="仿宋" w:eastAsia="仿宋" w:cs="仿宋"/>
                <w:color w:val="auto"/>
                <w:szCs w:val="21"/>
                <w:highlight w:val="none"/>
              </w:rPr>
            </w:pPr>
          </w:p>
        </w:tc>
        <w:tc>
          <w:tcPr>
            <w:tcW w:w="839" w:type="pct"/>
            <w:noWrap w:val="0"/>
            <w:vAlign w:val="top"/>
          </w:tcPr>
          <w:p>
            <w:pPr>
              <w:rPr>
                <w:rFonts w:hint="eastAsia" w:ascii="仿宋" w:hAnsi="仿宋" w:eastAsia="仿宋" w:cs="仿宋"/>
                <w:color w:val="auto"/>
                <w:szCs w:val="21"/>
                <w:highlight w:val="none"/>
              </w:rPr>
            </w:pPr>
          </w:p>
        </w:tc>
        <w:tc>
          <w:tcPr>
            <w:tcW w:w="605" w:type="pct"/>
            <w:noWrap w:val="0"/>
            <w:vAlign w:val="top"/>
          </w:tcPr>
          <w:p>
            <w:pP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49" w:type="pct"/>
            <w:noWrap w:val="0"/>
            <w:vAlign w:val="center"/>
          </w:tcPr>
          <w:p>
            <w:pPr>
              <w:jc w:val="center"/>
              <w:rPr>
                <w:rFonts w:hint="eastAsia" w:ascii="仿宋" w:hAnsi="仿宋" w:eastAsia="仿宋" w:cs="仿宋"/>
                <w:color w:val="auto"/>
                <w:szCs w:val="21"/>
                <w:highlight w:val="none"/>
                <w:lang w:val="en-US" w:eastAsia="zh-CN"/>
              </w:rPr>
            </w:pPr>
          </w:p>
        </w:tc>
        <w:tc>
          <w:tcPr>
            <w:tcW w:w="631" w:type="pct"/>
            <w:noWrap w:val="0"/>
            <w:vAlign w:val="center"/>
          </w:tcPr>
          <w:p>
            <w:pPr>
              <w:jc w:val="center"/>
              <w:rPr>
                <w:rFonts w:hint="eastAsia" w:ascii="仿宋" w:hAnsi="仿宋" w:eastAsia="仿宋" w:cs="仿宋"/>
                <w:b/>
                <w:bCs/>
                <w:i w:val="0"/>
                <w:color w:val="auto"/>
                <w:kern w:val="0"/>
                <w:sz w:val="22"/>
                <w:szCs w:val="22"/>
                <w:highlight w:val="none"/>
                <w:u w:val="none"/>
                <w:lang w:val="en-US" w:eastAsia="zh-CN" w:bidi="ar"/>
              </w:rPr>
            </w:pPr>
          </w:p>
        </w:tc>
        <w:tc>
          <w:tcPr>
            <w:tcW w:w="2142" w:type="pct"/>
            <w:noWrap w:val="0"/>
            <w:vAlign w:val="top"/>
          </w:tcPr>
          <w:p>
            <w:pPr>
              <w:jc w:val="center"/>
              <w:rPr>
                <w:rFonts w:hint="eastAsia" w:ascii="仿宋" w:hAnsi="仿宋" w:eastAsia="仿宋" w:cs="仿宋"/>
                <w:b/>
                <w:bCs/>
                <w:i w:val="0"/>
                <w:color w:val="auto"/>
                <w:kern w:val="0"/>
                <w:sz w:val="22"/>
                <w:szCs w:val="22"/>
                <w:highlight w:val="none"/>
                <w:u w:val="none"/>
                <w:lang w:val="en-US" w:eastAsia="zh-CN" w:bidi="ar"/>
              </w:rPr>
            </w:pPr>
          </w:p>
        </w:tc>
        <w:tc>
          <w:tcPr>
            <w:tcW w:w="431" w:type="pct"/>
            <w:noWrap w:val="0"/>
            <w:vAlign w:val="top"/>
          </w:tcPr>
          <w:p>
            <w:pPr>
              <w:rPr>
                <w:rFonts w:hint="eastAsia" w:ascii="仿宋" w:hAnsi="仿宋" w:eastAsia="仿宋" w:cs="仿宋"/>
                <w:color w:val="auto"/>
                <w:szCs w:val="21"/>
                <w:highlight w:val="none"/>
              </w:rPr>
            </w:pPr>
          </w:p>
        </w:tc>
        <w:tc>
          <w:tcPr>
            <w:tcW w:w="839" w:type="pct"/>
            <w:noWrap w:val="0"/>
            <w:vAlign w:val="top"/>
          </w:tcPr>
          <w:p>
            <w:pPr>
              <w:rPr>
                <w:rFonts w:hint="eastAsia" w:ascii="仿宋" w:hAnsi="仿宋" w:eastAsia="仿宋" w:cs="仿宋"/>
                <w:color w:val="auto"/>
                <w:szCs w:val="21"/>
                <w:highlight w:val="none"/>
              </w:rPr>
            </w:pPr>
          </w:p>
        </w:tc>
        <w:tc>
          <w:tcPr>
            <w:tcW w:w="605" w:type="pct"/>
            <w:noWrap w:val="0"/>
            <w:vAlign w:val="top"/>
          </w:tcPr>
          <w:p>
            <w:pPr>
              <w:rPr>
                <w:rFonts w:hint="eastAsia" w:ascii="仿宋" w:hAnsi="仿宋" w:eastAsia="仿宋" w:cs="仿宋"/>
                <w:color w:val="auto"/>
                <w:szCs w:val="21"/>
                <w:highlight w:val="none"/>
              </w:rPr>
            </w:pPr>
          </w:p>
        </w:tc>
      </w:tr>
    </w:tbl>
    <w:p>
      <w:pPr>
        <w:rPr>
          <w:rFonts w:hint="eastAsia" w:ascii="仿宋" w:hAnsi="仿宋" w:eastAsia="仿宋" w:cs="仿宋"/>
          <w:color w:val="auto"/>
          <w:sz w:val="24"/>
          <w:szCs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w:t>
      </w:r>
      <w:r>
        <w:rPr>
          <w:rFonts w:hint="eastAsia" w:ascii="仿宋" w:hAnsi="仿宋" w:eastAsia="仿宋" w:cs="仿宋"/>
          <w:color w:val="auto"/>
          <w:sz w:val="24"/>
          <w:highlight w:val="none"/>
          <w:lang w:val="en-GB"/>
        </w:rPr>
        <w:t>响应供应商</w:t>
      </w:r>
      <w:r>
        <w:rPr>
          <w:rFonts w:hint="eastAsia" w:ascii="仿宋" w:hAnsi="仿宋" w:eastAsia="仿宋" w:cs="仿宋"/>
          <w:color w:val="auto"/>
          <w:sz w:val="24"/>
          <w:highlight w:val="none"/>
        </w:rPr>
        <w:t>响应供应商必须对上述一般上述实质性商务条款逐条响应，</w:t>
      </w:r>
      <w:r>
        <w:rPr>
          <w:rFonts w:hint="eastAsia" w:ascii="仿宋" w:hAnsi="仿宋" w:eastAsia="仿宋" w:cs="仿宋"/>
          <w:b/>
          <w:bCs/>
          <w:color w:val="auto"/>
          <w:sz w:val="24"/>
          <w:highlight w:val="none"/>
        </w:rPr>
        <w:t>如有缺漏，缺漏项视同不符合比选要求。</w:t>
      </w:r>
      <w:r>
        <w:rPr>
          <w:rFonts w:hint="eastAsia" w:ascii="仿宋" w:hAnsi="仿宋" w:eastAsia="仿宋" w:cs="仿宋"/>
          <w:color w:val="auto"/>
          <w:sz w:val="24"/>
          <w:highlight w:val="none"/>
        </w:rPr>
        <w:t>标“</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”项为不可负偏离（劣于），任何一项负偏离该响应无效。</w:t>
      </w:r>
      <w:r>
        <w:rPr>
          <w:rFonts w:hint="eastAsia" w:ascii="仿宋" w:hAnsi="仿宋" w:eastAsia="仿宋" w:cs="仿宋"/>
          <w:color w:val="auto"/>
          <w:sz w:val="24"/>
          <w:highlight w:val="none"/>
          <w:lang w:val="en-GB"/>
        </w:rPr>
        <w:t>响应供应商请在“是否响应”栏内填“是”或“否”（不得空白，空白视为“否”），并对照偏离情况请在“偏离说明”栏内扼要说明偏离情况，不响应视为负偏离。</w:t>
      </w:r>
    </w:p>
    <w:p>
      <w:pPr>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GB"/>
        </w:rPr>
        <w:t>2.本表内容不得擅自修改。</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3"/>
        <w:spacing w:before="0" w:after="0"/>
        <w:jc w:val="left"/>
        <w:rPr>
          <w:rFonts w:hint="eastAsia" w:ascii="仿宋" w:hAnsi="仿宋" w:eastAsia="仿宋" w:cs="仿宋"/>
          <w:color w:val="auto"/>
          <w:highlight w:val="none"/>
        </w:rPr>
      </w:pPr>
      <w:r>
        <w:rPr>
          <w:rFonts w:hint="eastAsia" w:ascii="仿宋" w:hAnsi="仿宋" w:eastAsia="仿宋" w:cs="仿宋"/>
          <w:color w:val="auto"/>
          <w:sz w:val="24"/>
          <w:szCs w:val="24"/>
          <w:lang w:val="en-US" w:eastAsia="zh-CN"/>
        </w:rPr>
        <w:t>4.2.2</w:t>
      </w:r>
      <w:r>
        <w:rPr>
          <w:rFonts w:hint="eastAsia" w:ascii="仿宋" w:hAnsi="仿宋" w:eastAsia="仿宋" w:cs="仿宋"/>
          <w:color w:val="auto"/>
          <w:sz w:val="24"/>
          <w:szCs w:val="24"/>
          <w:highlight w:val="none"/>
        </w:rPr>
        <w:t>一般</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DOCVARIABLE  商务条款响应表开始  \* MERGEFORMAT </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DOCVARIABLE  商务条款响应表开始  \* MERGEFORMAT </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商务条款响应表</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3930"/>
        <w:gridCol w:w="1374"/>
        <w:gridCol w:w="1318"/>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301" w:type="pct"/>
            <w:shd w:val="clear" w:color="auto" w:fill="F3F3F3"/>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306" w:type="pct"/>
            <w:shd w:val="clear" w:color="auto" w:fill="F3F3F3"/>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一般商务条款要求</w:t>
            </w:r>
          </w:p>
        </w:tc>
        <w:tc>
          <w:tcPr>
            <w:tcW w:w="806" w:type="pct"/>
            <w:shd w:val="clear" w:color="auto" w:fill="F3F3F3"/>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772" w:type="pct"/>
            <w:shd w:val="clear" w:color="auto" w:fill="F3F3F3"/>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偏离情况（正/负/无）</w:t>
            </w:r>
          </w:p>
        </w:tc>
        <w:tc>
          <w:tcPr>
            <w:tcW w:w="812" w:type="pct"/>
            <w:shd w:val="clear" w:color="auto" w:fill="F3F3F3"/>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01" w:type="pct"/>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306" w:type="pct"/>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完全理解并接受合同条款要求</w:t>
            </w:r>
          </w:p>
        </w:tc>
        <w:tc>
          <w:tcPr>
            <w:tcW w:w="806" w:type="pct"/>
            <w:noWrap w:val="0"/>
            <w:vAlign w:val="center"/>
          </w:tcPr>
          <w:p>
            <w:pPr>
              <w:pStyle w:val="20"/>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c>
          <w:tcPr>
            <w:tcW w:w="772" w:type="pct"/>
            <w:noWrap w:val="0"/>
            <w:vAlign w:val="center"/>
          </w:tcPr>
          <w:p>
            <w:pPr>
              <w:jc w:val="center"/>
              <w:rPr>
                <w:rFonts w:hint="eastAsia" w:ascii="仿宋" w:hAnsi="仿宋" w:eastAsia="仿宋" w:cs="仿宋"/>
                <w:color w:val="auto"/>
                <w:szCs w:val="21"/>
                <w:highlight w:val="none"/>
              </w:rPr>
            </w:pPr>
          </w:p>
        </w:tc>
        <w:tc>
          <w:tcPr>
            <w:tcW w:w="812" w:type="pct"/>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301" w:type="pct"/>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2306" w:type="pct"/>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完全理解并接受对合格响应供应商、合格的货物、工程和服务要求</w:t>
            </w:r>
          </w:p>
        </w:tc>
        <w:tc>
          <w:tcPr>
            <w:tcW w:w="806" w:type="pct"/>
            <w:noWrap w:val="0"/>
            <w:vAlign w:val="center"/>
          </w:tcPr>
          <w:p>
            <w:pPr>
              <w:pStyle w:val="20"/>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c>
          <w:tcPr>
            <w:tcW w:w="772" w:type="pct"/>
            <w:noWrap w:val="0"/>
            <w:vAlign w:val="center"/>
          </w:tcPr>
          <w:p>
            <w:pPr>
              <w:jc w:val="center"/>
              <w:rPr>
                <w:rFonts w:hint="eastAsia" w:ascii="仿宋" w:hAnsi="仿宋" w:eastAsia="仿宋" w:cs="仿宋"/>
                <w:color w:val="auto"/>
                <w:szCs w:val="21"/>
                <w:highlight w:val="none"/>
              </w:rPr>
            </w:pPr>
          </w:p>
        </w:tc>
        <w:tc>
          <w:tcPr>
            <w:tcW w:w="812" w:type="pct"/>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301" w:type="pct"/>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2306" w:type="pct"/>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完全理解并接受对响应供应商的各项须知、规约要求和责任义务</w:t>
            </w:r>
          </w:p>
        </w:tc>
        <w:tc>
          <w:tcPr>
            <w:tcW w:w="806" w:type="pct"/>
            <w:noWrap w:val="0"/>
            <w:vAlign w:val="center"/>
          </w:tcPr>
          <w:p>
            <w:pPr>
              <w:jc w:val="center"/>
              <w:rPr>
                <w:rFonts w:hint="eastAsia" w:ascii="仿宋" w:hAnsi="仿宋" w:eastAsia="仿宋" w:cs="仿宋"/>
                <w:color w:val="auto"/>
                <w:szCs w:val="21"/>
                <w:highlight w:val="none"/>
              </w:rPr>
            </w:pPr>
          </w:p>
        </w:tc>
        <w:tc>
          <w:tcPr>
            <w:tcW w:w="772" w:type="pct"/>
            <w:noWrap w:val="0"/>
            <w:vAlign w:val="center"/>
          </w:tcPr>
          <w:p>
            <w:pPr>
              <w:ind w:right="-35"/>
              <w:jc w:val="center"/>
              <w:rPr>
                <w:rFonts w:hint="eastAsia" w:ascii="仿宋" w:hAnsi="仿宋" w:eastAsia="仿宋" w:cs="仿宋"/>
                <w:color w:val="auto"/>
                <w:szCs w:val="21"/>
                <w:highlight w:val="none"/>
              </w:rPr>
            </w:pPr>
          </w:p>
        </w:tc>
        <w:tc>
          <w:tcPr>
            <w:tcW w:w="812" w:type="pct"/>
            <w:noWrap w:val="0"/>
            <w:vAlign w:val="center"/>
          </w:tcPr>
          <w:p>
            <w:pPr>
              <w:ind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301" w:type="pct"/>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4</w:t>
            </w:r>
          </w:p>
        </w:tc>
        <w:tc>
          <w:tcPr>
            <w:tcW w:w="2306" w:type="pct"/>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响应有效期：响应有效期为自递交响应文件起至确定正式成交人止不少于</w:t>
            </w:r>
            <w:r>
              <w:rPr>
                <w:rFonts w:hint="eastAsia" w:ascii="仿宋" w:hAnsi="仿宋" w:eastAsia="仿宋" w:cs="仿宋"/>
                <w:color w:val="auto"/>
                <w:szCs w:val="21"/>
                <w:highlight w:val="none"/>
                <w:u w:val="single"/>
              </w:rPr>
              <w:t xml:space="preserve">90 </w:t>
            </w:r>
            <w:r>
              <w:rPr>
                <w:rFonts w:hint="eastAsia" w:ascii="仿宋" w:hAnsi="仿宋" w:eastAsia="仿宋" w:cs="仿宋"/>
                <w:color w:val="auto"/>
                <w:szCs w:val="21"/>
                <w:highlight w:val="none"/>
              </w:rPr>
              <w:t>天，成交单位有效期至项目验收之日</w:t>
            </w:r>
          </w:p>
        </w:tc>
        <w:tc>
          <w:tcPr>
            <w:tcW w:w="806" w:type="pct"/>
            <w:noWrap w:val="0"/>
            <w:vAlign w:val="center"/>
          </w:tcPr>
          <w:p>
            <w:pPr>
              <w:jc w:val="center"/>
              <w:rPr>
                <w:rFonts w:hint="eastAsia" w:ascii="仿宋" w:hAnsi="仿宋" w:eastAsia="仿宋" w:cs="仿宋"/>
                <w:color w:val="auto"/>
                <w:szCs w:val="21"/>
                <w:highlight w:val="none"/>
              </w:rPr>
            </w:pPr>
          </w:p>
        </w:tc>
        <w:tc>
          <w:tcPr>
            <w:tcW w:w="772" w:type="pct"/>
            <w:noWrap w:val="0"/>
            <w:vAlign w:val="center"/>
          </w:tcPr>
          <w:p>
            <w:pPr>
              <w:ind w:right="-35"/>
              <w:jc w:val="center"/>
              <w:rPr>
                <w:rFonts w:hint="eastAsia" w:ascii="仿宋" w:hAnsi="仿宋" w:eastAsia="仿宋" w:cs="仿宋"/>
                <w:color w:val="auto"/>
                <w:szCs w:val="21"/>
                <w:highlight w:val="none"/>
              </w:rPr>
            </w:pPr>
          </w:p>
        </w:tc>
        <w:tc>
          <w:tcPr>
            <w:tcW w:w="812" w:type="pct"/>
            <w:noWrap w:val="0"/>
            <w:vAlign w:val="center"/>
          </w:tcPr>
          <w:p>
            <w:pPr>
              <w:ind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01" w:type="pct"/>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2306" w:type="pct"/>
            <w:noWrap w:val="0"/>
            <w:vAlign w:val="center"/>
          </w:tcPr>
          <w:p>
            <w:pP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报价内容均涵盖报价要求之一切费用和伴随服务</w:t>
            </w:r>
          </w:p>
        </w:tc>
        <w:tc>
          <w:tcPr>
            <w:tcW w:w="806" w:type="pct"/>
            <w:noWrap w:val="0"/>
            <w:vAlign w:val="center"/>
          </w:tcPr>
          <w:p>
            <w:pPr>
              <w:jc w:val="center"/>
              <w:rPr>
                <w:rFonts w:hint="eastAsia" w:ascii="仿宋" w:hAnsi="仿宋" w:eastAsia="仿宋" w:cs="仿宋"/>
                <w:color w:val="auto"/>
                <w:szCs w:val="21"/>
                <w:highlight w:val="none"/>
              </w:rPr>
            </w:pPr>
          </w:p>
        </w:tc>
        <w:tc>
          <w:tcPr>
            <w:tcW w:w="772" w:type="pct"/>
            <w:noWrap w:val="0"/>
            <w:vAlign w:val="center"/>
          </w:tcPr>
          <w:p>
            <w:pPr>
              <w:ind w:right="-35"/>
              <w:jc w:val="center"/>
              <w:rPr>
                <w:rFonts w:hint="eastAsia" w:ascii="仿宋" w:hAnsi="仿宋" w:eastAsia="仿宋" w:cs="仿宋"/>
                <w:color w:val="auto"/>
                <w:szCs w:val="21"/>
                <w:highlight w:val="none"/>
              </w:rPr>
            </w:pPr>
          </w:p>
        </w:tc>
        <w:tc>
          <w:tcPr>
            <w:tcW w:w="812" w:type="pct"/>
            <w:noWrap w:val="0"/>
            <w:vAlign w:val="center"/>
          </w:tcPr>
          <w:p>
            <w:pPr>
              <w:ind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301" w:type="pct"/>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p>
        </w:tc>
        <w:tc>
          <w:tcPr>
            <w:tcW w:w="2306" w:type="pct"/>
            <w:noWrap w:val="0"/>
            <w:vAlign w:val="center"/>
          </w:tcPr>
          <w:p>
            <w:pPr>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lang w:val="en-GB"/>
              </w:rPr>
              <w:t>同意接受合同范本所列述的各项条款</w:t>
            </w:r>
          </w:p>
        </w:tc>
        <w:tc>
          <w:tcPr>
            <w:tcW w:w="806" w:type="pct"/>
            <w:noWrap w:val="0"/>
            <w:vAlign w:val="center"/>
          </w:tcPr>
          <w:p>
            <w:pPr>
              <w:jc w:val="center"/>
              <w:rPr>
                <w:rFonts w:hint="eastAsia" w:ascii="仿宋" w:hAnsi="仿宋" w:eastAsia="仿宋" w:cs="仿宋"/>
                <w:color w:val="auto"/>
                <w:szCs w:val="21"/>
                <w:highlight w:val="none"/>
              </w:rPr>
            </w:pPr>
          </w:p>
        </w:tc>
        <w:tc>
          <w:tcPr>
            <w:tcW w:w="772" w:type="pct"/>
            <w:noWrap w:val="0"/>
            <w:vAlign w:val="center"/>
          </w:tcPr>
          <w:p>
            <w:pPr>
              <w:ind w:right="-35"/>
              <w:jc w:val="center"/>
              <w:rPr>
                <w:rFonts w:hint="eastAsia" w:ascii="仿宋" w:hAnsi="仿宋" w:eastAsia="仿宋" w:cs="仿宋"/>
                <w:color w:val="auto"/>
                <w:szCs w:val="21"/>
                <w:highlight w:val="none"/>
              </w:rPr>
            </w:pPr>
          </w:p>
        </w:tc>
        <w:tc>
          <w:tcPr>
            <w:tcW w:w="812" w:type="pct"/>
            <w:noWrap w:val="0"/>
            <w:vAlign w:val="center"/>
          </w:tcPr>
          <w:p>
            <w:pPr>
              <w:ind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01" w:type="pct"/>
            <w:noWrap w:val="0"/>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p>
        </w:tc>
        <w:tc>
          <w:tcPr>
            <w:tcW w:w="2306" w:type="pct"/>
            <w:noWrap w:val="0"/>
            <w:vAlign w:val="center"/>
          </w:tcPr>
          <w:p>
            <w:pP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同意按本项目要求缴付相关款项</w:t>
            </w:r>
          </w:p>
        </w:tc>
        <w:tc>
          <w:tcPr>
            <w:tcW w:w="806" w:type="pct"/>
            <w:noWrap w:val="0"/>
            <w:vAlign w:val="center"/>
          </w:tcPr>
          <w:p>
            <w:pPr>
              <w:jc w:val="center"/>
              <w:rPr>
                <w:rFonts w:hint="eastAsia" w:ascii="仿宋" w:hAnsi="仿宋" w:eastAsia="仿宋" w:cs="仿宋"/>
                <w:color w:val="auto"/>
                <w:szCs w:val="21"/>
                <w:highlight w:val="none"/>
              </w:rPr>
            </w:pPr>
          </w:p>
        </w:tc>
        <w:tc>
          <w:tcPr>
            <w:tcW w:w="772" w:type="pct"/>
            <w:noWrap w:val="0"/>
            <w:vAlign w:val="center"/>
          </w:tcPr>
          <w:p>
            <w:pPr>
              <w:pStyle w:val="20"/>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c>
          <w:tcPr>
            <w:tcW w:w="812" w:type="pct"/>
            <w:noWrap w:val="0"/>
            <w:vAlign w:val="center"/>
          </w:tcPr>
          <w:p>
            <w:pPr>
              <w:pStyle w:val="20"/>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301" w:type="pct"/>
            <w:noWrap w:val="0"/>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2306" w:type="pct"/>
            <w:noWrap w:val="0"/>
            <w:vAlign w:val="center"/>
          </w:tcPr>
          <w:p>
            <w:pPr>
              <w:rPr>
                <w:rFonts w:hint="eastAsia" w:ascii="仿宋" w:hAnsi="仿宋" w:eastAsia="仿宋" w:cs="仿宋"/>
                <w:color w:val="auto"/>
                <w:kern w:val="2"/>
                <w:sz w:val="21"/>
                <w:szCs w:val="21"/>
                <w:highlight w:val="none"/>
                <w:lang w:val="en-GB" w:eastAsia="zh-CN" w:bidi="ar-SA"/>
              </w:rPr>
            </w:pPr>
            <w:r>
              <w:rPr>
                <w:rFonts w:hint="eastAsia" w:ascii="仿宋" w:hAnsi="仿宋" w:eastAsia="仿宋" w:cs="仿宋"/>
                <w:color w:val="auto"/>
                <w:szCs w:val="21"/>
                <w:highlight w:val="none"/>
                <w:lang w:val="en-GB"/>
              </w:rPr>
              <w:t>同意</w:t>
            </w:r>
            <w:r>
              <w:rPr>
                <w:rFonts w:hint="eastAsia" w:ascii="仿宋" w:hAnsi="仿宋" w:eastAsia="仿宋" w:cs="仿宋"/>
                <w:color w:val="auto"/>
                <w:szCs w:val="21"/>
                <w:highlight w:val="none"/>
                <w:lang w:val="en-GB" w:eastAsia="zh-CN"/>
              </w:rPr>
              <w:t>采购人</w:t>
            </w:r>
            <w:r>
              <w:rPr>
                <w:rFonts w:hint="eastAsia" w:ascii="仿宋" w:hAnsi="仿宋" w:eastAsia="仿宋" w:cs="仿宋"/>
                <w:color w:val="auto"/>
                <w:szCs w:val="21"/>
                <w:highlight w:val="none"/>
                <w:lang w:val="en-GB"/>
              </w:rPr>
              <w:t>以任何形式对我方响应文件内容的真实性和有效性进行审查、验证</w:t>
            </w:r>
          </w:p>
        </w:tc>
        <w:tc>
          <w:tcPr>
            <w:tcW w:w="806" w:type="pct"/>
            <w:noWrap w:val="0"/>
            <w:vAlign w:val="center"/>
          </w:tcPr>
          <w:p>
            <w:pPr>
              <w:jc w:val="center"/>
              <w:rPr>
                <w:rFonts w:hint="eastAsia" w:ascii="仿宋" w:hAnsi="仿宋" w:eastAsia="仿宋" w:cs="仿宋"/>
                <w:color w:val="auto"/>
                <w:szCs w:val="21"/>
                <w:highlight w:val="none"/>
              </w:rPr>
            </w:pPr>
          </w:p>
        </w:tc>
        <w:tc>
          <w:tcPr>
            <w:tcW w:w="772" w:type="pct"/>
            <w:noWrap w:val="0"/>
            <w:vAlign w:val="center"/>
          </w:tcPr>
          <w:p>
            <w:pPr>
              <w:pStyle w:val="20"/>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c>
          <w:tcPr>
            <w:tcW w:w="812" w:type="pct"/>
            <w:noWrap w:val="0"/>
            <w:vAlign w:val="center"/>
          </w:tcPr>
          <w:p>
            <w:pPr>
              <w:pStyle w:val="20"/>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301" w:type="pct"/>
            <w:noWrap w:val="0"/>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w:t>
            </w:r>
          </w:p>
        </w:tc>
        <w:tc>
          <w:tcPr>
            <w:tcW w:w="2306" w:type="pct"/>
            <w:noWrap w:val="0"/>
            <w:vAlign w:val="center"/>
          </w:tcPr>
          <w:p>
            <w:pPr>
              <w:rPr>
                <w:rFonts w:hint="eastAsia" w:ascii="仿宋" w:hAnsi="仿宋" w:eastAsia="仿宋" w:cs="仿宋"/>
                <w:color w:val="auto"/>
                <w:kern w:val="2"/>
                <w:sz w:val="21"/>
                <w:szCs w:val="21"/>
                <w:highlight w:val="none"/>
                <w:lang w:val="en-GB" w:eastAsia="zh-CN" w:bidi="ar-SA"/>
              </w:rPr>
            </w:pPr>
            <w:r>
              <w:rPr>
                <w:rFonts w:hint="eastAsia" w:ascii="仿宋" w:hAnsi="仿宋" w:eastAsia="仿宋" w:cs="仿宋"/>
                <w:color w:val="auto"/>
                <w:szCs w:val="21"/>
                <w:highlight w:val="none"/>
                <w:lang w:val="en-US" w:eastAsia="zh-CN"/>
              </w:rPr>
              <w:t>满足对服务的各项要求</w:t>
            </w:r>
          </w:p>
        </w:tc>
        <w:tc>
          <w:tcPr>
            <w:tcW w:w="806" w:type="pct"/>
            <w:noWrap w:val="0"/>
            <w:vAlign w:val="center"/>
          </w:tcPr>
          <w:p>
            <w:pPr>
              <w:jc w:val="center"/>
              <w:rPr>
                <w:rFonts w:hint="eastAsia" w:ascii="仿宋" w:hAnsi="仿宋" w:eastAsia="仿宋" w:cs="仿宋"/>
                <w:color w:val="auto"/>
                <w:szCs w:val="21"/>
                <w:highlight w:val="none"/>
              </w:rPr>
            </w:pPr>
          </w:p>
        </w:tc>
        <w:tc>
          <w:tcPr>
            <w:tcW w:w="772" w:type="pct"/>
            <w:noWrap w:val="0"/>
            <w:vAlign w:val="center"/>
          </w:tcPr>
          <w:p>
            <w:pPr>
              <w:pStyle w:val="20"/>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c>
          <w:tcPr>
            <w:tcW w:w="812" w:type="pct"/>
            <w:noWrap w:val="0"/>
            <w:vAlign w:val="center"/>
          </w:tcPr>
          <w:p>
            <w:pPr>
              <w:pStyle w:val="20"/>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01" w:type="pct"/>
            <w:noWrap w:val="0"/>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c>
          <w:tcPr>
            <w:tcW w:w="3885" w:type="pct"/>
            <w:gridSpan w:val="3"/>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其它商务条款偏离说明：</w:t>
            </w:r>
          </w:p>
        </w:tc>
        <w:tc>
          <w:tcPr>
            <w:tcW w:w="812" w:type="pct"/>
            <w:noWrap w:val="0"/>
            <w:vAlign w:val="center"/>
          </w:tcPr>
          <w:p>
            <w:pPr>
              <w:rPr>
                <w:rFonts w:hint="eastAsia" w:ascii="仿宋" w:hAnsi="仿宋" w:eastAsia="仿宋" w:cs="仿宋"/>
                <w:color w:val="auto"/>
                <w:szCs w:val="21"/>
                <w:highlight w:val="none"/>
              </w:rPr>
            </w:pPr>
          </w:p>
        </w:tc>
      </w:tr>
    </w:tbl>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注： 1.响应供应商</w:t>
      </w:r>
      <w:r>
        <w:rPr>
          <w:rFonts w:hint="eastAsia" w:ascii="仿宋" w:hAnsi="仿宋" w:eastAsia="仿宋" w:cs="仿宋"/>
          <w:color w:val="auto"/>
          <w:sz w:val="24"/>
          <w:highlight w:val="none"/>
        </w:rPr>
        <w:t>必须对上述一般商务条款逐条响应。</w:t>
      </w:r>
      <w:r>
        <w:rPr>
          <w:rFonts w:hint="eastAsia" w:ascii="仿宋" w:hAnsi="仿宋" w:eastAsia="仿宋" w:cs="仿宋"/>
          <w:b/>
          <w:bCs/>
          <w:color w:val="auto"/>
          <w:sz w:val="24"/>
          <w:highlight w:val="none"/>
        </w:rPr>
        <w:t>如有缺漏项视同不符合对应条款之要求。</w:t>
      </w:r>
      <w:r>
        <w:rPr>
          <w:rFonts w:hint="eastAsia" w:ascii="仿宋" w:hAnsi="仿宋" w:eastAsia="仿宋" w:cs="仿宋"/>
          <w:color w:val="auto"/>
          <w:sz w:val="24"/>
          <w:highlight w:val="none"/>
          <w:lang w:val="en-GB"/>
        </w:rPr>
        <w:t>请在“是否响应”填“是”或“否”（不得空白，空白视为“否”），并对照偏离情况请在“偏离说明”栏内扼要说明偏离情况，不响应视为负偏离。</w:t>
      </w:r>
    </w:p>
    <w:p>
      <w:pPr>
        <w:ind w:firstLine="420"/>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 xml:space="preserve"> 2.本表内容不得擅自修改。</w:t>
      </w:r>
    </w:p>
    <w:p>
      <w:pPr>
        <w:rPr>
          <w:rFonts w:hint="eastAsia" w:ascii="仿宋" w:hAnsi="仿宋" w:eastAsia="仿宋" w:cs="仿宋"/>
          <w:color w:val="auto"/>
          <w:szCs w:val="21"/>
          <w:highlight w:val="none"/>
          <w:lang w:val="en-GB"/>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color w:val="auto"/>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r>
        <w:rPr>
          <w:rFonts w:hint="eastAsia"/>
          <w:color w:val="auto"/>
          <w:highlight w:val="none"/>
        </w:rPr>
        <w:br w:type="page"/>
      </w:r>
    </w:p>
    <w:p>
      <w:pPr>
        <w:tabs>
          <w:tab w:val="left" w:pos="540"/>
        </w:tabs>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所投项目业绩介绍（单页）</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1848"/>
        <w:gridCol w:w="2749"/>
        <w:gridCol w:w="1512"/>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36" w:type="pct"/>
            <w:shd w:val="clear" w:color="auto" w:fill="F3F3F3"/>
            <w:noWrap w:val="0"/>
            <w:vAlign w:val="center"/>
          </w:tcPr>
          <w:p>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序号</w:t>
            </w:r>
          </w:p>
        </w:tc>
        <w:tc>
          <w:tcPr>
            <w:tcW w:w="1084" w:type="pct"/>
            <w:shd w:val="clear" w:color="auto" w:fill="F3F3F3"/>
            <w:noWrap w:val="0"/>
            <w:vAlign w:val="center"/>
          </w:tcPr>
          <w:p>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lang w:eastAsia="zh-CN"/>
              </w:rPr>
              <w:t>采购人</w:t>
            </w:r>
            <w:r>
              <w:rPr>
                <w:rFonts w:hint="eastAsia" w:ascii="仿宋" w:hAnsi="仿宋" w:eastAsia="仿宋" w:cs="仿宋"/>
                <w:b/>
                <w:bCs/>
                <w:color w:val="auto"/>
                <w:szCs w:val="21"/>
                <w:highlight w:val="none"/>
              </w:rPr>
              <w:t>名称</w:t>
            </w:r>
          </w:p>
        </w:tc>
        <w:tc>
          <w:tcPr>
            <w:tcW w:w="1613" w:type="pct"/>
            <w:shd w:val="clear" w:color="auto" w:fill="F3F3F3"/>
            <w:noWrap w:val="0"/>
            <w:vAlign w:val="center"/>
          </w:tcPr>
          <w:p>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项目名称及合同金额（万元）</w:t>
            </w:r>
          </w:p>
        </w:tc>
        <w:tc>
          <w:tcPr>
            <w:tcW w:w="887" w:type="pct"/>
            <w:shd w:val="clear" w:color="auto" w:fill="F3F3F3"/>
            <w:noWrap w:val="0"/>
            <w:vAlign w:val="center"/>
          </w:tcPr>
          <w:p>
            <w:pPr>
              <w:jc w:val="center"/>
              <w:rPr>
                <w:rFonts w:hint="eastAsia"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签订合同时间</w:t>
            </w:r>
          </w:p>
        </w:tc>
        <w:tc>
          <w:tcPr>
            <w:tcW w:w="878" w:type="pct"/>
            <w:shd w:val="clear" w:color="auto" w:fill="F3F3F3"/>
            <w:noWrap w:val="0"/>
            <w:vAlign w:val="center"/>
          </w:tcPr>
          <w:p>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36" w:type="pct"/>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084" w:type="pct"/>
            <w:noWrap w:val="0"/>
            <w:vAlign w:val="center"/>
          </w:tcPr>
          <w:p>
            <w:pPr>
              <w:jc w:val="center"/>
              <w:rPr>
                <w:rFonts w:hint="eastAsia" w:ascii="仿宋" w:hAnsi="仿宋" w:eastAsia="仿宋" w:cs="仿宋"/>
                <w:color w:val="auto"/>
                <w:szCs w:val="21"/>
                <w:highlight w:val="none"/>
              </w:rPr>
            </w:pPr>
          </w:p>
        </w:tc>
        <w:tc>
          <w:tcPr>
            <w:tcW w:w="1613" w:type="pct"/>
            <w:noWrap w:val="0"/>
            <w:vAlign w:val="center"/>
          </w:tcPr>
          <w:p>
            <w:pPr>
              <w:jc w:val="center"/>
              <w:rPr>
                <w:rFonts w:hint="eastAsia" w:ascii="仿宋" w:hAnsi="仿宋" w:eastAsia="仿宋" w:cs="仿宋"/>
                <w:color w:val="auto"/>
                <w:szCs w:val="21"/>
                <w:highlight w:val="none"/>
              </w:rPr>
            </w:pPr>
          </w:p>
        </w:tc>
        <w:tc>
          <w:tcPr>
            <w:tcW w:w="887" w:type="pct"/>
            <w:noWrap w:val="0"/>
            <w:vAlign w:val="center"/>
          </w:tcPr>
          <w:p>
            <w:pPr>
              <w:jc w:val="center"/>
              <w:rPr>
                <w:rFonts w:hint="eastAsia" w:ascii="仿宋" w:hAnsi="仿宋" w:eastAsia="仿宋" w:cs="仿宋"/>
                <w:color w:val="auto"/>
                <w:szCs w:val="21"/>
                <w:highlight w:val="none"/>
              </w:rPr>
            </w:pPr>
          </w:p>
        </w:tc>
        <w:tc>
          <w:tcPr>
            <w:tcW w:w="878" w:type="pct"/>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36" w:type="pct"/>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1084" w:type="pct"/>
            <w:noWrap w:val="0"/>
            <w:vAlign w:val="center"/>
          </w:tcPr>
          <w:p>
            <w:pPr>
              <w:jc w:val="center"/>
              <w:rPr>
                <w:rFonts w:hint="eastAsia" w:ascii="仿宋" w:hAnsi="仿宋" w:eastAsia="仿宋" w:cs="仿宋"/>
                <w:color w:val="auto"/>
                <w:szCs w:val="21"/>
                <w:highlight w:val="none"/>
              </w:rPr>
            </w:pPr>
          </w:p>
        </w:tc>
        <w:tc>
          <w:tcPr>
            <w:tcW w:w="1613" w:type="pct"/>
            <w:noWrap w:val="0"/>
            <w:vAlign w:val="center"/>
          </w:tcPr>
          <w:p>
            <w:pPr>
              <w:jc w:val="center"/>
              <w:rPr>
                <w:rFonts w:hint="eastAsia" w:ascii="仿宋" w:hAnsi="仿宋" w:eastAsia="仿宋" w:cs="仿宋"/>
                <w:color w:val="auto"/>
                <w:szCs w:val="21"/>
                <w:highlight w:val="none"/>
              </w:rPr>
            </w:pPr>
          </w:p>
        </w:tc>
        <w:tc>
          <w:tcPr>
            <w:tcW w:w="887" w:type="pct"/>
            <w:noWrap w:val="0"/>
            <w:vAlign w:val="center"/>
          </w:tcPr>
          <w:p>
            <w:pPr>
              <w:pStyle w:val="21"/>
              <w:rPr>
                <w:rFonts w:hint="eastAsia" w:ascii="仿宋" w:hAnsi="仿宋" w:eastAsia="仿宋" w:cs="仿宋"/>
                <w:color w:val="auto"/>
                <w:highlight w:val="none"/>
              </w:rPr>
            </w:pPr>
          </w:p>
        </w:tc>
        <w:tc>
          <w:tcPr>
            <w:tcW w:w="878" w:type="pct"/>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36" w:type="pct"/>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1084" w:type="pct"/>
            <w:noWrap w:val="0"/>
            <w:vAlign w:val="center"/>
          </w:tcPr>
          <w:p>
            <w:pPr>
              <w:jc w:val="center"/>
              <w:rPr>
                <w:rFonts w:hint="eastAsia" w:ascii="仿宋" w:hAnsi="仿宋" w:eastAsia="仿宋" w:cs="仿宋"/>
                <w:color w:val="auto"/>
                <w:szCs w:val="21"/>
                <w:highlight w:val="none"/>
              </w:rPr>
            </w:pPr>
          </w:p>
        </w:tc>
        <w:tc>
          <w:tcPr>
            <w:tcW w:w="1613" w:type="pct"/>
            <w:noWrap w:val="0"/>
            <w:vAlign w:val="center"/>
          </w:tcPr>
          <w:p>
            <w:pPr>
              <w:jc w:val="center"/>
              <w:rPr>
                <w:rFonts w:hint="eastAsia" w:ascii="仿宋" w:hAnsi="仿宋" w:eastAsia="仿宋" w:cs="仿宋"/>
                <w:color w:val="auto"/>
                <w:szCs w:val="21"/>
                <w:highlight w:val="none"/>
              </w:rPr>
            </w:pPr>
          </w:p>
        </w:tc>
        <w:tc>
          <w:tcPr>
            <w:tcW w:w="887" w:type="pct"/>
            <w:noWrap w:val="0"/>
            <w:vAlign w:val="center"/>
          </w:tcPr>
          <w:p>
            <w:pPr>
              <w:jc w:val="center"/>
              <w:rPr>
                <w:rFonts w:hint="eastAsia" w:ascii="仿宋" w:hAnsi="仿宋" w:eastAsia="仿宋" w:cs="仿宋"/>
                <w:color w:val="auto"/>
                <w:szCs w:val="21"/>
                <w:highlight w:val="none"/>
              </w:rPr>
            </w:pPr>
          </w:p>
        </w:tc>
        <w:tc>
          <w:tcPr>
            <w:tcW w:w="878" w:type="pct"/>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36" w:type="pct"/>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084" w:type="pct"/>
            <w:noWrap w:val="0"/>
            <w:vAlign w:val="center"/>
          </w:tcPr>
          <w:p>
            <w:pPr>
              <w:jc w:val="center"/>
              <w:rPr>
                <w:rFonts w:hint="eastAsia" w:ascii="仿宋" w:hAnsi="仿宋" w:eastAsia="仿宋" w:cs="仿宋"/>
                <w:color w:val="auto"/>
                <w:szCs w:val="21"/>
                <w:highlight w:val="none"/>
              </w:rPr>
            </w:pPr>
          </w:p>
        </w:tc>
        <w:tc>
          <w:tcPr>
            <w:tcW w:w="1613" w:type="pct"/>
            <w:noWrap w:val="0"/>
            <w:vAlign w:val="center"/>
          </w:tcPr>
          <w:p>
            <w:pPr>
              <w:jc w:val="center"/>
              <w:rPr>
                <w:rFonts w:hint="eastAsia" w:ascii="仿宋" w:hAnsi="仿宋" w:eastAsia="仿宋" w:cs="仿宋"/>
                <w:color w:val="auto"/>
                <w:szCs w:val="21"/>
                <w:highlight w:val="none"/>
              </w:rPr>
            </w:pPr>
          </w:p>
        </w:tc>
        <w:tc>
          <w:tcPr>
            <w:tcW w:w="887" w:type="pct"/>
            <w:noWrap w:val="0"/>
            <w:vAlign w:val="center"/>
          </w:tcPr>
          <w:p>
            <w:pPr>
              <w:jc w:val="center"/>
              <w:rPr>
                <w:rFonts w:hint="eastAsia" w:ascii="仿宋" w:hAnsi="仿宋" w:eastAsia="仿宋" w:cs="仿宋"/>
                <w:color w:val="auto"/>
                <w:szCs w:val="21"/>
                <w:highlight w:val="none"/>
              </w:rPr>
            </w:pPr>
          </w:p>
        </w:tc>
        <w:tc>
          <w:tcPr>
            <w:tcW w:w="878" w:type="pct"/>
            <w:noWrap w:val="0"/>
            <w:vAlign w:val="center"/>
          </w:tcPr>
          <w:p>
            <w:pPr>
              <w:jc w:val="center"/>
              <w:rPr>
                <w:rFonts w:hint="eastAsia" w:ascii="仿宋" w:hAnsi="仿宋" w:eastAsia="仿宋" w:cs="仿宋"/>
                <w:color w:val="auto"/>
                <w:szCs w:val="21"/>
                <w:highlight w:val="none"/>
              </w:rPr>
            </w:pPr>
          </w:p>
        </w:tc>
      </w:tr>
    </w:tbl>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注：业绩是必须以响应供应商名义完成并已验收的项目。响应供应商必须提供合同复印件或成交通知书（请留意评审细则是否要求提供验收报告）。</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adjustRightInd w:val="0"/>
        <w:snapToGrid w:val="0"/>
        <w:spacing w:line="300" w:lineRule="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 xml:space="preserve">5 </w:t>
      </w:r>
      <w:r>
        <w:rPr>
          <w:rFonts w:hint="eastAsia" w:ascii="仿宋" w:hAnsi="仿宋" w:eastAsia="仿宋" w:cs="仿宋"/>
          <w:b/>
          <w:bCs/>
          <w:color w:val="auto"/>
          <w:sz w:val="32"/>
          <w:szCs w:val="32"/>
          <w:highlight w:val="none"/>
          <w:lang w:eastAsia="zh-CN"/>
        </w:rPr>
        <w:t>技术</w:t>
      </w:r>
      <w:r>
        <w:rPr>
          <w:rFonts w:hint="eastAsia" w:ascii="仿宋" w:hAnsi="仿宋" w:eastAsia="仿宋" w:cs="仿宋"/>
          <w:b/>
          <w:bCs/>
          <w:color w:val="auto"/>
          <w:sz w:val="32"/>
          <w:szCs w:val="32"/>
          <w:highlight w:val="none"/>
        </w:rPr>
        <w:t>部分</w:t>
      </w:r>
    </w:p>
    <w:p>
      <w:pPr>
        <w:pStyle w:val="9"/>
        <w:adjustRightInd w:val="0"/>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 xml:space="preserve"> </w:t>
      </w:r>
      <w:r>
        <w:rPr>
          <w:rFonts w:hint="eastAsia" w:ascii="仿宋" w:hAnsi="仿宋" w:eastAsia="仿宋" w:cs="仿宋"/>
          <w:b/>
          <w:color w:val="auto"/>
          <w:sz w:val="24"/>
          <w:highlight w:val="none"/>
          <w:lang w:eastAsia="zh-CN"/>
        </w:rPr>
        <w:t>技术</w:t>
      </w:r>
      <w:r>
        <w:rPr>
          <w:rFonts w:hint="eastAsia" w:ascii="仿宋" w:hAnsi="仿宋" w:eastAsia="仿宋" w:cs="仿宋"/>
          <w:b/>
          <w:color w:val="auto"/>
          <w:sz w:val="24"/>
          <w:highlight w:val="none"/>
          <w:lang w:val="en-US" w:eastAsia="zh-CN"/>
        </w:rPr>
        <w:t>/服务</w:t>
      </w:r>
      <w:r>
        <w:rPr>
          <w:rFonts w:hint="eastAsia" w:ascii="仿宋" w:hAnsi="仿宋" w:eastAsia="仿宋" w:cs="仿宋"/>
          <w:b/>
          <w:color w:val="auto"/>
          <w:sz w:val="24"/>
          <w:highlight w:val="none"/>
        </w:rPr>
        <w:t>要求响应表（单页填写）</w:t>
      </w:r>
    </w:p>
    <w:p>
      <w:pPr>
        <w:pStyle w:val="9"/>
        <w:adjustRightInd w:val="0"/>
        <w:snapToGrid w:val="0"/>
        <w:spacing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.1 实质性服务要求（“★”项）条款响应表</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670"/>
        <w:gridCol w:w="2241"/>
        <w:gridCol w:w="1578"/>
        <w:gridCol w:w="808"/>
        <w:gridCol w:w="845"/>
        <w:gridCol w:w="718"/>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000" w:type="pct"/>
            <w:gridSpan w:val="8"/>
            <w:noWrap w:val="0"/>
            <w:vAlign w:val="top"/>
          </w:tcPr>
          <w:p>
            <w:pPr>
              <w:ind w:firstLine="3120" w:firstLineChars="1300"/>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实质性服务要求（“★”项）条款响应表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349" w:type="pct"/>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序号</w:t>
            </w:r>
          </w:p>
        </w:tc>
        <w:tc>
          <w:tcPr>
            <w:tcW w:w="393" w:type="pct"/>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名称</w:t>
            </w:r>
          </w:p>
        </w:tc>
        <w:tc>
          <w:tcPr>
            <w:tcW w:w="1315" w:type="pct"/>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技术</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val="zh-CN"/>
              </w:rPr>
              <w:t>服务参数要求</w:t>
            </w:r>
          </w:p>
        </w:tc>
        <w:tc>
          <w:tcPr>
            <w:tcW w:w="926" w:type="pct"/>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响应服务参数</w:t>
            </w:r>
          </w:p>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（填写响应的具体参数）</w:t>
            </w:r>
          </w:p>
        </w:tc>
        <w:tc>
          <w:tcPr>
            <w:tcW w:w="474" w:type="pct"/>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是否响应</w:t>
            </w:r>
          </w:p>
        </w:tc>
        <w:tc>
          <w:tcPr>
            <w:tcW w:w="496" w:type="pct"/>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偏离情况</w:t>
            </w:r>
          </w:p>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（正/负/无）</w:t>
            </w:r>
          </w:p>
        </w:tc>
        <w:tc>
          <w:tcPr>
            <w:tcW w:w="421" w:type="pct"/>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偏离说明</w:t>
            </w:r>
          </w:p>
        </w:tc>
        <w:tc>
          <w:tcPr>
            <w:tcW w:w="623" w:type="pct"/>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注明对应证明材料条款所在位置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349" w:type="pct"/>
            <w:noWrap w:val="0"/>
            <w:vAlign w:val="center"/>
          </w:tcPr>
          <w:p>
            <w:pPr>
              <w:spacing w:line="380" w:lineRule="exact"/>
              <w:ind w:left="40" w:leftChars="19"/>
              <w:jc w:val="center"/>
              <w:rPr>
                <w:rFonts w:hint="eastAsia" w:ascii="仿宋" w:hAnsi="仿宋" w:eastAsia="仿宋" w:cs="仿宋"/>
                <w:color w:val="auto"/>
                <w:szCs w:val="21"/>
                <w:highlight w:val="none"/>
                <w:lang w:val="zh-CN" w:eastAsia="zh-CN"/>
              </w:rPr>
            </w:pPr>
            <w:r>
              <w:rPr>
                <w:rFonts w:hint="eastAsia" w:ascii="仿宋" w:hAnsi="仿宋" w:eastAsia="仿宋" w:cs="仿宋"/>
                <w:color w:val="auto"/>
                <w:szCs w:val="21"/>
                <w:highlight w:val="none"/>
                <w:lang w:val="zh-CN" w:eastAsia="zh-CN"/>
              </w:rPr>
              <w:t>1</w:t>
            </w:r>
          </w:p>
        </w:tc>
        <w:tc>
          <w:tcPr>
            <w:tcW w:w="393" w:type="pct"/>
            <w:noWrap w:val="0"/>
            <w:vAlign w:val="center"/>
          </w:tcPr>
          <w:p>
            <w:pPr>
              <w:spacing w:line="380" w:lineRule="exact"/>
              <w:ind w:left="40" w:leftChars="19"/>
              <w:jc w:val="left"/>
              <w:rPr>
                <w:rFonts w:hint="eastAsia" w:ascii="仿宋" w:hAnsi="仿宋" w:eastAsia="仿宋" w:cs="仿宋"/>
                <w:color w:val="auto"/>
                <w:szCs w:val="21"/>
                <w:highlight w:val="none"/>
                <w:lang w:val="zh-CN" w:eastAsia="zh-CN"/>
              </w:rPr>
            </w:pPr>
          </w:p>
        </w:tc>
        <w:tc>
          <w:tcPr>
            <w:tcW w:w="1315" w:type="pct"/>
            <w:noWrap w:val="0"/>
            <w:vAlign w:val="center"/>
          </w:tcPr>
          <w:p>
            <w:pPr>
              <w:numPr>
                <w:ilvl w:val="0"/>
                <w:numId w:val="0"/>
              </w:numPr>
              <w:adjustRightInd/>
              <w:snapToGrid/>
              <w:spacing w:line="380" w:lineRule="exact"/>
              <w:ind w:left="40" w:leftChars="19"/>
              <w:jc w:val="left"/>
              <w:rPr>
                <w:rFonts w:hint="eastAsia" w:ascii="仿宋" w:hAnsi="仿宋" w:eastAsia="仿宋" w:cs="仿宋"/>
                <w:color w:val="auto"/>
                <w:sz w:val="21"/>
                <w:szCs w:val="21"/>
                <w:highlight w:val="none"/>
                <w:lang w:val="zh-CN" w:eastAsia="zh-CN"/>
              </w:rPr>
            </w:pPr>
          </w:p>
        </w:tc>
        <w:tc>
          <w:tcPr>
            <w:tcW w:w="926"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474"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496"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421"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623"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349" w:type="pct"/>
            <w:noWrap w:val="0"/>
            <w:vAlign w:val="center"/>
          </w:tcPr>
          <w:p>
            <w:pPr>
              <w:spacing w:line="380" w:lineRule="exact"/>
              <w:ind w:left="40" w:leftChars="19"/>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393" w:type="pct"/>
            <w:noWrap w:val="0"/>
            <w:vAlign w:val="center"/>
          </w:tcPr>
          <w:p>
            <w:pPr>
              <w:spacing w:line="380" w:lineRule="exact"/>
              <w:ind w:left="40" w:leftChars="19"/>
              <w:jc w:val="left"/>
              <w:rPr>
                <w:rFonts w:hint="eastAsia" w:ascii="仿宋" w:hAnsi="仿宋" w:eastAsia="仿宋" w:cs="仿宋"/>
                <w:color w:val="auto"/>
                <w:szCs w:val="21"/>
                <w:highlight w:val="none"/>
                <w:lang w:val="zh-CN" w:eastAsia="zh-CN"/>
              </w:rPr>
            </w:pPr>
          </w:p>
        </w:tc>
        <w:tc>
          <w:tcPr>
            <w:tcW w:w="1315" w:type="pct"/>
            <w:noWrap w:val="0"/>
            <w:vAlign w:val="center"/>
          </w:tcPr>
          <w:p>
            <w:pPr>
              <w:numPr>
                <w:ilvl w:val="0"/>
                <w:numId w:val="0"/>
              </w:numPr>
              <w:adjustRightInd/>
              <w:snapToGrid/>
              <w:spacing w:line="380" w:lineRule="exact"/>
              <w:ind w:left="40" w:leftChars="19"/>
              <w:jc w:val="left"/>
              <w:rPr>
                <w:rFonts w:hint="eastAsia" w:ascii="仿宋" w:hAnsi="仿宋" w:eastAsia="仿宋" w:cs="仿宋"/>
                <w:color w:val="auto"/>
                <w:sz w:val="21"/>
                <w:szCs w:val="21"/>
                <w:highlight w:val="none"/>
                <w:lang w:val="zh-CN" w:eastAsia="zh-CN"/>
              </w:rPr>
            </w:pPr>
          </w:p>
        </w:tc>
        <w:tc>
          <w:tcPr>
            <w:tcW w:w="926"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474"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496"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421"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623"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349" w:type="pct"/>
            <w:noWrap w:val="0"/>
            <w:vAlign w:val="center"/>
          </w:tcPr>
          <w:p>
            <w:pPr>
              <w:spacing w:line="380" w:lineRule="exact"/>
              <w:ind w:left="40" w:leftChars="19"/>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p>
        </w:tc>
        <w:tc>
          <w:tcPr>
            <w:tcW w:w="393" w:type="pct"/>
            <w:noWrap w:val="0"/>
            <w:vAlign w:val="center"/>
          </w:tcPr>
          <w:p>
            <w:pPr>
              <w:spacing w:line="380" w:lineRule="exact"/>
              <w:ind w:left="40" w:leftChars="19"/>
              <w:jc w:val="left"/>
              <w:rPr>
                <w:rFonts w:hint="eastAsia" w:ascii="仿宋" w:hAnsi="仿宋" w:eastAsia="仿宋" w:cs="仿宋"/>
                <w:color w:val="auto"/>
                <w:szCs w:val="21"/>
                <w:highlight w:val="none"/>
                <w:lang w:val="zh-CN" w:eastAsia="zh-CN"/>
              </w:rPr>
            </w:pPr>
          </w:p>
        </w:tc>
        <w:tc>
          <w:tcPr>
            <w:tcW w:w="1315" w:type="pct"/>
            <w:noWrap w:val="0"/>
            <w:vAlign w:val="center"/>
          </w:tcPr>
          <w:p>
            <w:pPr>
              <w:numPr>
                <w:ilvl w:val="0"/>
                <w:numId w:val="0"/>
              </w:numPr>
              <w:adjustRightInd/>
              <w:snapToGrid/>
              <w:spacing w:line="380" w:lineRule="exact"/>
              <w:ind w:left="40" w:leftChars="19"/>
              <w:jc w:val="left"/>
              <w:rPr>
                <w:rFonts w:hint="eastAsia" w:ascii="仿宋" w:hAnsi="仿宋" w:eastAsia="仿宋" w:cs="仿宋"/>
                <w:color w:val="auto"/>
                <w:sz w:val="21"/>
                <w:szCs w:val="21"/>
                <w:highlight w:val="none"/>
                <w:lang w:val="zh-CN" w:eastAsia="zh-CN"/>
              </w:rPr>
            </w:pPr>
          </w:p>
        </w:tc>
        <w:tc>
          <w:tcPr>
            <w:tcW w:w="926"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474"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496"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421"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623"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349" w:type="pct"/>
            <w:noWrap w:val="0"/>
            <w:vAlign w:val="center"/>
          </w:tcPr>
          <w:p>
            <w:pPr>
              <w:spacing w:line="380" w:lineRule="exact"/>
              <w:ind w:left="40" w:leftChars="19"/>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393" w:type="pct"/>
            <w:noWrap w:val="0"/>
            <w:vAlign w:val="center"/>
          </w:tcPr>
          <w:p>
            <w:pPr>
              <w:spacing w:line="380" w:lineRule="exact"/>
              <w:ind w:left="40" w:leftChars="19"/>
              <w:jc w:val="left"/>
              <w:rPr>
                <w:rFonts w:hint="eastAsia" w:ascii="仿宋" w:hAnsi="仿宋" w:eastAsia="仿宋" w:cs="仿宋"/>
                <w:color w:val="auto"/>
                <w:szCs w:val="21"/>
                <w:highlight w:val="none"/>
                <w:lang w:val="zh-CN" w:eastAsia="zh-CN"/>
              </w:rPr>
            </w:pPr>
          </w:p>
        </w:tc>
        <w:tc>
          <w:tcPr>
            <w:tcW w:w="1315" w:type="pct"/>
            <w:noWrap w:val="0"/>
            <w:vAlign w:val="center"/>
          </w:tcPr>
          <w:p>
            <w:pPr>
              <w:numPr>
                <w:ilvl w:val="0"/>
                <w:numId w:val="0"/>
              </w:numPr>
              <w:adjustRightInd/>
              <w:snapToGrid/>
              <w:spacing w:line="380" w:lineRule="exact"/>
              <w:ind w:left="40" w:leftChars="19"/>
              <w:jc w:val="left"/>
              <w:rPr>
                <w:rFonts w:hint="eastAsia" w:ascii="仿宋" w:hAnsi="仿宋" w:eastAsia="仿宋" w:cs="仿宋"/>
                <w:color w:val="auto"/>
                <w:sz w:val="21"/>
                <w:szCs w:val="21"/>
                <w:highlight w:val="none"/>
                <w:lang w:val="zh-CN" w:eastAsia="zh-CN"/>
              </w:rPr>
            </w:pPr>
          </w:p>
        </w:tc>
        <w:tc>
          <w:tcPr>
            <w:tcW w:w="926"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474"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496"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421"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623"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注：1.响应供应商必须对应比选文件中的服务要求的“★”项内容逐条响应。</w:t>
      </w:r>
      <w:r>
        <w:rPr>
          <w:rFonts w:hint="eastAsia" w:ascii="仿宋" w:hAnsi="仿宋" w:eastAsia="仿宋" w:cs="仿宋"/>
          <w:b/>
          <w:bCs/>
          <w:color w:val="auto"/>
          <w:sz w:val="24"/>
          <w:highlight w:val="none"/>
        </w:rPr>
        <w:t>如有缺漏，缺漏项视同不符合比选要求。</w:t>
      </w:r>
      <w:r>
        <w:rPr>
          <w:rFonts w:hint="eastAsia" w:ascii="仿宋" w:hAnsi="仿宋" w:eastAsia="仿宋" w:cs="仿宋"/>
          <w:color w:val="auto"/>
          <w:sz w:val="24"/>
          <w:highlight w:val="none"/>
        </w:rPr>
        <w:t>“★”项为不可负偏离（劣于）的重要项。</w:t>
      </w:r>
      <w:r>
        <w:rPr>
          <w:rFonts w:hint="eastAsia" w:ascii="仿宋" w:hAnsi="仿宋" w:eastAsia="仿宋" w:cs="仿宋"/>
          <w:color w:val="auto"/>
          <w:sz w:val="24"/>
          <w:highlight w:val="none"/>
          <w:lang w:val="en-GB"/>
        </w:rPr>
        <w:t>响应供应商请在“是否响应”栏内填“是”或“否”（不得空白，空白视为“否”；若比选文件中没有做出实质性要求，则填“无”），并对照偏离情况请在“偏离说明”栏内扼要说明偏离情况，不响应视为负偏离。比选技术参数/要求必须按照比选文件的，不得作任何更改。否则视为不符合响应要求。</w:t>
      </w:r>
    </w:p>
    <w:p>
      <w:pPr>
        <w:pStyle w:val="9"/>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2.响应供应商响应采购需求必须具体，明确。含糊不清、不确切或伪造、变造证明材料的，按照不完全响应或者不响应处理。</w:t>
      </w:r>
    </w:p>
    <w:p>
      <w:pPr>
        <w:pStyle w:val="9"/>
        <w:adjustRightInd w:val="0"/>
        <w:snapToGrid w:val="0"/>
        <w:spacing w:line="44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r>
        <w:rPr>
          <w:rFonts w:hint="eastAsia" w:ascii="仿宋" w:hAnsi="仿宋" w:eastAsia="仿宋" w:cs="仿宋"/>
          <w:b/>
          <w:color w:val="auto"/>
          <w:sz w:val="24"/>
          <w:highlight w:val="none"/>
        </w:rPr>
        <w:t>如所响应参数与比选要求不一致的，响应供应商必须按所响应的参数进行响应参数填写（必须详细填写），不得随意复制比选文件服务要求粘贴。否则后果自负！</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pStyle w:val="9"/>
        <w:adjustRightInd w:val="0"/>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2</w:t>
      </w:r>
      <w:r>
        <w:rPr>
          <w:rFonts w:hint="eastAsia" w:ascii="仿宋" w:hAnsi="仿宋" w:eastAsia="仿宋" w:cs="仿宋"/>
          <w:b/>
          <w:color w:val="auto"/>
          <w:sz w:val="24"/>
          <w:highlight w:val="none"/>
        </w:rPr>
        <w:t xml:space="preserve"> 非实质性</w:t>
      </w:r>
      <w:r>
        <w:rPr>
          <w:rFonts w:hint="eastAsia" w:ascii="仿宋" w:hAnsi="仿宋" w:eastAsia="仿宋" w:cs="仿宋"/>
          <w:b/>
          <w:color w:val="auto"/>
          <w:sz w:val="24"/>
          <w:highlight w:val="none"/>
          <w:lang w:eastAsia="zh-CN"/>
        </w:rPr>
        <w:t>技术</w:t>
      </w:r>
      <w:r>
        <w:rPr>
          <w:rFonts w:hint="eastAsia" w:ascii="仿宋" w:hAnsi="仿宋" w:eastAsia="仿宋" w:cs="仿宋"/>
          <w:b/>
          <w:color w:val="auto"/>
          <w:sz w:val="24"/>
          <w:highlight w:val="none"/>
          <w:lang w:val="en-US" w:eastAsia="zh-CN"/>
        </w:rPr>
        <w:t>/</w:t>
      </w:r>
      <w:r>
        <w:rPr>
          <w:rFonts w:hint="eastAsia" w:ascii="仿宋" w:hAnsi="仿宋" w:eastAsia="仿宋" w:cs="仿宋"/>
          <w:b/>
          <w:color w:val="auto"/>
          <w:sz w:val="24"/>
          <w:highlight w:val="none"/>
        </w:rPr>
        <w:t>服务要求条款响应表</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
        <w:gridCol w:w="885"/>
        <w:gridCol w:w="2645"/>
        <w:gridCol w:w="1399"/>
        <w:gridCol w:w="643"/>
        <w:gridCol w:w="712"/>
        <w:gridCol w:w="569"/>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000" w:type="pct"/>
            <w:gridSpan w:val="8"/>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一般服务要求条款</w:t>
            </w:r>
            <w:r>
              <w:rPr>
                <w:rFonts w:hint="eastAsia" w:ascii="仿宋" w:hAnsi="仿宋" w:eastAsia="仿宋" w:cs="宋体"/>
                <w:color w:val="auto"/>
                <w:kern w:val="0"/>
                <w:sz w:val="24"/>
                <w:highlight w:val="none"/>
              </w:rPr>
              <w:t>和</w:t>
            </w:r>
            <w:r>
              <w:rPr>
                <w:rFonts w:hint="eastAsia" w:ascii="仿宋" w:hAnsi="仿宋" w:eastAsia="仿宋" w:cs="仿宋"/>
                <w:color w:val="auto"/>
                <w:sz w:val="24"/>
                <w:highlight w:val="none"/>
              </w:rPr>
              <w:t>含</w:t>
            </w:r>
            <w:r>
              <w:rPr>
                <w:rFonts w:hint="eastAsia" w:ascii="仿宋" w:hAnsi="仿宋" w:eastAsia="仿宋" w:cs="宋体"/>
                <w:color w:val="auto"/>
                <w:kern w:val="0"/>
                <w:sz w:val="24"/>
                <w:highlight w:val="none"/>
              </w:rPr>
              <w:t>“▲”的</w:t>
            </w:r>
            <w:r>
              <w:rPr>
                <w:rFonts w:ascii="仿宋" w:hAnsi="仿宋" w:eastAsia="仿宋" w:cs="宋体"/>
                <w:color w:val="auto"/>
                <w:kern w:val="0"/>
                <w:sz w:val="24"/>
                <w:highlight w:val="none"/>
              </w:rPr>
              <w:t>主要</w:t>
            </w:r>
            <w:r>
              <w:rPr>
                <w:rFonts w:hint="eastAsia" w:ascii="仿宋" w:hAnsi="仿宋" w:eastAsia="仿宋" w:cs="宋体"/>
                <w:color w:val="auto"/>
                <w:kern w:val="0"/>
                <w:sz w:val="24"/>
                <w:highlight w:val="none"/>
              </w:rPr>
              <w:t>服务要求</w:t>
            </w:r>
            <w:r>
              <w:rPr>
                <w:rFonts w:hint="eastAsia" w:ascii="仿宋" w:hAnsi="仿宋" w:eastAsia="仿宋" w:cs="仿宋"/>
                <w:color w:val="auto"/>
                <w:sz w:val="24"/>
                <w:highlight w:val="none"/>
              </w:rPr>
              <w:t>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519" w:type="pct"/>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1552" w:type="pct"/>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zh-CN"/>
              </w:rPr>
              <w:t>技术</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val="zh-CN"/>
              </w:rPr>
              <w:t>服务参数要求</w:t>
            </w:r>
          </w:p>
        </w:tc>
        <w:tc>
          <w:tcPr>
            <w:tcW w:w="821" w:type="pct"/>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响应服务参数</w:t>
            </w:r>
          </w:p>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（填写响应的具体参数）</w:t>
            </w:r>
          </w:p>
        </w:tc>
        <w:tc>
          <w:tcPr>
            <w:tcW w:w="377" w:type="pct"/>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418" w:type="pct"/>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w:t>
            </w:r>
          </w:p>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（正/负/无）</w:t>
            </w:r>
          </w:p>
        </w:tc>
        <w:tc>
          <w:tcPr>
            <w:tcW w:w="334" w:type="pct"/>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c>
          <w:tcPr>
            <w:tcW w:w="687" w:type="pct"/>
            <w:shd w:val="clear" w:color="auto" w:fill="F1F1F1"/>
            <w:noWrap w:val="0"/>
            <w:vAlign w:val="top"/>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需注明对应证明</w:t>
            </w:r>
            <w:r>
              <w:rPr>
                <w:rFonts w:ascii="仿宋" w:hAnsi="仿宋" w:eastAsia="仿宋" w:cs="仿宋"/>
                <w:color w:val="auto"/>
                <w:szCs w:val="21"/>
                <w:highlight w:val="none"/>
              </w:rPr>
              <w:t>材料</w:t>
            </w:r>
            <w:r>
              <w:rPr>
                <w:rFonts w:hint="eastAsia" w:ascii="仿宋" w:hAnsi="仿宋" w:eastAsia="仿宋" w:cs="仿宋"/>
                <w:color w:val="auto"/>
                <w:szCs w:val="21"/>
                <w:highlight w:val="none"/>
              </w:rPr>
              <w:t>条款所在位置，</w:t>
            </w:r>
            <w:r>
              <w:rPr>
                <w:rFonts w:ascii="仿宋" w:hAnsi="仿宋" w:eastAsia="仿宋" w:cs="仿宋"/>
                <w:color w:val="auto"/>
                <w:szCs w:val="21"/>
                <w:highlight w:val="none"/>
              </w:rPr>
              <w:t>尤其是</w:t>
            </w:r>
            <w:r>
              <w:rPr>
                <w:rFonts w:hint="eastAsia" w:ascii="仿宋" w:hAnsi="仿宋" w:eastAsia="仿宋" w:cs="仿宋"/>
                <w:color w:val="auto"/>
                <w:szCs w:val="21"/>
                <w:highlight w:val="none"/>
              </w:rPr>
              <w:t>含</w:t>
            </w:r>
            <w:r>
              <w:rPr>
                <w:rFonts w:hint="eastAsia" w:ascii="仿宋" w:hAnsi="仿宋" w:eastAsia="仿宋" w:cs="宋体"/>
                <w:color w:val="auto"/>
                <w:kern w:val="0"/>
                <w:szCs w:val="21"/>
                <w:highlight w:val="none"/>
              </w:rPr>
              <w:t>“▲”条款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519" w:type="pct"/>
            <w:noWrap w:val="0"/>
            <w:vAlign w:val="center"/>
          </w:tcPr>
          <w:p>
            <w:pPr>
              <w:spacing w:line="380" w:lineRule="exact"/>
              <w:ind w:left="40" w:leftChars="19"/>
              <w:jc w:val="left"/>
              <w:rPr>
                <w:rFonts w:hint="eastAsia" w:ascii="仿宋" w:hAnsi="仿宋" w:eastAsia="仿宋" w:cs="仿宋"/>
                <w:color w:val="auto"/>
                <w:szCs w:val="21"/>
                <w:highlight w:val="none"/>
                <w:lang w:val="en-US" w:eastAsia="zh-CN"/>
              </w:rPr>
            </w:pPr>
          </w:p>
        </w:tc>
        <w:tc>
          <w:tcPr>
            <w:tcW w:w="1552" w:type="pct"/>
            <w:noWrap w:val="0"/>
            <w:vAlign w:val="center"/>
          </w:tcPr>
          <w:p>
            <w:pPr>
              <w:spacing w:line="380" w:lineRule="exact"/>
              <w:ind w:left="40" w:leftChars="19"/>
              <w:jc w:val="left"/>
              <w:rPr>
                <w:rFonts w:hint="eastAsia" w:ascii="仿宋" w:hAnsi="仿宋" w:eastAsia="仿宋" w:cs="仿宋"/>
                <w:color w:val="auto"/>
                <w:szCs w:val="21"/>
                <w:highlight w:val="none"/>
                <w:lang w:val="en-US" w:eastAsia="zh-CN"/>
              </w:rPr>
            </w:pPr>
          </w:p>
        </w:tc>
        <w:tc>
          <w:tcPr>
            <w:tcW w:w="821" w:type="pct"/>
            <w:noWrap w:val="0"/>
            <w:vAlign w:val="top"/>
          </w:tcPr>
          <w:p>
            <w:pPr>
              <w:spacing w:line="20" w:lineRule="atLeast"/>
              <w:rPr>
                <w:rFonts w:hint="eastAsia" w:ascii="仿宋" w:hAnsi="仿宋" w:eastAsia="仿宋" w:cs="仿宋"/>
                <w:color w:val="auto"/>
                <w:sz w:val="24"/>
                <w:highlight w:val="none"/>
              </w:rPr>
            </w:pPr>
          </w:p>
        </w:tc>
        <w:tc>
          <w:tcPr>
            <w:tcW w:w="377" w:type="pct"/>
            <w:noWrap w:val="0"/>
            <w:vAlign w:val="top"/>
          </w:tcPr>
          <w:p>
            <w:pPr>
              <w:spacing w:line="20" w:lineRule="atLeast"/>
              <w:rPr>
                <w:rFonts w:hint="eastAsia" w:ascii="仿宋" w:hAnsi="仿宋" w:eastAsia="仿宋" w:cs="仿宋"/>
                <w:color w:val="auto"/>
                <w:sz w:val="24"/>
                <w:highlight w:val="none"/>
              </w:rPr>
            </w:pPr>
          </w:p>
        </w:tc>
        <w:tc>
          <w:tcPr>
            <w:tcW w:w="418" w:type="pct"/>
            <w:noWrap w:val="0"/>
            <w:vAlign w:val="top"/>
          </w:tcPr>
          <w:p>
            <w:pPr>
              <w:spacing w:line="20" w:lineRule="atLeast"/>
              <w:rPr>
                <w:rFonts w:hint="eastAsia" w:ascii="仿宋" w:hAnsi="仿宋" w:eastAsia="仿宋" w:cs="仿宋"/>
                <w:color w:val="auto"/>
                <w:sz w:val="24"/>
                <w:highlight w:val="none"/>
              </w:rPr>
            </w:pPr>
          </w:p>
        </w:tc>
        <w:tc>
          <w:tcPr>
            <w:tcW w:w="334" w:type="pct"/>
            <w:noWrap w:val="0"/>
            <w:vAlign w:val="top"/>
          </w:tcPr>
          <w:p>
            <w:pPr>
              <w:spacing w:line="20" w:lineRule="atLeast"/>
              <w:rPr>
                <w:rFonts w:hint="eastAsia" w:ascii="仿宋" w:hAnsi="仿宋" w:eastAsia="仿宋" w:cs="仿宋"/>
                <w:color w:val="auto"/>
                <w:sz w:val="24"/>
                <w:highlight w:val="none"/>
              </w:rPr>
            </w:pPr>
          </w:p>
        </w:tc>
        <w:tc>
          <w:tcPr>
            <w:tcW w:w="687" w:type="pct"/>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spacing w:line="20" w:lineRule="atLeas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2</w:t>
            </w:r>
          </w:p>
        </w:tc>
        <w:tc>
          <w:tcPr>
            <w:tcW w:w="519" w:type="pct"/>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1552" w:type="pct"/>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821" w:type="pct"/>
            <w:noWrap w:val="0"/>
            <w:vAlign w:val="top"/>
          </w:tcPr>
          <w:p>
            <w:pPr>
              <w:spacing w:line="20" w:lineRule="atLeast"/>
              <w:rPr>
                <w:rFonts w:hint="eastAsia" w:ascii="仿宋" w:hAnsi="仿宋" w:eastAsia="仿宋" w:cs="仿宋"/>
                <w:color w:val="auto"/>
                <w:sz w:val="24"/>
                <w:highlight w:val="none"/>
              </w:rPr>
            </w:pPr>
          </w:p>
        </w:tc>
        <w:tc>
          <w:tcPr>
            <w:tcW w:w="377" w:type="pct"/>
            <w:noWrap w:val="0"/>
            <w:vAlign w:val="top"/>
          </w:tcPr>
          <w:p>
            <w:pPr>
              <w:spacing w:line="20" w:lineRule="atLeast"/>
              <w:rPr>
                <w:rFonts w:hint="eastAsia" w:ascii="仿宋" w:hAnsi="仿宋" w:eastAsia="仿宋" w:cs="仿宋"/>
                <w:color w:val="auto"/>
                <w:sz w:val="24"/>
                <w:highlight w:val="none"/>
              </w:rPr>
            </w:pPr>
          </w:p>
        </w:tc>
        <w:tc>
          <w:tcPr>
            <w:tcW w:w="418" w:type="pct"/>
            <w:noWrap w:val="0"/>
            <w:vAlign w:val="top"/>
          </w:tcPr>
          <w:p>
            <w:pPr>
              <w:spacing w:line="20" w:lineRule="atLeast"/>
              <w:rPr>
                <w:rFonts w:hint="eastAsia" w:ascii="仿宋" w:hAnsi="仿宋" w:eastAsia="仿宋" w:cs="仿宋"/>
                <w:color w:val="auto"/>
                <w:sz w:val="24"/>
                <w:highlight w:val="none"/>
              </w:rPr>
            </w:pPr>
          </w:p>
        </w:tc>
        <w:tc>
          <w:tcPr>
            <w:tcW w:w="334" w:type="pct"/>
            <w:noWrap w:val="0"/>
            <w:vAlign w:val="top"/>
          </w:tcPr>
          <w:p>
            <w:pPr>
              <w:spacing w:line="20" w:lineRule="atLeast"/>
              <w:rPr>
                <w:rFonts w:hint="eastAsia" w:ascii="仿宋" w:hAnsi="仿宋" w:eastAsia="仿宋" w:cs="仿宋"/>
                <w:color w:val="auto"/>
                <w:sz w:val="24"/>
                <w:highlight w:val="none"/>
              </w:rPr>
            </w:pPr>
          </w:p>
        </w:tc>
        <w:tc>
          <w:tcPr>
            <w:tcW w:w="687" w:type="pct"/>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spacing w:line="20" w:lineRule="atLeas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w:t>
            </w:r>
          </w:p>
        </w:tc>
        <w:tc>
          <w:tcPr>
            <w:tcW w:w="519" w:type="pct"/>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1552" w:type="pct"/>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821" w:type="pct"/>
            <w:noWrap w:val="0"/>
            <w:vAlign w:val="top"/>
          </w:tcPr>
          <w:p>
            <w:pPr>
              <w:spacing w:line="20" w:lineRule="atLeast"/>
              <w:rPr>
                <w:rFonts w:hint="eastAsia" w:ascii="仿宋" w:hAnsi="仿宋" w:eastAsia="仿宋" w:cs="仿宋"/>
                <w:color w:val="auto"/>
                <w:sz w:val="24"/>
                <w:highlight w:val="none"/>
              </w:rPr>
            </w:pPr>
          </w:p>
        </w:tc>
        <w:tc>
          <w:tcPr>
            <w:tcW w:w="377" w:type="pct"/>
            <w:noWrap w:val="0"/>
            <w:vAlign w:val="top"/>
          </w:tcPr>
          <w:p>
            <w:pPr>
              <w:spacing w:line="20" w:lineRule="atLeast"/>
              <w:rPr>
                <w:rFonts w:hint="eastAsia" w:ascii="仿宋" w:hAnsi="仿宋" w:eastAsia="仿宋" w:cs="仿宋"/>
                <w:color w:val="auto"/>
                <w:sz w:val="24"/>
                <w:highlight w:val="none"/>
              </w:rPr>
            </w:pPr>
          </w:p>
        </w:tc>
        <w:tc>
          <w:tcPr>
            <w:tcW w:w="418" w:type="pct"/>
            <w:noWrap w:val="0"/>
            <w:vAlign w:val="top"/>
          </w:tcPr>
          <w:p>
            <w:pPr>
              <w:spacing w:line="20" w:lineRule="atLeast"/>
              <w:rPr>
                <w:rFonts w:hint="eastAsia" w:ascii="仿宋" w:hAnsi="仿宋" w:eastAsia="仿宋" w:cs="仿宋"/>
                <w:color w:val="auto"/>
                <w:sz w:val="24"/>
                <w:highlight w:val="none"/>
              </w:rPr>
            </w:pPr>
          </w:p>
        </w:tc>
        <w:tc>
          <w:tcPr>
            <w:tcW w:w="334" w:type="pct"/>
            <w:noWrap w:val="0"/>
            <w:vAlign w:val="top"/>
          </w:tcPr>
          <w:p>
            <w:pPr>
              <w:spacing w:line="20" w:lineRule="atLeast"/>
              <w:rPr>
                <w:rFonts w:hint="eastAsia" w:ascii="仿宋" w:hAnsi="仿宋" w:eastAsia="仿宋" w:cs="仿宋"/>
                <w:color w:val="auto"/>
                <w:sz w:val="24"/>
                <w:highlight w:val="none"/>
              </w:rPr>
            </w:pPr>
          </w:p>
        </w:tc>
        <w:tc>
          <w:tcPr>
            <w:tcW w:w="687" w:type="pct"/>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519" w:type="pct"/>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1552" w:type="pct"/>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821" w:type="pct"/>
            <w:noWrap w:val="0"/>
            <w:vAlign w:val="top"/>
          </w:tcPr>
          <w:p>
            <w:pPr>
              <w:spacing w:line="20" w:lineRule="atLeast"/>
              <w:rPr>
                <w:rFonts w:hint="eastAsia" w:ascii="仿宋" w:hAnsi="仿宋" w:eastAsia="仿宋" w:cs="仿宋"/>
                <w:color w:val="auto"/>
                <w:sz w:val="24"/>
                <w:highlight w:val="none"/>
              </w:rPr>
            </w:pPr>
          </w:p>
        </w:tc>
        <w:tc>
          <w:tcPr>
            <w:tcW w:w="377" w:type="pct"/>
            <w:noWrap w:val="0"/>
            <w:vAlign w:val="top"/>
          </w:tcPr>
          <w:p>
            <w:pPr>
              <w:spacing w:line="20" w:lineRule="atLeast"/>
              <w:rPr>
                <w:rFonts w:hint="eastAsia" w:ascii="仿宋" w:hAnsi="仿宋" w:eastAsia="仿宋" w:cs="仿宋"/>
                <w:color w:val="auto"/>
                <w:sz w:val="24"/>
                <w:highlight w:val="none"/>
              </w:rPr>
            </w:pPr>
          </w:p>
        </w:tc>
        <w:tc>
          <w:tcPr>
            <w:tcW w:w="418" w:type="pct"/>
            <w:noWrap w:val="0"/>
            <w:vAlign w:val="top"/>
          </w:tcPr>
          <w:p>
            <w:pPr>
              <w:spacing w:line="20" w:lineRule="atLeast"/>
              <w:rPr>
                <w:rFonts w:hint="eastAsia" w:ascii="仿宋" w:hAnsi="仿宋" w:eastAsia="仿宋" w:cs="仿宋"/>
                <w:color w:val="auto"/>
                <w:sz w:val="24"/>
                <w:highlight w:val="none"/>
              </w:rPr>
            </w:pPr>
          </w:p>
        </w:tc>
        <w:tc>
          <w:tcPr>
            <w:tcW w:w="334" w:type="pct"/>
            <w:noWrap w:val="0"/>
            <w:vAlign w:val="top"/>
          </w:tcPr>
          <w:p>
            <w:pPr>
              <w:spacing w:line="20" w:lineRule="atLeast"/>
              <w:rPr>
                <w:rFonts w:hint="eastAsia" w:ascii="仿宋" w:hAnsi="仿宋" w:eastAsia="仿宋" w:cs="仿宋"/>
                <w:color w:val="auto"/>
                <w:sz w:val="24"/>
                <w:highlight w:val="none"/>
              </w:rPr>
            </w:pPr>
          </w:p>
        </w:tc>
        <w:tc>
          <w:tcPr>
            <w:tcW w:w="687" w:type="pct"/>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w:t>
            </w:r>
          </w:p>
        </w:tc>
        <w:tc>
          <w:tcPr>
            <w:tcW w:w="519" w:type="pct"/>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1552" w:type="pct"/>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821" w:type="pct"/>
            <w:noWrap w:val="0"/>
            <w:vAlign w:val="top"/>
          </w:tcPr>
          <w:p>
            <w:pPr>
              <w:spacing w:line="20" w:lineRule="atLeast"/>
              <w:rPr>
                <w:rFonts w:hint="eastAsia" w:ascii="仿宋" w:hAnsi="仿宋" w:eastAsia="仿宋" w:cs="仿宋"/>
                <w:color w:val="auto"/>
                <w:sz w:val="24"/>
                <w:highlight w:val="none"/>
              </w:rPr>
            </w:pPr>
          </w:p>
        </w:tc>
        <w:tc>
          <w:tcPr>
            <w:tcW w:w="377" w:type="pct"/>
            <w:noWrap w:val="0"/>
            <w:vAlign w:val="top"/>
          </w:tcPr>
          <w:p>
            <w:pPr>
              <w:spacing w:line="20" w:lineRule="atLeast"/>
              <w:rPr>
                <w:rFonts w:hint="eastAsia" w:ascii="仿宋" w:hAnsi="仿宋" w:eastAsia="仿宋" w:cs="仿宋"/>
                <w:color w:val="auto"/>
                <w:sz w:val="24"/>
                <w:highlight w:val="none"/>
              </w:rPr>
            </w:pPr>
          </w:p>
        </w:tc>
        <w:tc>
          <w:tcPr>
            <w:tcW w:w="418" w:type="pct"/>
            <w:noWrap w:val="0"/>
            <w:vAlign w:val="top"/>
          </w:tcPr>
          <w:p>
            <w:pPr>
              <w:spacing w:line="20" w:lineRule="atLeast"/>
              <w:rPr>
                <w:rFonts w:hint="eastAsia" w:ascii="仿宋" w:hAnsi="仿宋" w:eastAsia="仿宋" w:cs="仿宋"/>
                <w:color w:val="auto"/>
                <w:sz w:val="24"/>
                <w:highlight w:val="none"/>
              </w:rPr>
            </w:pPr>
          </w:p>
        </w:tc>
        <w:tc>
          <w:tcPr>
            <w:tcW w:w="334" w:type="pct"/>
            <w:noWrap w:val="0"/>
            <w:vAlign w:val="top"/>
          </w:tcPr>
          <w:p>
            <w:pPr>
              <w:spacing w:line="20" w:lineRule="atLeast"/>
              <w:rPr>
                <w:rFonts w:hint="eastAsia" w:ascii="仿宋" w:hAnsi="仿宋" w:eastAsia="仿宋" w:cs="仿宋"/>
                <w:color w:val="auto"/>
                <w:sz w:val="24"/>
                <w:highlight w:val="none"/>
              </w:rPr>
            </w:pPr>
          </w:p>
        </w:tc>
        <w:tc>
          <w:tcPr>
            <w:tcW w:w="687" w:type="pct"/>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p>
        </w:tc>
        <w:tc>
          <w:tcPr>
            <w:tcW w:w="519" w:type="pct"/>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1552" w:type="pct"/>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821" w:type="pct"/>
            <w:noWrap w:val="0"/>
            <w:vAlign w:val="top"/>
          </w:tcPr>
          <w:p>
            <w:pPr>
              <w:spacing w:line="20" w:lineRule="atLeast"/>
              <w:rPr>
                <w:rFonts w:hint="eastAsia" w:ascii="仿宋" w:hAnsi="仿宋" w:eastAsia="仿宋" w:cs="仿宋"/>
                <w:color w:val="auto"/>
                <w:sz w:val="24"/>
                <w:highlight w:val="none"/>
              </w:rPr>
            </w:pPr>
          </w:p>
        </w:tc>
        <w:tc>
          <w:tcPr>
            <w:tcW w:w="377" w:type="pct"/>
            <w:noWrap w:val="0"/>
            <w:vAlign w:val="top"/>
          </w:tcPr>
          <w:p>
            <w:pPr>
              <w:spacing w:line="20" w:lineRule="atLeast"/>
              <w:rPr>
                <w:rFonts w:hint="eastAsia" w:ascii="仿宋" w:hAnsi="仿宋" w:eastAsia="仿宋" w:cs="仿宋"/>
                <w:color w:val="auto"/>
                <w:sz w:val="24"/>
                <w:highlight w:val="none"/>
              </w:rPr>
            </w:pPr>
          </w:p>
        </w:tc>
        <w:tc>
          <w:tcPr>
            <w:tcW w:w="418" w:type="pct"/>
            <w:noWrap w:val="0"/>
            <w:vAlign w:val="top"/>
          </w:tcPr>
          <w:p>
            <w:pPr>
              <w:spacing w:line="20" w:lineRule="atLeast"/>
              <w:rPr>
                <w:rFonts w:hint="eastAsia" w:ascii="仿宋" w:hAnsi="仿宋" w:eastAsia="仿宋" w:cs="仿宋"/>
                <w:color w:val="auto"/>
                <w:sz w:val="24"/>
                <w:highlight w:val="none"/>
              </w:rPr>
            </w:pPr>
          </w:p>
        </w:tc>
        <w:tc>
          <w:tcPr>
            <w:tcW w:w="334" w:type="pct"/>
            <w:noWrap w:val="0"/>
            <w:vAlign w:val="top"/>
          </w:tcPr>
          <w:p>
            <w:pPr>
              <w:spacing w:line="20" w:lineRule="atLeast"/>
              <w:rPr>
                <w:rFonts w:hint="eastAsia" w:ascii="仿宋" w:hAnsi="仿宋" w:eastAsia="仿宋" w:cs="仿宋"/>
                <w:color w:val="auto"/>
                <w:sz w:val="24"/>
                <w:highlight w:val="none"/>
              </w:rPr>
            </w:pPr>
          </w:p>
        </w:tc>
        <w:tc>
          <w:tcPr>
            <w:tcW w:w="687" w:type="pct"/>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p>
        </w:tc>
        <w:tc>
          <w:tcPr>
            <w:tcW w:w="519" w:type="pct"/>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1552" w:type="pct"/>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821" w:type="pct"/>
            <w:noWrap w:val="0"/>
            <w:vAlign w:val="top"/>
          </w:tcPr>
          <w:p>
            <w:pPr>
              <w:spacing w:line="20" w:lineRule="atLeast"/>
              <w:rPr>
                <w:rFonts w:hint="eastAsia" w:ascii="仿宋" w:hAnsi="仿宋" w:eastAsia="仿宋" w:cs="仿宋"/>
                <w:color w:val="auto"/>
                <w:sz w:val="24"/>
                <w:highlight w:val="none"/>
              </w:rPr>
            </w:pPr>
          </w:p>
        </w:tc>
        <w:tc>
          <w:tcPr>
            <w:tcW w:w="377" w:type="pct"/>
            <w:noWrap w:val="0"/>
            <w:vAlign w:val="top"/>
          </w:tcPr>
          <w:p>
            <w:pPr>
              <w:spacing w:line="20" w:lineRule="atLeast"/>
              <w:rPr>
                <w:rFonts w:hint="eastAsia" w:ascii="仿宋" w:hAnsi="仿宋" w:eastAsia="仿宋" w:cs="仿宋"/>
                <w:color w:val="auto"/>
                <w:sz w:val="24"/>
                <w:highlight w:val="none"/>
              </w:rPr>
            </w:pPr>
          </w:p>
        </w:tc>
        <w:tc>
          <w:tcPr>
            <w:tcW w:w="418" w:type="pct"/>
            <w:noWrap w:val="0"/>
            <w:vAlign w:val="top"/>
          </w:tcPr>
          <w:p>
            <w:pPr>
              <w:spacing w:line="20" w:lineRule="atLeast"/>
              <w:rPr>
                <w:rFonts w:hint="eastAsia" w:ascii="仿宋" w:hAnsi="仿宋" w:eastAsia="仿宋" w:cs="仿宋"/>
                <w:color w:val="auto"/>
                <w:sz w:val="24"/>
                <w:highlight w:val="none"/>
              </w:rPr>
            </w:pPr>
          </w:p>
        </w:tc>
        <w:tc>
          <w:tcPr>
            <w:tcW w:w="334" w:type="pct"/>
            <w:noWrap w:val="0"/>
            <w:vAlign w:val="top"/>
          </w:tcPr>
          <w:p>
            <w:pPr>
              <w:spacing w:line="20" w:lineRule="atLeast"/>
              <w:rPr>
                <w:rFonts w:hint="eastAsia" w:ascii="仿宋" w:hAnsi="仿宋" w:eastAsia="仿宋" w:cs="仿宋"/>
                <w:color w:val="auto"/>
                <w:sz w:val="24"/>
                <w:highlight w:val="none"/>
              </w:rPr>
            </w:pPr>
          </w:p>
        </w:tc>
        <w:tc>
          <w:tcPr>
            <w:tcW w:w="687" w:type="pct"/>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519" w:type="pct"/>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1552" w:type="pct"/>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821" w:type="pct"/>
            <w:noWrap w:val="0"/>
            <w:vAlign w:val="top"/>
          </w:tcPr>
          <w:p>
            <w:pPr>
              <w:spacing w:line="20" w:lineRule="atLeast"/>
              <w:rPr>
                <w:rFonts w:hint="eastAsia" w:ascii="仿宋" w:hAnsi="仿宋" w:eastAsia="仿宋" w:cs="仿宋"/>
                <w:color w:val="auto"/>
                <w:sz w:val="24"/>
                <w:highlight w:val="none"/>
              </w:rPr>
            </w:pPr>
          </w:p>
        </w:tc>
        <w:tc>
          <w:tcPr>
            <w:tcW w:w="377" w:type="pct"/>
            <w:noWrap w:val="0"/>
            <w:vAlign w:val="top"/>
          </w:tcPr>
          <w:p>
            <w:pPr>
              <w:spacing w:line="20" w:lineRule="atLeast"/>
              <w:rPr>
                <w:rFonts w:hint="eastAsia" w:ascii="仿宋" w:hAnsi="仿宋" w:eastAsia="仿宋" w:cs="仿宋"/>
                <w:color w:val="auto"/>
                <w:sz w:val="24"/>
                <w:highlight w:val="none"/>
              </w:rPr>
            </w:pPr>
          </w:p>
        </w:tc>
        <w:tc>
          <w:tcPr>
            <w:tcW w:w="418" w:type="pct"/>
            <w:noWrap w:val="0"/>
            <w:vAlign w:val="top"/>
          </w:tcPr>
          <w:p>
            <w:pPr>
              <w:spacing w:line="20" w:lineRule="atLeast"/>
              <w:rPr>
                <w:rFonts w:hint="eastAsia" w:ascii="仿宋" w:hAnsi="仿宋" w:eastAsia="仿宋" w:cs="仿宋"/>
                <w:color w:val="auto"/>
                <w:sz w:val="24"/>
                <w:highlight w:val="none"/>
              </w:rPr>
            </w:pPr>
          </w:p>
        </w:tc>
        <w:tc>
          <w:tcPr>
            <w:tcW w:w="334" w:type="pct"/>
            <w:noWrap w:val="0"/>
            <w:vAlign w:val="top"/>
          </w:tcPr>
          <w:p>
            <w:pPr>
              <w:spacing w:line="20" w:lineRule="atLeast"/>
              <w:rPr>
                <w:rFonts w:hint="eastAsia" w:ascii="仿宋" w:hAnsi="仿宋" w:eastAsia="仿宋" w:cs="仿宋"/>
                <w:color w:val="auto"/>
                <w:sz w:val="24"/>
                <w:highlight w:val="none"/>
              </w:rPr>
            </w:pPr>
          </w:p>
        </w:tc>
        <w:tc>
          <w:tcPr>
            <w:tcW w:w="687" w:type="pct"/>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w:t>
            </w:r>
          </w:p>
        </w:tc>
        <w:tc>
          <w:tcPr>
            <w:tcW w:w="519" w:type="pct"/>
            <w:noWrap w:val="0"/>
            <w:vAlign w:val="center"/>
          </w:tcPr>
          <w:p>
            <w:pPr>
              <w:spacing w:line="380" w:lineRule="exact"/>
              <w:ind w:left="40" w:leftChars="19"/>
              <w:jc w:val="left"/>
              <w:rPr>
                <w:rFonts w:hint="eastAsia" w:ascii="仿宋" w:hAnsi="仿宋" w:eastAsia="仿宋" w:cs="仿宋"/>
                <w:color w:val="auto"/>
                <w:szCs w:val="21"/>
                <w:highlight w:val="none"/>
                <w:lang w:val="en-US" w:eastAsia="zh-CN"/>
              </w:rPr>
            </w:pPr>
          </w:p>
        </w:tc>
        <w:tc>
          <w:tcPr>
            <w:tcW w:w="1552" w:type="pct"/>
            <w:noWrap w:val="0"/>
            <w:vAlign w:val="center"/>
          </w:tcPr>
          <w:p>
            <w:pPr>
              <w:spacing w:line="380" w:lineRule="exact"/>
              <w:ind w:left="40" w:leftChars="19"/>
              <w:jc w:val="left"/>
              <w:rPr>
                <w:rFonts w:hint="eastAsia" w:ascii="仿宋" w:hAnsi="仿宋" w:eastAsia="仿宋" w:cs="仿宋"/>
                <w:color w:val="auto"/>
                <w:szCs w:val="21"/>
                <w:highlight w:val="none"/>
                <w:lang w:val="en-US" w:eastAsia="zh-CN"/>
              </w:rPr>
            </w:pPr>
          </w:p>
        </w:tc>
        <w:tc>
          <w:tcPr>
            <w:tcW w:w="821" w:type="pct"/>
            <w:noWrap w:val="0"/>
            <w:vAlign w:val="top"/>
          </w:tcPr>
          <w:p>
            <w:pPr>
              <w:spacing w:line="20" w:lineRule="atLeast"/>
              <w:rPr>
                <w:rFonts w:hint="eastAsia" w:ascii="仿宋" w:hAnsi="仿宋" w:eastAsia="仿宋" w:cs="仿宋"/>
                <w:color w:val="auto"/>
                <w:sz w:val="24"/>
                <w:highlight w:val="none"/>
              </w:rPr>
            </w:pPr>
          </w:p>
        </w:tc>
        <w:tc>
          <w:tcPr>
            <w:tcW w:w="377" w:type="pct"/>
            <w:noWrap w:val="0"/>
            <w:vAlign w:val="top"/>
          </w:tcPr>
          <w:p>
            <w:pPr>
              <w:spacing w:line="20" w:lineRule="atLeast"/>
              <w:rPr>
                <w:rFonts w:hint="eastAsia" w:ascii="仿宋" w:hAnsi="仿宋" w:eastAsia="仿宋" w:cs="仿宋"/>
                <w:color w:val="auto"/>
                <w:sz w:val="24"/>
                <w:highlight w:val="none"/>
              </w:rPr>
            </w:pPr>
          </w:p>
        </w:tc>
        <w:tc>
          <w:tcPr>
            <w:tcW w:w="418" w:type="pct"/>
            <w:noWrap w:val="0"/>
            <w:vAlign w:val="top"/>
          </w:tcPr>
          <w:p>
            <w:pPr>
              <w:spacing w:line="20" w:lineRule="atLeast"/>
              <w:rPr>
                <w:rFonts w:hint="eastAsia" w:ascii="仿宋" w:hAnsi="仿宋" w:eastAsia="仿宋" w:cs="仿宋"/>
                <w:color w:val="auto"/>
                <w:sz w:val="24"/>
                <w:highlight w:val="none"/>
              </w:rPr>
            </w:pPr>
          </w:p>
        </w:tc>
        <w:tc>
          <w:tcPr>
            <w:tcW w:w="334" w:type="pct"/>
            <w:noWrap w:val="0"/>
            <w:vAlign w:val="top"/>
          </w:tcPr>
          <w:p>
            <w:pPr>
              <w:spacing w:line="20" w:lineRule="atLeast"/>
              <w:rPr>
                <w:rFonts w:hint="eastAsia" w:ascii="仿宋" w:hAnsi="仿宋" w:eastAsia="仿宋" w:cs="仿宋"/>
                <w:color w:val="auto"/>
                <w:sz w:val="24"/>
                <w:highlight w:val="none"/>
              </w:rPr>
            </w:pPr>
          </w:p>
        </w:tc>
        <w:tc>
          <w:tcPr>
            <w:tcW w:w="687" w:type="pct"/>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c>
          <w:tcPr>
            <w:tcW w:w="519" w:type="pct"/>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1552" w:type="pct"/>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821" w:type="pct"/>
            <w:noWrap w:val="0"/>
            <w:vAlign w:val="top"/>
          </w:tcPr>
          <w:p>
            <w:pPr>
              <w:spacing w:line="20" w:lineRule="atLeast"/>
              <w:rPr>
                <w:rFonts w:hint="eastAsia" w:ascii="仿宋" w:hAnsi="仿宋" w:eastAsia="仿宋" w:cs="仿宋"/>
                <w:color w:val="auto"/>
                <w:sz w:val="24"/>
                <w:highlight w:val="none"/>
              </w:rPr>
            </w:pPr>
          </w:p>
        </w:tc>
        <w:tc>
          <w:tcPr>
            <w:tcW w:w="377" w:type="pct"/>
            <w:noWrap w:val="0"/>
            <w:vAlign w:val="top"/>
          </w:tcPr>
          <w:p>
            <w:pPr>
              <w:spacing w:line="20" w:lineRule="atLeast"/>
              <w:rPr>
                <w:rFonts w:hint="eastAsia" w:ascii="仿宋" w:hAnsi="仿宋" w:eastAsia="仿宋" w:cs="仿宋"/>
                <w:color w:val="auto"/>
                <w:sz w:val="24"/>
                <w:highlight w:val="none"/>
              </w:rPr>
            </w:pPr>
          </w:p>
        </w:tc>
        <w:tc>
          <w:tcPr>
            <w:tcW w:w="418" w:type="pct"/>
            <w:noWrap w:val="0"/>
            <w:vAlign w:val="top"/>
          </w:tcPr>
          <w:p>
            <w:pPr>
              <w:spacing w:line="20" w:lineRule="atLeast"/>
              <w:rPr>
                <w:rFonts w:hint="eastAsia" w:ascii="仿宋" w:hAnsi="仿宋" w:eastAsia="仿宋" w:cs="仿宋"/>
                <w:color w:val="auto"/>
                <w:sz w:val="24"/>
                <w:highlight w:val="none"/>
              </w:rPr>
            </w:pPr>
          </w:p>
        </w:tc>
        <w:tc>
          <w:tcPr>
            <w:tcW w:w="334" w:type="pct"/>
            <w:noWrap w:val="0"/>
            <w:vAlign w:val="top"/>
          </w:tcPr>
          <w:p>
            <w:pPr>
              <w:spacing w:line="20" w:lineRule="atLeast"/>
              <w:rPr>
                <w:rFonts w:hint="eastAsia" w:ascii="仿宋" w:hAnsi="仿宋" w:eastAsia="仿宋" w:cs="仿宋"/>
                <w:color w:val="auto"/>
                <w:sz w:val="24"/>
                <w:highlight w:val="none"/>
              </w:rPr>
            </w:pPr>
          </w:p>
        </w:tc>
        <w:tc>
          <w:tcPr>
            <w:tcW w:w="687" w:type="pct"/>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spacing w:line="20" w:lineRule="atLeast"/>
              <w:jc w:val="center"/>
              <w:rPr>
                <w:rFonts w:hint="eastAsia" w:ascii="仿宋" w:hAnsi="仿宋" w:eastAsia="仿宋" w:cs="仿宋"/>
                <w:color w:val="auto"/>
                <w:szCs w:val="21"/>
                <w:highlight w:val="none"/>
                <w:lang w:val="en-US" w:eastAsia="zh-CN"/>
              </w:rPr>
            </w:pPr>
          </w:p>
        </w:tc>
        <w:tc>
          <w:tcPr>
            <w:tcW w:w="519" w:type="pct"/>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1552" w:type="pct"/>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821" w:type="pct"/>
            <w:noWrap w:val="0"/>
            <w:vAlign w:val="top"/>
          </w:tcPr>
          <w:p>
            <w:pPr>
              <w:spacing w:line="20" w:lineRule="atLeast"/>
              <w:rPr>
                <w:rFonts w:hint="eastAsia" w:ascii="仿宋" w:hAnsi="仿宋" w:eastAsia="仿宋" w:cs="仿宋"/>
                <w:color w:val="auto"/>
                <w:sz w:val="24"/>
                <w:highlight w:val="none"/>
              </w:rPr>
            </w:pPr>
          </w:p>
        </w:tc>
        <w:tc>
          <w:tcPr>
            <w:tcW w:w="377" w:type="pct"/>
            <w:noWrap w:val="0"/>
            <w:vAlign w:val="top"/>
          </w:tcPr>
          <w:p>
            <w:pPr>
              <w:spacing w:line="20" w:lineRule="atLeast"/>
              <w:rPr>
                <w:rFonts w:hint="eastAsia" w:ascii="仿宋" w:hAnsi="仿宋" w:eastAsia="仿宋" w:cs="仿宋"/>
                <w:color w:val="auto"/>
                <w:sz w:val="24"/>
                <w:highlight w:val="none"/>
              </w:rPr>
            </w:pPr>
          </w:p>
        </w:tc>
        <w:tc>
          <w:tcPr>
            <w:tcW w:w="418" w:type="pct"/>
            <w:noWrap w:val="0"/>
            <w:vAlign w:val="top"/>
          </w:tcPr>
          <w:p>
            <w:pPr>
              <w:spacing w:line="20" w:lineRule="atLeast"/>
              <w:rPr>
                <w:rFonts w:hint="eastAsia" w:ascii="仿宋" w:hAnsi="仿宋" w:eastAsia="仿宋" w:cs="仿宋"/>
                <w:color w:val="auto"/>
                <w:sz w:val="24"/>
                <w:highlight w:val="none"/>
              </w:rPr>
            </w:pPr>
          </w:p>
        </w:tc>
        <w:tc>
          <w:tcPr>
            <w:tcW w:w="334" w:type="pct"/>
            <w:noWrap w:val="0"/>
            <w:vAlign w:val="top"/>
          </w:tcPr>
          <w:p>
            <w:pPr>
              <w:spacing w:line="20" w:lineRule="atLeast"/>
              <w:rPr>
                <w:rFonts w:hint="eastAsia" w:ascii="仿宋" w:hAnsi="仿宋" w:eastAsia="仿宋" w:cs="仿宋"/>
                <w:color w:val="auto"/>
                <w:sz w:val="24"/>
                <w:highlight w:val="none"/>
              </w:rPr>
            </w:pPr>
          </w:p>
        </w:tc>
        <w:tc>
          <w:tcPr>
            <w:tcW w:w="687" w:type="pct"/>
            <w:noWrap w:val="0"/>
            <w:vAlign w:val="top"/>
          </w:tcPr>
          <w:p>
            <w:pPr>
              <w:spacing w:line="20" w:lineRule="atLeast"/>
              <w:rPr>
                <w:rFonts w:hint="eastAsia" w:ascii="仿宋" w:hAnsi="仿宋" w:eastAsia="仿宋" w:cs="仿宋"/>
                <w:color w:val="auto"/>
                <w:sz w:val="24"/>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注：1.响应供应商必须对应比选文件中</w:t>
      </w:r>
      <w:r>
        <w:rPr>
          <w:rFonts w:ascii="仿宋" w:hAnsi="仿宋" w:eastAsia="仿宋" w:cs="仿宋"/>
          <w:color w:val="auto"/>
          <w:sz w:val="24"/>
          <w:highlight w:val="none"/>
        </w:rPr>
        <w:t>的</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服务要求</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的内容逐条响应。</w:t>
      </w:r>
      <w:r>
        <w:rPr>
          <w:rFonts w:hint="eastAsia" w:ascii="仿宋" w:hAnsi="仿宋" w:eastAsia="仿宋" w:cs="仿宋"/>
          <w:b/>
          <w:bCs/>
          <w:color w:val="auto"/>
          <w:sz w:val="24"/>
          <w:highlight w:val="none"/>
        </w:rPr>
        <w:t>如有缺漏项视同不符合对应服务要求</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GB"/>
        </w:rPr>
        <w:t>响应供应商请在“是否响应”栏内填“是”或“否”（不得空白，空白视为“否”），并对照偏离情况请在“偏离说明”栏内扼要说明偏离情况，不响应视为负偏离。服务要求必须按照比选文件的，不得</w:t>
      </w:r>
      <w:r>
        <w:rPr>
          <w:rFonts w:hint="eastAsia" w:ascii="仿宋" w:hAnsi="仿宋" w:eastAsia="仿宋" w:cs="仿宋"/>
          <w:color w:val="auto"/>
          <w:sz w:val="24"/>
          <w:highlight w:val="none"/>
          <w:lang w:val="en-GB" w:eastAsia="zh-CN"/>
        </w:rPr>
        <w:t>做</w:t>
      </w:r>
      <w:r>
        <w:rPr>
          <w:rFonts w:hint="eastAsia" w:ascii="仿宋" w:hAnsi="仿宋" w:eastAsia="仿宋" w:cs="仿宋"/>
          <w:color w:val="auto"/>
          <w:sz w:val="24"/>
          <w:highlight w:val="none"/>
          <w:lang w:val="en-GB"/>
        </w:rPr>
        <w:t>任何更改。否则视为不符合响应要求。</w:t>
      </w: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GB"/>
        </w:rPr>
        <w:t>2.</w:t>
      </w:r>
      <w:r>
        <w:rPr>
          <w:rFonts w:hint="eastAsia" w:ascii="仿宋" w:hAnsi="仿宋" w:eastAsia="仿宋" w:cs="仿宋"/>
          <w:color w:val="auto"/>
          <w:sz w:val="24"/>
          <w:highlight w:val="none"/>
        </w:rPr>
        <w:t>响应供应商响应采购需求应具体、明确，含糊不清、不确切或伪造、变造证明材料的，按照不完全响应或者完全不响应处理。</w:t>
      </w:r>
    </w:p>
    <w:p>
      <w:pPr>
        <w:adjustRightInd w:val="0"/>
        <w:snapToGrid w:val="0"/>
        <w:spacing w:line="300" w:lineRule="auto"/>
        <w:rPr>
          <w:rFonts w:ascii="仿宋" w:hAnsi="仿宋" w:eastAsia="仿宋" w:cs="仿宋"/>
          <w:b/>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rPr>
          <w:rFonts w:hint="eastAsia" w:ascii="仿宋" w:hAnsi="仿宋" w:eastAsia="仿宋" w:cs="仿宋"/>
          <w:color w:val="auto"/>
          <w:sz w:val="24"/>
          <w:highlight w:val="none"/>
        </w:rPr>
      </w:pPr>
    </w:p>
    <w:p>
      <w:pPr>
        <w:pStyle w:val="7"/>
        <w:rPr>
          <w:rFonts w:hint="eastAsia" w:ascii="仿宋" w:hAnsi="仿宋" w:eastAsia="仿宋" w:cs="仿宋"/>
          <w:color w:val="auto"/>
          <w:sz w:val="24"/>
          <w:highlight w:val="none"/>
        </w:rPr>
      </w:pPr>
    </w:p>
    <w:p>
      <w:pP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br w:type="page"/>
      </w:r>
      <w:r>
        <w:rPr>
          <w:rFonts w:hint="eastAsia" w:ascii="仿宋" w:hAnsi="仿宋" w:eastAsia="仿宋" w:cs="仿宋"/>
          <w:b/>
          <w:bCs/>
          <w:color w:val="auto"/>
          <w:kern w:val="2"/>
          <w:sz w:val="28"/>
          <w:szCs w:val="28"/>
          <w:highlight w:val="none"/>
          <w:lang w:val="en-US" w:eastAsia="zh-CN" w:bidi="ar-SA"/>
        </w:rPr>
        <w:t>6.价格部分</w:t>
      </w:r>
    </w:p>
    <w:p>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报价单</w:t>
      </w:r>
    </w:p>
    <w:p>
      <w:pPr>
        <w:rPr>
          <w:rFonts w:hint="eastAsia" w:ascii="仿宋" w:hAnsi="仿宋" w:eastAsia="仿宋" w:cs="仿宋"/>
          <w:color w:val="auto"/>
          <w:spacing w:val="20"/>
          <w:szCs w:val="21"/>
          <w:highlight w:val="none"/>
        </w:rPr>
      </w:pPr>
    </w:p>
    <w:tbl>
      <w:tblPr>
        <w:tblStyle w:val="14"/>
        <w:tblW w:w="4998"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800"/>
        <w:gridCol w:w="1080"/>
        <w:gridCol w:w="1452"/>
        <w:gridCol w:w="1806"/>
        <w:gridCol w:w="138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42" w:hRule="atLeast"/>
          <w:jc w:val="center"/>
        </w:trPr>
        <w:tc>
          <w:tcPr>
            <w:tcW w:w="1643" w:type="pct"/>
            <w:noWrap w:val="0"/>
            <w:vAlign w:val="center"/>
          </w:tcPr>
          <w:p>
            <w:pPr>
              <w:pStyle w:val="13"/>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项目名称</w:t>
            </w:r>
          </w:p>
        </w:tc>
        <w:tc>
          <w:tcPr>
            <w:tcW w:w="633" w:type="pct"/>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单位</w:t>
            </w:r>
          </w:p>
        </w:tc>
        <w:tc>
          <w:tcPr>
            <w:tcW w:w="852" w:type="pct"/>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数量</w:t>
            </w:r>
          </w:p>
        </w:tc>
        <w:tc>
          <w:tcPr>
            <w:tcW w:w="1060" w:type="pct"/>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金额</w:t>
            </w:r>
            <w:r>
              <w:rPr>
                <w:rFonts w:hint="eastAsia" w:ascii="仿宋" w:hAnsi="仿宋" w:eastAsia="仿宋" w:cs="仿宋"/>
                <w:color w:val="auto"/>
                <w:kern w:val="0"/>
                <w:sz w:val="24"/>
                <w:highlight w:val="none"/>
                <w:lang w:val="en-US" w:eastAsia="zh-CN"/>
              </w:rPr>
              <w:t>（元）</w:t>
            </w:r>
          </w:p>
        </w:tc>
        <w:tc>
          <w:tcPr>
            <w:tcW w:w="809" w:type="pct"/>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0" w:hRule="atLeast"/>
          <w:jc w:val="center"/>
        </w:trPr>
        <w:tc>
          <w:tcPr>
            <w:tcW w:w="1643" w:type="pct"/>
            <w:noWrap w:val="0"/>
            <w:vAlign w:val="center"/>
          </w:tcPr>
          <w:p>
            <w:pPr>
              <w:pStyle w:val="13"/>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学龄前儿童持续性注意力测评及3-6岁儿童执行功能软件</w:t>
            </w:r>
          </w:p>
        </w:tc>
        <w:tc>
          <w:tcPr>
            <w:tcW w:w="633" w:type="pct"/>
            <w:noWrap w:val="0"/>
            <w:vAlign w:val="center"/>
          </w:tcPr>
          <w:p>
            <w:pPr>
              <w:pStyle w:val="13"/>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w:t>
            </w:r>
          </w:p>
        </w:tc>
        <w:tc>
          <w:tcPr>
            <w:tcW w:w="852" w:type="pct"/>
            <w:noWrap w:val="0"/>
            <w:vAlign w:val="center"/>
          </w:tcPr>
          <w:p>
            <w:pPr>
              <w:pStyle w:val="13"/>
              <w:ind w:left="0" w:leftChars="0" w:right="0" w:rightChars="0" w:firstLine="0" w:firstLineChars="0"/>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p>
        </w:tc>
        <w:tc>
          <w:tcPr>
            <w:tcW w:w="1060" w:type="pct"/>
            <w:noWrap w:val="0"/>
            <w:vAlign w:val="center"/>
          </w:tcPr>
          <w:p>
            <w:pPr>
              <w:pStyle w:val="13"/>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p>
        </w:tc>
        <w:tc>
          <w:tcPr>
            <w:tcW w:w="809" w:type="pct"/>
            <w:noWrap w:val="0"/>
            <w:vAlign w:val="center"/>
          </w:tcPr>
          <w:p>
            <w:pPr>
              <w:pStyle w:val="13"/>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0" w:hRule="atLeast"/>
          <w:jc w:val="center"/>
        </w:trPr>
        <w:tc>
          <w:tcPr>
            <w:tcW w:w="2277" w:type="pct"/>
            <w:gridSpan w:val="2"/>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rPr>
            </w:pPr>
            <w:r>
              <w:rPr>
                <w:rFonts w:hint="eastAsia" w:ascii="仿宋" w:hAnsi="仿宋" w:eastAsia="仿宋" w:cs="仿宋"/>
                <w:color w:val="auto"/>
                <w:spacing w:val="20"/>
                <w:sz w:val="24"/>
                <w:szCs w:val="24"/>
                <w:highlight w:val="none"/>
                <w:lang w:eastAsia="zh-CN"/>
              </w:rPr>
              <w:t>合计（元）</w:t>
            </w:r>
          </w:p>
        </w:tc>
        <w:tc>
          <w:tcPr>
            <w:tcW w:w="2722" w:type="pct"/>
            <w:gridSpan w:val="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20"/>
                <w:szCs w:val="21"/>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备注：报价内容均涵盖报价要求之一切费用和伴随服务及税金等其他所有费用。</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名称（盖章）：</w:t>
      </w:r>
      <w:r>
        <w:rPr>
          <w:rFonts w:hint="eastAsia" w:ascii="仿宋" w:hAnsi="仿宋" w:eastAsia="仿宋" w:cs="仿宋"/>
          <w:color w:val="auto"/>
          <w:sz w:val="24"/>
          <w:highlight w:val="none"/>
          <w:u w:val="single"/>
        </w:rPr>
        <w:t xml:space="preserve">                        </w:t>
      </w:r>
    </w:p>
    <w:p>
      <w:r>
        <w:rPr>
          <w:rFonts w:hint="eastAsia" w:ascii="仿宋" w:hAnsi="仿宋" w:eastAsia="仿宋" w:cs="仿宋"/>
          <w:color w:val="auto"/>
          <w:sz w:val="24"/>
          <w:highlight w:val="none"/>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87F4EF8-23A4-49D4-8BD9-BB5294283547}"/>
  </w:font>
  <w:font w:name="黑体">
    <w:panose1 w:val="02010609060101010101"/>
    <w:charset w:val="86"/>
    <w:family w:val="auto"/>
    <w:pitch w:val="default"/>
    <w:sig w:usb0="800002BF" w:usb1="38CF7CFA" w:usb2="00000016" w:usb3="00000000" w:csb0="00040001" w:csb1="00000000"/>
    <w:embedRegular r:id="rId2" w:fontKey="{C7BF400D-BC03-4FE8-B7D2-7858B6F3857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E7CA2B07-379F-429F-8A58-E99652E698BF}"/>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embedRegular r:id="rId4" w:fontKey="{CE714193-CF76-4771-BF65-762BBDBFDB3C}"/>
  </w:font>
  <w:font w:name="仿宋">
    <w:panose1 w:val="02010609060101010101"/>
    <w:charset w:val="86"/>
    <w:family w:val="modern"/>
    <w:pitch w:val="default"/>
    <w:sig w:usb0="800002BF" w:usb1="38CF7CFA" w:usb2="00000016" w:usb3="00000000" w:csb0="00040001" w:csb1="00000000"/>
    <w:embedRegular r:id="rId5" w:fontKey="{B45999FF-753B-4AEC-9149-BF0DAA385AE7}"/>
  </w:font>
  <w:font w:name="方正仿宋_GBK">
    <w:panose1 w:val="02000000000000000000"/>
    <w:charset w:val="86"/>
    <w:family w:val="auto"/>
    <w:pitch w:val="default"/>
    <w:sig w:usb0="A00002BF" w:usb1="38CF7CFA" w:usb2="00082016" w:usb3="00000000" w:csb0="00040001" w:csb1="00000000"/>
    <w:embedRegular r:id="rId6" w:fontKey="{93D5CFB8-7A37-408F-A91D-1279F264A678}"/>
  </w:font>
  <w:font w:name="FangSong_GB2312-Identity-H">
    <w:altName w:val="宋体"/>
    <w:panose1 w:val="00000000000000000000"/>
    <w:charset w:val="86"/>
    <w:family w:val="auto"/>
    <w:pitch w:val="default"/>
    <w:sig w:usb0="00000000" w:usb1="00000000" w:usb2="00000010" w:usb3="00000000" w:csb0="00040000" w:csb1="00000000"/>
    <w:embedRegular r:id="rId7" w:fontKey="{2B2749AA-C027-44C8-A665-E918A779FBAB}"/>
  </w:font>
  <w:font w:name="仿宋_GB2312">
    <w:altName w:val="仿宋"/>
    <w:panose1 w:val="02010609030101010101"/>
    <w:charset w:val="86"/>
    <w:family w:val="modern"/>
    <w:pitch w:val="default"/>
    <w:sig w:usb0="00000000" w:usb1="00000000" w:usb2="00000000" w:usb3="00000000" w:csb0="00040000" w:csb1="00000000"/>
    <w:embedRegular r:id="rId8" w:fontKey="{4FC0039E-829D-43AA-893B-486035460879}"/>
  </w:font>
  <w:font w:name="Wingdings 2">
    <w:panose1 w:val="05020102010507070707"/>
    <w:charset w:val="02"/>
    <w:family w:val="auto"/>
    <w:pitch w:val="default"/>
    <w:sig w:usb0="00000000" w:usb1="00000000" w:usb2="00000000" w:usb3="00000000" w:csb0="80000000" w:csb1="00000000"/>
    <w:embedRegular r:id="rId9" w:fontKey="{E3BE9AF8-365A-42A2-9331-5BE7A12E6E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69GPs5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69GPs5AgAAcQQAAA4AAAAAAAAAAQAgAAAAHwEAAGRycy9lMm9Eb2Mu&#10;eG1sUEsFBgAAAAAGAAYAWQEAAMoFA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1rxzQ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0NG6+lB1&#10;DzCHloWdfrA8polSebs+BkibFI8CdaqgU/GASUw967cmjvqf5xT1+E+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WvHNDgCAABxBAAADgAAAAAAAAABACAAAAAfAQAAZHJzL2Uyb0RvYy54&#10;bWxQSwUGAAAAAAYABgBZAQAAyQU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4OWU2N2VjMjc4MGJkMTk3MDU2MDNlOGQ2YTZlN2MifQ=="/>
  </w:docVars>
  <w:rsids>
    <w:rsidRoot w:val="00000000"/>
    <w:rsid w:val="27EE6148"/>
    <w:rsid w:val="3F110A54"/>
    <w:rsid w:val="462151D2"/>
    <w:rsid w:val="47885EF2"/>
    <w:rsid w:val="48F66AF6"/>
    <w:rsid w:val="4E282247"/>
    <w:rsid w:val="6F013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caption"/>
    <w:basedOn w:val="1"/>
    <w:next w:val="1"/>
    <w:qFormat/>
    <w:uiPriority w:val="0"/>
    <w:rPr>
      <w:rFonts w:ascii="Cambria" w:hAnsi="Cambria" w:eastAsia="黑体" w:cs="Times New Roman"/>
      <w:sz w:val="20"/>
      <w:szCs w:val="20"/>
    </w:rPr>
  </w:style>
  <w:style w:type="paragraph" w:styleId="5">
    <w:name w:val="annotation text"/>
    <w:basedOn w:val="1"/>
    <w:qFormat/>
    <w:uiPriority w:val="0"/>
    <w:pPr>
      <w:jc w:val="left"/>
    </w:pPr>
  </w:style>
  <w:style w:type="paragraph" w:styleId="6">
    <w:name w:val="Body Text 3"/>
    <w:basedOn w:val="1"/>
    <w:qFormat/>
    <w:uiPriority w:val="0"/>
    <w:pPr>
      <w:spacing w:after="120"/>
    </w:pPr>
    <w:rPr>
      <w:sz w:val="16"/>
      <w:szCs w:val="16"/>
    </w:rPr>
  </w:style>
  <w:style w:type="paragraph" w:styleId="7">
    <w:name w:val="Body Text"/>
    <w:basedOn w:val="1"/>
    <w:next w:val="1"/>
    <w:qFormat/>
    <w:uiPriority w:val="0"/>
    <w:pPr>
      <w:spacing w:after="120"/>
    </w:pPr>
  </w:style>
  <w:style w:type="paragraph" w:styleId="8">
    <w:name w:val="List 2"/>
    <w:basedOn w:val="1"/>
    <w:qFormat/>
    <w:uiPriority w:val="0"/>
    <w:pPr>
      <w:ind w:left="100" w:leftChars="200" w:hanging="200" w:hangingChars="200"/>
    </w:pPr>
  </w:style>
  <w:style w:type="paragraph" w:styleId="9">
    <w:name w:val="Plain Text"/>
    <w:basedOn w:val="1"/>
    <w:qFormat/>
    <w:uiPriority w:val="0"/>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qFormat/>
    <w:uiPriority w:val="0"/>
  </w:style>
  <w:style w:type="paragraph" w:styleId="13">
    <w:name w:val="List"/>
    <w:basedOn w:val="1"/>
    <w:qFormat/>
    <w:uiPriority w:val="0"/>
    <w:pPr>
      <w:ind w:firstLine="0" w:firstLineChars="0"/>
      <w:contextualSpacing/>
    </w:pPr>
  </w:style>
  <w:style w:type="paragraph" w:customStyle="1" w:styleId="16">
    <w:name w:val="样式 样式 左侧:  2 字符 + 左侧:  0.85 厘米 首行缩进:  2 字符1"/>
    <w:qFormat/>
    <w:uiPriority w:val="0"/>
    <w:pPr>
      <w:widowControl w:val="0"/>
      <w:ind w:left="482" w:firstLine="200" w:firstLineChars="200"/>
      <w:jc w:val="both"/>
    </w:pPr>
    <w:rPr>
      <w:rFonts w:ascii="Times New Roman" w:hAnsi="Times New Roman" w:eastAsia="宋体" w:cs="宋体"/>
      <w:kern w:val="2"/>
      <w:sz w:val="21"/>
      <w:szCs w:val="24"/>
      <w:lang w:val="en-US" w:eastAsia="zh-CN" w:bidi="ar-SA"/>
    </w:rPr>
  </w:style>
  <w:style w:type="paragraph" w:customStyle="1" w:styleId="17">
    <w:name w:val="列出段落1"/>
    <w:basedOn w:val="1"/>
    <w:qFormat/>
    <w:uiPriority w:val="0"/>
    <w:pPr>
      <w:ind w:firstLine="420" w:firstLineChars="200"/>
    </w:pPr>
    <w:rPr>
      <w:rFonts w:ascii="Calibri" w:hAnsi="Calibri" w:eastAsia="宋体" w:cs="Times New Roman"/>
    </w:rPr>
  </w:style>
  <w:style w:type="paragraph" w:customStyle="1" w:styleId="18">
    <w:name w:val="No Spacing1"/>
    <w:qFormat/>
    <w:uiPriority w:val="0"/>
    <w:pPr>
      <w:adjustRightInd w:val="0"/>
      <w:snapToGrid w:val="0"/>
    </w:pPr>
    <w:rPr>
      <w:rFonts w:ascii="Tahoma" w:hAnsi="Tahoma" w:eastAsia="微软雅黑" w:cs="Tahoma"/>
      <w:sz w:val="22"/>
      <w:szCs w:val="22"/>
      <w:lang w:val="en-US" w:eastAsia="zh-CN" w:bidi="ar-SA"/>
    </w:rPr>
  </w:style>
  <w:style w:type="paragraph" w:customStyle="1" w:styleId="19">
    <w:name w:val="null3"/>
    <w:qFormat/>
    <w:uiPriority w:val="0"/>
    <w:rPr>
      <w:rFonts w:hint="eastAsia" w:ascii="Calibri" w:hAnsi="Calibri" w:eastAsia="宋体" w:cs="Times New Roman"/>
      <w:lang w:val="en-US" w:eastAsia="zh-Hans"/>
    </w:rPr>
  </w:style>
  <w:style w:type="paragraph" w:customStyle="1" w:styleId="2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1">
    <w:name w:val="题注4"/>
    <w:basedOn w:val="1"/>
    <w:next w:val="4"/>
    <w:qFormat/>
    <w:uiPriority w:val="0"/>
    <w:pPr>
      <w:ind w:left="-132" w:leftChars="-64" w:right="-105" w:rightChars="-50" w:hanging="2"/>
      <w:jc w:val="center"/>
    </w:pPr>
    <w:rPr>
      <w:b/>
      <w:color w:val="FF0000"/>
      <w:szCs w:val="21"/>
      <w:lang w:val="en-G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31546</Words>
  <Characters>32723</Characters>
  <Lines>0</Lines>
  <Paragraphs>0</Paragraphs>
  <TotalTime>0</TotalTime>
  <ScaleCrop>false</ScaleCrop>
  <LinksUpToDate>false</LinksUpToDate>
  <CharactersWithSpaces>34640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2025-12-17T07:10:00Z</dcterms:created>
  <dc:creator>Administrator.FY-202211141507</dc:creator>
  <cp:lastModifiedBy>Shadowfang</cp:lastModifiedBy>
  <dcterms:modified xsi:type="dcterms:W3CDTF">2025-12-18T02:03:26Z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9C7EADBB0DD647D58F0FA954EB88A572_12</vt:lpwstr>
  </property>
</Properties>
</file>