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ZCB-YN-2024001</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lang w:val="en-US" w:eastAsia="zh-CN"/>
        </w:rPr>
        <w:t>2024年</w:t>
      </w:r>
      <w:r>
        <w:rPr>
          <w:rFonts w:hint="eastAsia" w:ascii="仿宋" w:hAnsi="仿宋" w:eastAsia="仿宋" w:cs="仿宋"/>
          <w:b/>
          <w:color w:val="auto"/>
          <w:sz w:val="28"/>
          <w:szCs w:val="28"/>
          <w:highlight w:val="none"/>
        </w:rPr>
        <w:t>招标采购代理机构服务</w:t>
      </w: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hint="eastAsia" w:ascii="仿宋" w:hAnsi="仿宋" w:eastAsia="仿宋" w:cs="仿宋"/>
          <w:b/>
          <w:bCs/>
          <w:color w:val="auto"/>
          <w:sz w:val="52"/>
          <w:szCs w:val="52"/>
          <w:highlight w:val="none"/>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eastAsia="zh-CN"/>
        </w:rPr>
        <w:t>一</w:t>
      </w:r>
      <w:r>
        <w:rPr>
          <w:rFonts w:hint="eastAsia" w:ascii="仿宋" w:hAnsi="仿宋" w:eastAsia="仿宋" w:cs="仿宋"/>
          <w:b/>
          <w:snapToGrid w:val="0"/>
          <w:color w:val="auto"/>
          <w:kern w:val="0"/>
          <w:sz w:val="28"/>
          <w:szCs w:val="28"/>
          <w:highlight w:val="none"/>
        </w:rPr>
        <w:t>月</w:t>
      </w:r>
    </w:p>
    <w:p>
      <w:pPr>
        <w:jc w:val="center"/>
        <w:rPr>
          <w:rFonts w:hint="eastAsia" w:ascii="仿宋" w:hAnsi="仿宋" w:eastAsia="仿宋" w:cs="仿宋"/>
          <w:b/>
          <w:bCs/>
          <w:caps/>
          <w:color w:val="auto"/>
          <w:sz w:val="28"/>
          <w:szCs w:val="28"/>
          <w:highlight w:val="none"/>
        </w:rPr>
      </w:pPr>
      <w:r>
        <w:rPr>
          <w:rFonts w:hint="eastAsia" w:ascii="仿宋" w:hAnsi="仿宋" w:eastAsia="仿宋" w:cs="仿宋"/>
          <w:b/>
          <w:bCs/>
          <w:color w:val="auto"/>
          <w:sz w:val="52"/>
          <w:szCs w:val="52"/>
          <w:highlight w:val="none"/>
        </w:rPr>
        <w:t>目      录</w:t>
      </w:r>
      <w:r>
        <w:rPr>
          <w:rFonts w:hint="eastAsia" w:ascii="仿宋" w:hAnsi="仿宋" w:eastAsia="仿宋" w:cs="仿宋"/>
          <w:b/>
          <w:bCs/>
          <w:caps/>
          <w:color w:val="auto"/>
          <w:sz w:val="52"/>
          <w:szCs w:val="52"/>
          <w:highlight w:val="none"/>
        </w:rPr>
        <w:br w:type="textWrapping"/>
      </w: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惠州市第一妇幼保健院2024年招标采购代理机构服务</w:t>
      </w:r>
      <w:r>
        <w:rPr>
          <w:rFonts w:hint="eastAsia" w:ascii="仿宋" w:hAnsi="仿宋" w:eastAsia="仿宋" w:cs="仿宋"/>
          <w:color w:val="auto"/>
          <w:sz w:val="24"/>
          <w:highlight w:val="none"/>
        </w:rPr>
        <w:t>项目将进行院内比选采购，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ZCB-YN-202400</w:t>
      </w:r>
      <w:r>
        <w:rPr>
          <w:rFonts w:hint="eastAsia" w:ascii="仿宋" w:hAnsi="仿宋" w:eastAsia="仿宋" w:cs="仿宋"/>
          <w:color w:val="auto"/>
          <w:sz w:val="24"/>
          <w:highlight w:val="none"/>
          <w:lang w:val="en-US" w:eastAsia="zh-CN"/>
        </w:rPr>
        <w:t>1</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惠州市第一妇幼保健院2024年</w:t>
      </w:r>
      <w:r>
        <w:rPr>
          <w:rFonts w:hint="eastAsia" w:ascii="仿宋" w:hAnsi="仿宋" w:eastAsia="仿宋" w:cs="仿宋"/>
          <w:color w:val="auto"/>
          <w:sz w:val="24"/>
          <w:highlight w:val="none"/>
        </w:rPr>
        <w:t>招标采购代理机构服务项目</w:t>
      </w:r>
    </w:p>
    <w:p>
      <w:pPr>
        <w:spacing w:line="420" w:lineRule="exact"/>
        <w:ind w:firstLine="504" w:firstLineChars="21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三、项目内容：选取</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家招标采购代理机构（服务期为</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年）</w:t>
      </w: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（上午08:00-12:00，下午14:30-17:30，法定节假日除外）</w:t>
      </w:r>
      <w:r>
        <w:rPr>
          <w:rFonts w:hint="eastAsia" w:ascii="仿宋" w:hAnsi="仿宋" w:eastAsia="仿宋" w:cs="仿宋"/>
          <w:color w:val="auto"/>
          <w:kern w:val="0"/>
          <w:sz w:val="24"/>
          <w:highlight w:val="none"/>
        </w:rPr>
        <w:t>通过惠州市第一妇幼保健院招标采购办邮箱报名。招标采购办邮箱：dyfyzcb@huizhou.gov.cn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 xml:space="preserve">。 </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李女士</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 必须具有良好的商业信誉和健全的财务会计制度（提供 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年至202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年度任意一年的年度财务报告（新成立公司提供成立至今的月或季度财务报表复印件)或银行出具的资信证明）</w:t>
      </w:r>
      <w:r>
        <w:rPr>
          <w:rFonts w:hint="eastAsia" w:ascii="仿宋" w:hAnsi="仿宋" w:eastAsia="仿宋" w:cs="仿宋"/>
          <w:color w:val="auto"/>
          <w:sz w:val="24"/>
          <w:highlight w:val="none"/>
          <w:lang w:val="en-US" w:eastAsia="zh-CN"/>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具有广东政府采购智慧云平台、国家住建部全国建筑市场监管公共服务平台、中正国标中易电子交易平台的注册或备案证明（提供查询或操作截图）</w:t>
      </w:r>
      <w:r>
        <w:rPr>
          <w:rFonts w:hint="eastAsia" w:ascii="仿宋" w:hAnsi="仿宋" w:eastAsia="仿宋" w:cs="仿宋"/>
          <w:color w:val="auto"/>
          <w:sz w:val="24"/>
          <w:highlight w:val="none"/>
          <w:lang w:eastAsia="zh-CN"/>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本项目不接受联合体参加比选，不允许响应供应商对各比选项目进行分包或转包(供应商出具声明函)；</w:t>
      </w:r>
    </w:p>
    <w:p>
      <w:pPr>
        <w:spacing w:line="360" w:lineRule="auto"/>
        <w:ind w:firstLine="480" w:firstLineChars="200"/>
        <w:rPr>
          <w:rFonts w:hint="eastAsia"/>
          <w:color w:val="auto"/>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color w:val="auto"/>
          <w:sz w:val="24"/>
          <w:highlight w:val="none"/>
          <w:u w:val="none" w:color="auto"/>
        </w:rPr>
        <w:t>1、</w:t>
      </w:r>
      <w:r>
        <w:rPr>
          <w:rFonts w:hint="eastAsia" w:ascii="仿宋" w:hAnsi="仿宋" w:eastAsia="仿宋" w:cs="仿宋"/>
          <w:b/>
          <w:bCs/>
          <w:color w:val="auto"/>
          <w:sz w:val="24"/>
          <w:highlight w:val="none"/>
          <w:u w:val="none" w:color="auto"/>
        </w:rPr>
        <w:t>本采购项目中标注★号的内容为实质性要求和条件，如响应供应商所响应货物、服务与具体要求存在负偏离，</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小组在符合性审查时将不予通过，确定为响应无效。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所有</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必须严格按照响应文件的内容进行填写，如不能填写请提供说明。</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none" w:color="auto"/>
          <w:lang w:val="en-US" w:eastAsia="zh-CN"/>
        </w:rPr>
        <w:t>2</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rPr>
        <w:t>本采购项目中标注</w:t>
      </w:r>
      <w:r>
        <w:rPr>
          <w:rFonts w:hint="eastAsia" w:ascii="仿宋" w:hAnsi="仿宋" w:eastAsia="仿宋" w:cs="仿宋"/>
          <w:b/>
          <w:color w:val="auto"/>
          <w:sz w:val="24"/>
          <w:highlight w:val="none"/>
          <w:lang w:val="hr-HR"/>
        </w:rPr>
        <w:t>▲</w:t>
      </w:r>
      <w:r>
        <w:rPr>
          <w:rFonts w:hint="eastAsia" w:ascii="仿宋" w:hAnsi="仿宋" w:eastAsia="仿宋" w:cs="仿宋"/>
          <w:color w:val="auto"/>
          <w:sz w:val="24"/>
          <w:highlight w:val="none"/>
        </w:rPr>
        <w:t>号的内容为择优要求和条件，负偏离或不响应▲号条款的响应供应商将影响综合得分。</w:t>
      </w:r>
    </w:p>
    <w:p>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3</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响应供应商</w:t>
      </w:r>
      <w:r>
        <w:rPr>
          <w:rFonts w:hint="eastAsia" w:ascii="仿宋" w:hAnsi="仿宋" w:eastAsia="仿宋" w:cs="仿宋"/>
          <w:color w:val="auto"/>
          <w:sz w:val="24"/>
          <w:highlight w:val="none"/>
          <w:u w:val="none" w:color="auto"/>
        </w:rPr>
        <w:t>须提供独立密封</w:t>
      </w:r>
      <w:r>
        <w:rPr>
          <w:rFonts w:hint="eastAsia" w:ascii="仿宋" w:hAnsi="仿宋" w:eastAsia="仿宋" w:cs="仿宋"/>
          <w:color w:val="auto"/>
          <w:sz w:val="24"/>
          <w:highlight w:val="none"/>
          <w:u w:val="none" w:color="auto"/>
          <w:lang w:eastAsia="zh-CN"/>
        </w:rPr>
        <w:t>的</w:t>
      </w:r>
      <w:r>
        <w:rPr>
          <w:rFonts w:hint="eastAsia" w:ascii="仿宋" w:hAnsi="仿宋" w:eastAsia="仿宋" w:cs="仿宋"/>
          <w:b/>
          <w:bCs/>
          <w:color w:val="auto"/>
          <w:sz w:val="24"/>
          <w:highlight w:val="none"/>
          <w:u w:val="none" w:color="auto"/>
          <w:lang w:eastAsia="zh-CN"/>
        </w:rPr>
        <w:t>“响应报价单”一份</w:t>
      </w:r>
      <w:r>
        <w:rPr>
          <w:rFonts w:hint="eastAsia" w:ascii="仿宋" w:hAnsi="仿宋" w:eastAsia="仿宋" w:cs="仿宋"/>
          <w:color w:val="auto"/>
          <w:sz w:val="24"/>
          <w:highlight w:val="none"/>
          <w:u w:val="none" w:color="auto"/>
          <w:lang w:eastAsia="zh-CN"/>
        </w:rPr>
        <w:t>和</w:t>
      </w:r>
      <w:r>
        <w:rPr>
          <w:rFonts w:hint="eastAsia" w:ascii="仿宋" w:hAnsi="仿宋" w:eastAsia="仿宋" w:cs="仿宋"/>
          <w:b/>
          <w:bCs/>
          <w:color w:val="auto"/>
          <w:sz w:val="24"/>
          <w:highlight w:val="none"/>
          <w:u w:val="none" w:color="auto"/>
          <w:lang w:val="en-US" w:eastAsia="zh-CN"/>
        </w:rPr>
        <w:t>装订成册的</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两份</w:t>
      </w:r>
      <w:r>
        <w:rPr>
          <w:rFonts w:hint="eastAsia" w:ascii="仿宋" w:hAnsi="仿宋" w:eastAsia="仿宋" w:cs="仿宋"/>
          <w:b/>
          <w:bCs/>
          <w:color w:val="auto"/>
          <w:sz w:val="24"/>
          <w:highlight w:val="none"/>
          <w:u w:val="none" w:color="auto"/>
        </w:rPr>
        <w:t>，</w:t>
      </w:r>
      <w:r>
        <w:rPr>
          <w:rFonts w:hint="eastAsia" w:ascii="仿宋" w:hAnsi="仿宋" w:eastAsia="仿宋" w:cs="仿宋"/>
          <w:color w:val="auto"/>
          <w:sz w:val="24"/>
          <w:highlight w:val="none"/>
          <w:u w:val="none" w:color="auto"/>
        </w:rPr>
        <w:t>否则其响应将被拒收。</w:t>
      </w:r>
    </w:p>
    <w:p>
      <w:pPr>
        <w:autoSpaceDE w:val="0"/>
        <w:autoSpaceDN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三、比选项目概况</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惠州市第一妇幼保健院</w:t>
      </w:r>
      <w:r>
        <w:rPr>
          <w:rFonts w:hint="eastAsia" w:ascii="仿宋" w:hAnsi="仿宋" w:eastAsia="仿宋" w:cs="仿宋"/>
          <w:color w:val="auto"/>
          <w:sz w:val="24"/>
          <w:highlight w:val="none"/>
        </w:rPr>
        <w:t>招标采购</w:t>
      </w:r>
      <w:r>
        <w:rPr>
          <w:rFonts w:hint="eastAsia" w:ascii="仿宋" w:hAnsi="仿宋" w:eastAsia="仿宋" w:cs="仿宋"/>
          <w:color w:val="auto"/>
          <w:sz w:val="24"/>
          <w:highlight w:val="none"/>
          <w:lang w:val="en-US" w:eastAsia="zh-CN"/>
        </w:rPr>
        <w:t>2024年</w:t>
      </w:r>
      <w:r>
        <w:rPr>
          <w:rFonts w:hint="eastAsia" w:ascii="仿宋" w:hAnsi="仿宋" w:eastAsia="仿宋" w:cs="仿宋"/>
          <w:color w:val="auto"/>
          <w:sz w:val="24"/>
          <w:highlight w:val="none"/>
        </w:rPr>
        <w:t>代理机构服务</w:t>
      </w:r>
      <w:r>
        <w:rPr>
          <w:rFonts w:hint="eastAsia" w:ascii="仿宋" w:hAnsi="仿宋" w:eastAsia="仿宋" w:cs="仿宋"/>
          <w:color w:val="auto"/>
          <w:sz w:val="24"/>
          <w:highlight w:val="none"/>
          <w:lang w:eastAsia="zh-CN"/>
        </w:rPr>
        <w:t>项目</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2、采购内容：招标采购代理机构服务</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3、采购数量：选取</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家招标采购代理机构（服务期为</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p>
      <w:pPr>
        <w:autoSpaceDE w:val="0"/>
        <w:autoSpaceDN w:val="0"/>
        <w:spacing w:line="440" w:lineRule="exact"/>
        <w:ind w:firstLine="482" w:firstLineChars="200"/>
        <w:rPr>
          <w:rFonts w:ascii="仿宋" w:hAnsi="仿宋" w:eastAsia="仿宋" w:cs="仿宋"/>
          <w:b/>
          <w:color w:val="auto"/>
          <w:sz w:val="24"/>
          <w:highlight w:val="none"/>
        </w:rPr>
      </w:pPr>
      <w:bookmarkStart w:id="0" w:name="_Hlk65744408"/>
      <w:r>
        <w:rPr>
          <w:rFonts w:hint="eastAsia" w:ascii="仿宋" w:hAnsi="仿宋" w:eastAsia="仿宋" w:cs="仿宋"/>
          <w:b/>
          <w:color w:val="auto"/>
          <w:sz w:val="24"/>
          <w:highlight w:val="none"/>
        </w:rPr>
        <w:t>四、</w:t>
      </w:r>
      <w:bookmarkEnd w:id="0"/>
      <w:r>
        <w:rPr>
          <w:rFonts w:hint="eastAsia" w:ascii="仿宋" w:hAnsi="仿宋" w:eastAsia="仿宋" w:cs="仿宋"/>
          <w:b/>
          <w:color w:val="auto"/>
          <w:sz w:val="24"/>
          <w:highlight w:val="none"/>
        </w:rPr>
        <w:t>服务要求</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1、基本要求</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（1）成交供应商需提供政府采购代理服务，具体工作按照国家和省、市有关政府采购的法律法规、政策文件的规定及采购人要求执行。</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（2）双方签订合同且成交供应商提供完整的招标采购必备资料后，每项招标采购工作应在20天内完成（法律、法规对招标时间有特殊要求的除外）。</w:t>
      </w:r>
    </w:p>
    <w:p>
      <w:p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（3）如出现成交供应商在代理服务过程中出现违规行为，采购人有权取消其成交资格并按相关法规依法处理。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范围和委托内容</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范围：</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①惠州市第一</w:t>
      </w:r>
      <w:r>
        <w:rPr>
          <w:rFonts w:hint="eastAsia" w:ascii="仿宋" w:hAnsi="仿宋" w:eastAsia="仿宋" w:cs="仿宋"/>
          <w:color w:val="auto"/>
          <w:sz w:val="24"/>
          <w:highlight w:val="none"/>
          <w:lang w:eastAsia="zh-CN"/>
        </w:rPr>
        <w:t>妇幼保健</w:t>
      </w:r>
      <w:r>
        <w:rPr>
          <w:rFonts w:hint="eastAsia" w:ascii="仿宋" w:hAnsi="仿宋" w:eastAsia="仿宋" w:cs="仿宋"/>
          <w:color w:val="auto"/>
          <w:sz w:val="24"/>
          <w:highlight w:val="none"/>
        </w:rPr>
        <w:t>院政府采购项目；</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医院内控制度规定</w:t>
      </w:r>
      <w:r>
        <w:rPr>
          <w:rFonts w:hint="eastAsia" w:ascii="仿宋" w:hAnsi="仿宋" w:eastAsia="仿宋" w:cs="仿宋"/>
          <w:color w:val="auto"/>
          <w:sz w:val="24"/>
          <w:highlight w:val="none"/>
        </w:rPr>
        <w:t>需委托的招标采购项目</w:t>
      </w:r>
      <w:r>
        <w:rPr>
          <w:rFonts w:hint="eastAsia" w:ascii="仿宋" w:hAnsi="仿宋" w:eastAsia="仿宋" w:cs="仿宋"/>
          <w:color w:val="auto"/>
          <w:sz w:val="24"/>
          <w:highlight w:val="none"/>
          <w:lang w:val="en-US" w:eastAsia="zh-CN"/>
        </w:rPr>
        <w:t>和产权交易等项目</w:t>
      </w:r>
      <w:r>
        <w:rPr>
          <w:rFonts w:hint="eastAsia" w:ascii="仿宋" w:hAnsi="仿宋" w:eastAsia="仿宋" w:cs="仿宋"/>
          <w:color w:val="auto"/>
          <w:sz w:val="24"/>
          <w:highlight w:val="none"/>
        </w:rPr>
        <w:t>。</w:t>
      </w:r>
    </w:p>
    <w:p>
      <w:pPr>
        <w:numPr>
          <w:ilvl w:val="0"/>
          <w:numId w:val="0"/>
        </w:numPr>
        <w:autoSpaceDE w:val="0"/>
        <w:autoSpaceDN w:val="0"/>
        <w:spacing w:line="360" w:lineRule="auto"/>
        <w:ind w:firstLine="480" w:firstLineChars="200"/>
        <w:rPr>
          <w:rFonts w:hint="default"/>
          <w:color w:val="auto"/>
          <w:highlight w:val="none"/>
          <w:lang w:val="en-US" w:eastAsia="zh-CN"/>
        </w:rPr>
      </w:pPr>
      <w:r>
        <w:rPr>
          <w:rFonts w:hint="eastAsia" w:ascii="仿宋" w:hAnsi="仿宋" w:eastAsia="仿宋" w:cs="仿宋"/>
          <w:color w:val="auto"/>
          <w:sz w:val="24"/>
          <w:highlight w:val="none"/>
          <w:lang w:val="en-US" w:eastAsia="zh-CN"/>
        </w:rPr>
        <w:t>（2）第三方论证服务：根据有关法律法规和要求及人员组成组织开展论证工作，按要求提供论证报告。</w:t>
      </w:r>
    </w:p>
    <w:p>
      <w:pPr>
        <w:numPr>
          <w:ilvl w:val="0"/>
          <w:numId w:val="0"/>
        </w:numPr>
        <w:autoSpaceDE w:val="0"/>
        <w:autoSpaceDN w:val="0"/>
        <w:spacing w:line="360" w:lineRule="auto"/>
        <w:ind w:leftChars="200"/>
        <w:rPr>
          <w:rFonts w:hint="default"/>
          <w:color w:val="auto"/>
          <w:highlight w:val="none"/>
          <w:lang w:val="en-US" w:eastAsia="zh-CN"/>
        </w:rPr>
      </w:pPr>
      <w:r>
        <w:rPr>
          <w:rFonts w:hint="eastAsia" w:ascii="仿宋" w:hAnsi="仿宋" w:eastAsia="仿宋" w:cs="仿宋"/>
          <w:color w:val="auto"/>
          <w:sz w:val="24"/>
          <w:highlight w:val="none"/>
          <w:lang w:val="en-US" w:eastAsia="zh-CN"/>
        </w:rPr>
        <w:t>（3）技术咨询：提供服务期内的采购业务咨询服务。</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时间：合同签订之日起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p>
      <w:pPr>
        <w:autoSpaceDE w:val="0"/>
        <w:autoSpaceDN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委托项目分配</w:t>
      </w:r>
      <w:r>
        <w:rPr>
          <w:rFonts w:hint="eastAsia" w:ascii="仿宋" w:hAnsi="仿宋" w:eastAsia="仿宋" w:cs="仿宋"/>
          <w:color w:val="auto"/>
          <w:sz w:val="24"/>
          <w:highlight w:val="none"/>
          <w:lang w:eastAsia="zh-CN"/>
        </w:rPr>
        <w:t>方式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按照“一事一选”原则通过院内摇珠</w:t>
      </w:r>
      <w:r>
        <w:rPr>
          <w:rFonts w:hint="eastAsia" w:ascii="仿宋" w:hAnsi="仿宋" w:eastAsia="仿宋" w:cs="仿宋"/>
          <w:color w:val="auto"/>
          <w:sz w:val="24"/>
          <w:highlight w:val="none"/>
          <w:lang w:val="en-US" w:eastAsia="zh-CN"/>
        </w:rPr>
        <w:t>随机</w:t>
      </w:r>
      <w:r>
        <w:rPr>
          <w:rFonts w:hint="eastAsia" w:ascii="仿宋" w:hAnsi="仿宋" w:eastAsia="仿宋" w:cs="仿宋"/>
          <w:color w:val="auto"/>
          <w:sz w:val="24"/>
          <w:highlight w:val="none"/>
          <w:lang w:eastAsia="zh-CN"/>
        </w:rPr>
        <w:t>方式</w:t>
      </w:r>
      <w:r>
        <w:rPr>
          <w:rFonts w:hint="eastAsia" w:ascii="仿宋" w:hAnsi="仿宋" w:eastAsia="仿宋" w:cs="仿宋"/>
          <w:color w:val="auto"/>
          <w:sz w:val="24"/>
          <w:highlight w:val="none"/>
          <w:lang w:val="en-US" w:eastAsia="zh-CN"/>
        </w:rPr>
        <w:t>抽取。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委托工作内容（包括但不限于）：</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编制、发售、解释</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采购文件；</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在指定媒体上发布</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采购信息公告；</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供应商资格预审（邀请招标等方式时采用）；</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制定</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评审方法、步骤、标准；</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依法抽取专家组建</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评审委员会；</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评审地点，组织</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主持</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评审活动，并做好</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评审记录</w:t>
      </w:r>
      <w:r>
        <w:rPr>
          <w:rFonts w:hint="eastAsia" w:ascii="仿宋" w:hAnsi="仿宋" w:eastAsia="仿宋" w:cs="仿宋"/>
          <w:color w:val="auto"/>
          <w:sz w:val="24"/>
          <w:highlight w:val="none"/>
          <w:lang w:eastAsia="zh-CN"/>
        </w:rPr>
        <w:t>，协助采购人完成自主采购项目定标相关活动</w:t>
      </w:r>
      <w:r>
        <w:rPr>
          <w:rFonts w:hint="eastAsia" w:ascii="仿宋" w:hAnsi="仿宋" w:eastAsia="仿宋" w:cs="仿宋"/>
          <w:color w:val="auto"/>
          <w:sz w:val="24"/>
          <w:highlight w:val="none"/>
        </w:rPr>
        <w:t>；</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整理</w:t>
      </w:r>
      <w:r>
        <w:rPr>
          <w:rFonts w:hint="eastAsia" w:ascii="仿宋" w:hAnsi="仿宋" w:eastAsia="仿宋" w:cs="仿宋"/>
          <w:color w:val="auto"/>
          <w:sz w:val="24"/>
          <w:highlight w:val="none"/>
          <w:lang w:eastAsia="zh-CN"/>
        </w:rPr>
        <w:t>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评审报告送采购人及有关部门；</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在定媒体上发布中标（成交）公告，编制、发</w:t>
      </w:r>
      <w:r>
        <w:rPr>
          <w:rFonts w:hint="eastAsia" w:ascii="仿宋" w:hAnsi="仿宋" w:eastAsia="仿宋" w:cs="仿宋"/>
          <w:color w:val="auto"/>
          <w:sz w:val="24"/>
          <w:highlight w:val="none"/>
          <w:lang w:eastAsia="zh-CN"/>
        </w:rPr>
        <w:t>放</w:t>
      </w:r>
      <w:r>
        <w:rPr>
          <w:rFonts w:hint="eastAsia" w:ascii="仿宋" w:hAnsi="仿宋" w:eastAsia="仿宋" w:cs="仿宋"/>
          <w:color w:val="auto"/>
          <w:sz w:val="24"/>
          <w:highlight w:val="none"/>
        </w:rPr>
        <w:t>中标（成交）通知书；</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受理并答复供应商的询问和质疑；</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采购活动有关文件到主管部门审批/备案及存档；</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根据采购人需求组织验收事项；</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完成法律法规规定的事项</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代理协议中明确的其它事项；</w:t>
      </w:r>
    </w:p>
    <w:p>
      <w:pPr>
        <w:spacing w:line="360" w:lineRule="auto"/>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）办理采购项目投标保证金的收取、查询、退还工作；</w:t>
      </w:r>
    </w:p>
    <w:p>
      <w:pPr>
        <w:spacing w:line="360" w:lineRule="auto"/>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lang w:eastAsia="zh-CN"/>
        </w:rPr>
        <w:t>）根据采购人委托，组织并完成进口医疗设备论证、项目需求论证（含技术参数论证）等论证工作。</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）每年至少一次派出讲师协助医院进行一次有关政府采购及招投标相关政策法规的培训（响应供应商需提供培训计划，包括但不限于培训讲师名单、培训时间、培训形式及培训内容等）。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回避要求：严格执行预算编制、预算审核、结算编制、结算审核、竣工财务决算编制、竣工财务决算审核、招标采购代理等分离制度，若成为其中某一个环节的承接单位，在其余环节分配的任务中必须回避，不能再成为该项目其他环节的项目承接人。若承接单位在接收到任务时，发现自身知道或应当知道属于回避情况之一而不主动提出回避的，该次服务作无效处理，不支付该次服务费用。如分配审核任务时出现上述回避事项，采购人有权另行选取供应商分配审核任务。</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7、</w:t>
      </w:r>
      <w:r>
        <w:rPr>
          <w:rFonts w:hint="eastAsia" w:ascii="仿宋" w:hAnsi="仿宋" w:eastAsia="仿宋" w:cs="仿宋"/>
          <w:color w:val="auto"/>
          <w:sz w:val="24"/>
          <w:highlight w:val="none"/>
        </w:rPr>
        <w:t>人员要求：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（1）招标采购主管1人：</w:t>
      </w:r>
      <w:r>
        <w:rPr>
          <w:rFonts w:hint="eastAsia" w:ascii="仿宋" w:hAnsi="仿宋" w:eastAsia="仿宋" w:cs="仿宋"/>
          <w:color w:val="auto"/>
          <w:sz w:val="24"/>
          <w:highlight w:val="none"/>
          <w:lang w:eastAsia="zh-CN"/>
        </w:rPr>
        <w:t>整体</w:t>
      </w:r>
      <w:r>
        <w:rPr>
          <w:rFonts w:hint="eastAsia" w:ascii="仿宋" w:hAnsi="仿宋" w:eastAsia="仿宋" w:cs="仿宋"/>
          <w:color w:val="auto"/>
          <w:sz w:val="24"/>
          <w:highlight w:val="none"/>
        </w:rPr>
        <w:t>负责医院委托的招标采购范围内的所有项目事宜。</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（2）其他专职人员：要求拟派出专职人员，承担医院委托的招标采购范围内各项目文件制作、整理、配合执行项目具体事务工作。</w:t>
      </w:r>
    </w:p>
    <w:p>
      <w:pPr>
        <w:autoSpaceDE w:val="0"/>
        <w:autoSpaceDN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、档案管理要求：</w:t>
      </w:r>
      <w:r>
        <w:rPr>
          <w:rFonts w:hint="eastAsia" w:ascii="仿宋" w:hAnsi="仿宋" w:eastAsia="仿宋" w:cs="仿宋"/>
          <w:color w:val="auto"/>
          <w:sz w:val="24"/>
          <w:highlight w:val="none"/>
          <w:lang w:eastAsia="zh-CN"/>
        </w:rPr>
        <w:t>成交供应商需</w:t>
      </w:r>
      <w:r>
        <w:rPr>
          <w:rFonts w:hint="eastAsia" w:ascii="仿宋" w:hAnsi="仿宋" w:eastAsia="仿宋" w:cs="仿宋"/>
          <w:color w:val="auto"/>
          <w:sz w:val="24"/>
          <w:highlight w:val="none"/>
        </w:rPr>
        <w:t>具有完整的档案管理制度、专门场地、设施设备，提供纸质、电子、影音资料存档，每个代理招标采购的项目档案按政府采购档案管理相关规定至少保存15年。如采购人需要可随时提供电子资料，纸质资料可在2个工作日内供采购人借阅。</w:t>
      </w:r>
    </w:p>
    <w:p>
      <w:pPr>
        <w:autoSpaceDE w:val="0"/>
        <w:autoSpaceDN w:val="0"/>
        <w:spacing w:line="360" w:lineRule="auto"/>
        <w:ind w:firstLine="720" w:firstLineChars="3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、电子化采购要求：</w:t>
      </w:r>
      <w:r>
        <w:rPr>
          <w:rFonts w:hint="eastAsia" w:ascii="仿宋" w:hAnsi="仿宋" w:eastAsia="仿宋" w:cs="仿宋"/>
          <w:color w:val="auto"/>
          <w:sz w:val="24"/>
          <w:highlight w:val="none"/>
          <w:lang w:eastAsia="zh-CN"/>
        </w:rPr>
        <w:t>成交供应商需具备采购</w:t>
      </w:r>
      <w:r>
        <w:rPr>
          <w:rFonts w:hint="eastAsia" w:ascii="仿宋" w:hAnsi="仿宋" w:eastAsia="仿宋" w:cs="仿宋"/>
          <w:color w:val="auto"/>
          <w:sz w:val="24"/>
          <w:highlight w:val="none"/>
        </w:rPr>
        <w:t>全流程电子化能力，可通过电子化采购平台实现线上报名、投标、开标、</w:t>
      </w:r>
      <w:r>
        <w:rPr>
          <w:rFonts w:hint="eastAsia" w:ascii="仿宋" w:hAnsi="仿宋" w:eastAsia="仿宋" w:cs="仿宋"/>
          <w:color w:val="auto"/>
          <w:sz w:val="24"/>
          <w:highlight w:val="none"/>
          <w:lang w:eastAsia="zh-CN"/>
        </w:rPr>
        <w:t>评标、评标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评审等采购全过程电子化。</w:t>
      </w:r>
    </w:p>
    <w:p>
      <w:pPr>
        <w:spacing w:line="360" w:lineRule="auto"/>
        <w:ind w:firstLine="506" w:firstLineChars="21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五、采购项目商务要求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★1、收费标准</w:t>
      </w:r>
      <w:r>
        <w:rPr>
          <w:rFonts w:hint="eastAsia" w:ascii="仿宋" w:hAnsi="仿宋" w:eastAsia="仿宋" w:cs="仿宋"/>
          <w:color w:val="auto"/>
          <w:sz w:val="24"/>
          <w:highlight w:val="none"/>
          <w:lang w:val="en-US" w:eastAsia="zh-CN"/>
        </w:rPr>
        <w:t>（供应商须在响应文件中提供承诺函）</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代理服务费：参照</w:t>
      </w:r>
      <w:bookmarkStart w:id="1" w:name="_Hlk69913753"/>
      <w:r>
        <w:rPr>
          <w:rFonts w:hint="eastAsia" w:ascii="仿宋" w:hAnsi="仿宋" w:eastAsia="仿宋" w:cs="仿宋"/>
          <w:color w:val="auto"/>
          <w:sz w:val="24"/>
          <w:highlight w:val="none"/>
        </w:rPr>
        <w:t>《招标代理服务收费管理暂行办法》（计价格[2002]1980号）和《国家发展改革委关于降低部分建设项目收费标准规范收费行为等有关问题的通知》（发改价格[2011]534号）标准</w:t>
      </w:r>
      <w:bookmarkEnd w:id="1"/>
      <w:r>
        <w:rPr>
          <w:rFonts w:hint="eastAsia" w:ascii="仿宋" w:hAnsi="仿宋" w:eastAsia="仿宋" w:cs="仿宋"/>
          <w:color w:val="auto"/>
          <w:sz w:val="24"/>
          <w:highlight w:val="none"/>
          <w:lang w:eastAsia="zh-CN"/>
        </w:rPr>
        <w:t>乘以</w:t>
      </w:r>
      <w:r>
        <w:rPr>
          <w:rFonts w:hint="eastAsia" w:ascii="仿宋" w:hAnsi="仿宋" w:eastAsia="仿宋" w:cs="仿宋"/>
          <w:color w:val="auto"/>
          <w:sz w:val="24"/>
          <w:highlight w:val="none"/>
          <w:lang w:val="en-US" w:eastAsia="zh-CN"/>
        </w:rPr>
        <w:t>(1-成交下浮率)</w:t>
      </w:r>
      <w:r>
        <w:rPr>
          <w:rFonts w:hint="eastAsia" w:ascii="仿宋" w:hAnsi="仿宋" w:eastAsia="仿宋" w:cs="仿宋"/>
          <w:color w:val="auto"/>
          <w:sz w:val="24"/>
          <w:highlight w:val="none"/>
        </w:rPr>
        <w:t>向中标/成交供应商收取服务费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在项目中标/成交金额较小</w:t>
      </w:r>
      <w:r>
        <w:rPr>
          <w:rFonts w:hint="eastAsia" w:ascii="仿宋" w:hAnsi="仿宋" w:eastAsia="仿宋" w:cs="仿宋"/>
          <w:color w:val="auto"/>
          <w:sz w:val="24"/>
          <w:highlight w:val="none"/>
          <w:lang w:eastAsia="zh-CN"/>
        </w:rPr>
        <w:t>或较大</w:t>
      </w:r>
      <w:r>
        <w:rPr>
          <w:rFonts w:hint="eastAsia" w:ascii="仿宋" w:hAnsi="仿宋" w:eastAsia="仿宋" w:cs="仿宋"/>
          <w:color w:val="auto"/>
          <w:sz w:val="24"/>
          <w:highlight w:val="none"/>
        </w:rPr>
        <w:t>的情况下允许市场调节，</w:t>
      </w:r>
      <w:r>
        <w:rPr>
          <w:rFonts w:hint="eastAsia" w:ascii="仿宋" w:hAnsi="仿宋" w:eastAsia="仿宋" w:cs="仿宋"/>
          <w:color w:val="auto"/>
          <w:sz w:val="24"/>
          <w:highlight w:val="none"/>
          <w:lang w:val="en-US" w:eastAsia="zh-CN"/>
        </w:rPr>
        <w:t>代理服务</w:t>
      </w:r>
      <w:r>
        <w:rPr>
          <w:rFonts w:hint="eastAsia" w:ascii="仿宋" w:hAnsi="仿宋" w:eastAsia="仿宋" w:cs="仿宋"/>
          <w:color w:val="auto"/>
          <w:sz w:val="24"/>
          <w:highlight w:val="none"/>
        </w:rPr>
        <w:t>费用低于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000元时按</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000元收费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代理服务</w:t>
      </w:r>
      <w:r>
        <w:rPr>
          <w:rFonts w:hint="eastAsia" w:ascii="仿宋" w:hAnsi="仿宋" w:eastAsia="仿宋" w:cs="仿宋"/>
          <w:color w:val="auto"/>
          <w:sz w:val="24"/>
          <w:highlight w:val="none"/>
          <w:lang w:eastAsia="zh-CN"/>
        </w:rPr>
        <w:t>费用高于</w:t>
      </w:r>
      <w:r>
        <w:rPr>
          <w:rFonts w:hint="eastAsia" w:ascii="仿宋" w:hAnsi="仿宋" w:eastAsia="仿宋" w:cs="仿宋"/>
          <w:color w:val="auto"/>
          <w:sz w:val="24"/>
          <w:highlight w:val="none"/>
          <w:lang w:val="en-US" w:eastAsia="zh-CN"/>
        </w:rPr>
        <w:t>10万元时按10万元收费</w:t>
      </w:r>
      <w:r>
        <w:rPr>
          <w:rFonts w:hint="eastAsia" w:ascii="仿宋" w:hAnsi="仿宋" w:eastAsia="仿宋" w:cs="仿宋"/>
          <w:color w:val="auto"/>
          <w:sz w:val="24"/>
          <w:highlight w:val="none"/>
        </w:rPr>
        <w:t>。代理服务费用涵盖提供采购项目采购代理全过程服务中发生的一切费用(包括采购文件、评审文件等所有资料的打印、复印、装订，</w:t>
      </w:r>
      <w:r>
        <w:rPr>
          <w:rFonts w:hint="eastAsia" w:ascii="仿宋" w:hAnsi="仿宋" w:eastAsia="仿宋" w:cs="仿宋"/>
          <w:color w:val="auto"/>
          <w:sz w:val="24"/>
          <w:highlight w:val="none"/>
          <w:lang w:eastAsia="zh-CN"/>
        </w:rPr>
        <w:t>招标文件论证费用及评（含评审）定标</w:t>
      </w:r>
      <w:r>
        <w:rPr>
          <w:rFonts w:hint="eastAsia" w:ascii="仿宋" w:hAnsi="仿宋" w:eastAsia="仿宋" w:cs="仿宋"/>
          <w:color w:val="auto"/>
          <w:sz w:val="24"/>
          <w:highlight w:val="none"/>
        </w:rPr>
        <w:t>专家劳务费用等)。</w:t>
      </w:r>
    </w:p>
    <w:p>
      <w:pPr>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专家论证服务费：单次论证</w:t>
      </w:r>
      <w:r>
        <w:rPr>
          <w:rFonts w:hint="eastAsia" w:ascii="仿宋" w:hAnsi="仿宋" w:eastAsia="仿宋" w:cs="仿宋"/>
          <w:color w:val="auto"/>
          <w:sz w:val="24"/>
          <w:highlight w:val="none"/>
          <w:lang w:eastAsia="zh-CN"/>
        </w:rPr>
        <w:t>（包括需求参数论证、进口设备论证等）按</w:t>
      </w:r>
      <w:r>
        <w:rPr>
          <w:rFonts w:hint="eastAsia" w:ascii="仿宋" w:hAnsi="仿宋" w:eastAsia="仿宋" w:cs="仿宋"/>
          <w:color w:val="auto"/>
          <w:sz w:val="24"/>
          <w:highlight w:val="none"/>
        </w:rPr>
        <w:t>该论证项目预算金额1‰</w:t>
      </w:r>
      <w:r>
        <w:rPr>
          <w:rFonts w:hint="eastAsia" w:ascii="仿宋" w:hAnsi="仿宋" w:eastAsia="仿宋" w:cs="仿宋"/>
          <w:color w:val="auto"/>
          <w:sz w:val="24"/>
          <w:highlight w:val="none"/>
          <w:lang w:eastAsia="zh-CN"/>
        </w:rPr>
        <w:t>乘以</w:t>
      </w:r>
      <w:r>
        <w:rPr>
          <w:rFonts w:hint="eastAsia" w:ascii="仿宋" w:hAnsi="仿宋" w:eastAsia="仿宋" w:cs="仿宋"/>
          <w:color w:val="auto"/>
          <w:sz w:val="24"/>
          <w:highlight w:val="none"/>
          <w:lang w:val="en-US" w:eastAsia="zh-CN"/>
        </w:rPr>
        <w:t>(1-成交下浮率)收取</w:t>
      </w:r>
      <w:r>
        <w:rPr>
          <w:rFonts w:hint="eastAsia" w:ascii="仿宋" w:hAnsi="仿宋" w:eastAsia="仿宋" w:cs="仿宋"/>
          <w:color w:val="auto"/>
          <w:sz w:val="24"/>
          <w:highlight w:val="none"/>
        </w:rPr>
        <w:t>论证服务费，</w:t>
      </w:r>
      <w:r>
        <w:rPr>
          <w:rFonts w:hint="eastAsia" w:ascii="仿宋" w:hAnsi="仿宋" w:eastAsia="仿宋" w:cs="仿宋"/>
          <w:color w:val="auto"/>
          <w:sz w:val="24"/>
          <w:highlight w:val="none"/>
          <w:lang w:eastAsia="zh-CN"/>
        </w:rPr>
        <w:t>最高</w:t>
      </w:r>
      <w:r>
        <w:rPr>
          <w:rFonts w:hint="eastAsia" w:ascii="仿宋" w:hAnsi="仿宋" w:eastAsia="仿宋" w:cs="仿宋"/>
          <w:color w:val="auto"/>
          <w:sz w:val="24"/>
          <w:highlight w:val="none"/>
        </w:rPr>
        <w:t>不得</w:t>
      </w:r>
      <w:r>
        <w:rPr>
          <w:rFonts w:hint="eastAsia" w:ascii="仿宋" w:hAnsi="仿宋" w:eastAsia="仿宋" w:cs="仿宋"/>
          <w:color w:val="auto"/>
          <w:sz w:val="24"/>
          <w:highlight w:val="none"/>
          <w:lang w:eastAsia="zh-CN"/>
        </w:rPr>
        <w:t>超</w:t>
      </w:r>
      <w:r>
        <w:rPr>
          <w:rFonts w:hint="eastAsia" w:ascii="仿宋" w:hAnsi="仿宋" w:eastAsia="仿宋" w:cs="仿宋"/>
          <w:color w:val="auto"/>
          <w:sz w:val="24"/>
          <w:highlight w:val="none"/>
        </w:rPr>
        <w:t>10000元/次。论证服务费小于</w:t>
      </w:r>
      <w:r>
        <w:rPr>
          <w:rFonts w:ascii="仿宋" w:hAnsi="仿宋" w:eastAsia="仿宋" w:cs="仿宋"/>
          <w:color w:val="auto"/>
          <w:sz w:val="24"/>
          <w:highlight w:val="none"/>
        </w:rPr>
        <w:t>4</w:t>
      </w:r>
      <w:r>
        <w:rPr>
          <w:rFonts w:hint="eastAsia" w:ascii="仿宋" w:hAnsi="仿宋" w:eastAsia="仿宋" w:cs="仿宋"/>
          <w:color w:val="auto"/>
          <w:sz w:val="24"/>
          <w:highlight w:val="none"/>
        </w:rPr>
        <w:t>000元时允许按</w:t>
      </w:r>
      <w:r>
        <w:rPr>
          <w:rFonts w:ascii="仿宋" w:hAnsi="仿宋" w:eastAsia="仿宋" w:cs="仿宋"/>
          <w:color w:val="auto"/>
          <w:sz w:val="24"/>
          <w:highlight w:val="none"/>
        </w:rPr>
        <w:t>4</w:t>
      </w:r>
      <w:r>
        <w:rPr>
          <w:rFonts w:hint="eastAsia" w:ascii="仿宋" w:hAnsi="仿宋" w:eastAsia="仿宋" w:cs="仿宋"/>
          <w:color w:val="auto"/>
          <w:sz w:val="24"/>
          <w:highlight w:val="none"/>
        </w:rPr>
        <w:t>000元收费。</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如遇特殊情况，经双方协商一致后根据协商结果进行收费。</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2、报价要求</w:t>
      </w:r>
    </w:p>
    <w:p>
      <w:pPr>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代理服务费：按《招标代理服务收费管理暂行办法》（计价格[2002]1980号）和《国家发展改革委关于降低部分建设项目收费标准规范收费行为等有关问题的通知》（发改价格[2011]534号）标准在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0</w:t>
      </w:r>
      <w:r>
        <w:rPr>
          <w:rFonts w:hint="eastAsia" w:ascii="仿宋" w:hAnsi="仿宋" w:eastAsia="仿宋" w:cs="仿宋"/>
          <w:color w:val="auto"/>
          <w:sz w:val="24"/>
          <w:highlight w:val="none"/>
        </w:rPr>
        <w:t>%基础上</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下浮报价。报价具体格式见响应文件报价表。</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专家论证服务费：单次论证按项目预算金额1‰收取论证服务费，响应供应商在此基础上</w:t>
      </w:r>
      <w:r>
        <w:rPr>
          <w:rFonts w:hint="eastAsia" w:ascii="仿宋" w:hAnsi="仿宋" w:eastAsia="仿宋" w:cs="仿宋"/>
          <w:color w:val="auto"/>
          <w:sz w:val="24"/>
          <w:highlight w:val="none"/>
          <w:lang w:eastAsia="zh-CN"/>
        </w:rPr>
        <w:t>进行</w:t>
      </w:r>
      <w:r>
        <w:rPr>
          <w:rFonts w:hint="eastAsia" w:ascii="仿宋" w:hAnsi="仿宋" w:eastAsia="仿宋" w:cs="仿宋"/>
          <w:strike w:val="0"/>
          <w:dstrike w:val="0"/>
          <w:color w:val="auto"/>
          <w:sz w:val="24"/>
          <w:highlight w:val="none"/>
        </w:rPr>
        <w:t>下浮</w:t>
      </w:r>
      <w:r>
        <w:rPr>
          <w:rFonts w:hint="eastAsia" w:ascii="仿宋" w:hAnsi="仿宋" w:eastAsia="仿宋" w:cs="仿宋"/>
          <w:color w:val="auto"/>
          <w:sz w:val="24"/>
          <w:highlight w:val="none"/>
        </w:rPr>
        <w:t>报价。报价具体格式见响应文件报价表。</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响应供应商应考虑自身实际情况进行响应报价；响应供应商</w:t>
      </w:r>
      <w:r>
        <w:rPr>
          <w:rFonts w:hint="eastAsia" w:ascii="仿宋" w:hAnsi="仿宋" w:eastAsia="仿宋" w:cs="仿宋"/>
          <w:color w:val="auto"/>
          <w:sz w:val="24"/>
          <w:highlight w:val="none"/>
          <w:lang w:eastAsia="zh-CN"/>
        </w:rPr>
        <w:t>报价中</w:t>
      </w:r>
      <w:r>
        <w:rPr>
          <w:rFonts w:hint="eastAsia" w:ascii="仿宋" w:hAnsi="仿宋" w:eastAsia="仿宋" w:cs="仿宋"/>
          <w:color w:val="auto"/>
          <w:sz w:val="24"/>
          <w:highlight w:val="none"/>
        </w:rPr>
        <w:t>应包含完成服务所</w:t>
      </w:r>
      <w:r>
        <w:rPr>
          <w:rFonts w:hint="eastAsia" w:ascii="仿宋" w:hAnsi="仿宋" w:eastAsia="仿宋" w:cs="仿宋"/>
          <w:color w:val="auto"/>
          <w:sz w:val="24"/>
          <w:highlight w:val="none"/>
          <w:lang w:eastAsia="zh-CN"/>
        </w:rPr>
        <w:t>产生的</w:t>
      </w:r>
      <w:r>
        <w:rPr>
          <w:rFonts w:hint="eastAsia" w:ascii="仿宋" w:hAnsi="仿宋" w:eastAsia="仿宋" w:cs="仿宋"/>
          <w:color w:val="auto"/>
          <w:sz w:val="24"/>
          <w:highlight w:val="none"/>
        </w:rPr>
        <w:t>人工费、</w:t>
      </w:r>
      <w:r>
        <w:rPr>
          <w:rFonts w:hint="eastAsia" w:ascii="仿宋" w:hAnsi="仿宋" w:eastAsia="仿宋" w:cs="仿宋"/>
          <w:color w:val="auto"/>
          <w:sz w:val="24"/>
          <w:highlight w:val="none"/>
          <w:lang w:eastAsia="zh-CN"/>
        </w:rPr>
        <w:t>场地费、</w:t>
      </w:r>
      <w:r>
        <w:rPr>
          <w:rFonts w:hint="eastAsia" w:ascii="仿宋" w:hAnsi="仿宋" w:eastAsia="仿宋" w:cs="仿宋"/>
          <w:color w:val="auto"/>
          <w:sz w:val="24"/>
          <w:highlight w:val="none"/>
        </w:rPr>
        <w:t>材料费、管理费、利润、税金以及合同包含的所有风险、责任等各项应有费用。</w:t>
      </w:r>
    </w:p>
    <w:p>
      <w:pPr>
        <w:widowControl/>
        <w:spacing w:line="30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、付款及结算方式：</w:t>
      </w:r>
    </w:p>
    <w:p>
      <w:pPr>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代理服务费：由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根据招标</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采购文件规定向</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中标/成交供应商收取代理服务费。</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专家论证服务费：论证结束后，根据</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出具</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论证报告等相关文件及相应金额发票，采购人在1</w:t>
      </w:r>
      <w:r>
        <w:rPr>
          <w:rFonts w:ascii="仿宋" w:hAnsi="仿宋" w:eastAsia="仿宋" w:cs="仿宋"/>
          <w:color w:val="auto"/>
          <w:sz w:val="24"/>
          <w:highlight w:val="none"/>
        </w:rPr>
        <w:t>0</w:t>
      </w:r>
      <w:r>
        <w:rPr>
          <w:rFonts w:hint="eastAsia" w:ascii="仿宋" w:hAnsi="仿宋" w:eastAsia="仿宋" w:cs="仿宋"/>
          <w:color w:val="auto"/>
          <w:sz w:val="24"/>
          <w:highlight w:val="none"/>
        </w:rPr>
        <w:t>个工作日内以银行转账方式支付。</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如遇特殊情况，由采购人与</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另行协商付款及结算方式。</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、违约责任</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提供的服务不符合比选文件、报价文件或合同规定的，采购人有权拒绝其服务且不支付任何相关费用；</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）本项目要求严格按照国家有关规范、技术标准进行实施。</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在服务中如果服务质量不符合要求和有关规定，采购人要求停止实施和重新实施时，</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必须立即执行，并承担由此产生的各种费用。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其他要求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如因国家、省、市或相关主管部门等政策变动导致协议无法实施，采购人可单方终止本项目协议，协议双方均不承担违约责任。</w:t>
      </w:r>
    </w:p>
    <w:p>
      <w:pPr>
        <w:rPr>
          <w:rFonts w:hint="default"/>
          <w:color w:val="auto"/>
          <w:highlight w:val="none"/>
          <w:lang w:val="en-US" w:eastAsia="zh-CN"/>
        </w:rPr>
      </w:pPr>
    </w:p>
    <w:p>
      <w:pPr>
        <w:spacing w:line="380" w:lineRule="exact"/>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pPr>
        <w:pStyle w:val="9"/>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报价单一份另外单独封装，响应的截止时点为</w:t>
      </w:r>
      <w:bookmarkStart w:id="46" w:name="_GoBack"/>
      <w:r>
        <w:rPr>
          <w:rFonts w:hint="eastAsia" w:ascii="仿宋" w:hAnsi="仿宋" w:eastAsia="仿宋" w:cs="仿宋"/>
          <w:bCs/>
          <w:color w:val="auto"/>
          <w:sz w:val="24"/>
          <w:szCs w:val="24"/>
          <w:highlight w:val="none"/>
          <w:lang w:eastAsia="zh-CN"/>
        </w:rPr>
        <w:t>2024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31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分</w:t>
      </w:r>
      <w:bookmarkEnd w:id="46"/>
      <w:r>
        <w:rPr>
          <w:rFonts w:hint="eastAsia" w:ascii="仿宋" w:hAnsi="仿宋" w:eastAsia="仿宋" w:cs="仿宋"/>
          <w:bCs/>
          <w:color w:val="auto"/>
          <w:sz w:val="24"/>
          <w:szCs w:val="24"/>
          <w:highlight w:val="none"/>
        </w:rPr>
        <w:t>（北京时间），超过截止时点后的响应视为响应无效。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00"/>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6025"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200" w:type="dxa"/>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6025" w:type="dxa"/>
            <w:noWrap w:val="0"/>
            <w:vAlign w:val="center"/>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200"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6025"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200"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6025" w:type="dxa"/>
            <w:noWrap w:val="0"/>
            <w:vAlign w:val="top"/>
          </w:tcPr>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（2）必须具有良好的商业信誉和健全的财务会计制度（提供 202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年至202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年度任意一年的年度财务报告（新成立公司提供成立至今的月或季度财务报表复印件)或银行出具的资信证明）；</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（3）比选截止时间前一年内任意一个月的依法缴纳税收证明材料（如依法免税，则须提供相应文件证明其依法免税）；</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4.为采购项目提供整体设计、规范编制或者项目管理、监理、检测等服务的供应商，不得再参加该采购项目的其他采购活动。(供应商出具声明函)</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5.本项目均不接受联合体参加</w:t>
            </w:r>
            <w:r>
              <w:rPr>
                <w:rFonts w:hint="eastAsia" w:ascii="仿宋" w:hAnsi="仿宋" w:eastAsia="仿宋" w:cs="仿宋"/>
                <w:color w:val="auto"/>
                <w:szCs w:val="21"/>
                <w:highlight w:val="none"/>
                <w:lang w:eastAsia="zh-CN"/>
              </w:rPr>
              <w:t>比选</w:t>
            </w:r>
            <w:r>
              <w:rPr>
                <w:rFonts w:hint="eastAsia" w:ascii="仿宋" w:hAnsi="仿宋" w:eastAsia="仿宋" w:cs="仿宋"/>
                <w:color w:val="auto"/>
                <w:szCs w:val="21"/>
                <w:highlight w:val="none"/>
              </w:rPr>
              <w:t>，不允许响应供应商对各招标项目包进行分包或转包。</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6.具有广东政府采购智慧云平台、国家住建部全国建筑市场监管公共服务平台、中正国标中易电子交易平台的注册或备案证明（提供查询或操作截图）</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7.本项目不接受联合体参加比选，不允许响应供应商对各比选项目进行分包或转包(供应商出具声明函)；</w:t>
            </w:r>
          </w:p>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200" w:type="dxa"/>
            <w:noWrap w:val="0"/>
            <w:vAlign w:val="center"/>
          </w:tcPr>
          <w:p>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6025"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200" w:type="dxa"/>
            <w:noWrap w:val="0"/>
            <w:vAlign w:val="center"/>
          </w:tcPr>
          <w:p>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6025" w:type="dxa"/>
            <w:tcBorders>
              <w:bottom w:val="single" w:color="auto" w:sz="4" w:space="0"/>
            </w:tcBorders>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20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服务要求评审</w:t>
            </w:r>
          </w:p>
        </w:tc>
        <w:tc>
          <w:tcPr>
            <w:tcW w:w="6025"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实质性（“★”项）服务要求条款是否全部完全响应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20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6025"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225"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8225"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pPr>
        <w:pStyle w:val="9"/>
        <w:adjustRightInd w:val="0"/>
        <w:snapToGrid w:val="0"/>
        <w:spacing w:line="360" w:lineRule="auto"/>
        <w:ind w:right="32"/>
        <w:rPr>
          <w:rFonts w:hint="eastAsia" w:ascii="仿宋" w:hAnsi="仿宋" w:eastAsia="仿宋" w:cs="仿宋"/>
          <w:bCs/>
          <w:color w:val="auto"/>
          <w:sz w:val="24"/>
          <w:szCs w:val="24"/>
          <w:highlight w:val="none"/>
        </w:rPr>
      </w:pPr>
    </w:p>
    <w:p>
      <w:pPr>
        <w:pStyle w:val="9"/>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tbl>
      <w:tblPr>
        <w:tblStyle w:val="13"/>
        <w:tblpPr w:leftFromText="180" w:rightFromText="180" w:vertAnchor="text" w:horzAnchor="page" w:tblpX="1850" w:tblpY="927"/>
        <w:tblOverlap w:val="never"/>
        <w:tblW w:w="8729" w:type="dxa"/>
        <w:tblInd w:w="0" w:type="dxa"/>
        <w:tblLayout w:type="fixed"/>
        <w:tblCellMar>
          <w:top w:w="0" w:type="dxa"/>
          <w:left w:w="108" w:type="dxa"/>
          <w:bottom w:w="0" w:type="dxa"/>
          <w:right w:w="108" w:type="dxa"/>
        </w:tblCellMar>
      </w:tblPr>
      <w:tblGrid>
        <w:gridCol w:w="745"/>
        <w:gridCol w:w="1515"/>
        <w:gridCol w:w="777"/>
        <w:gridCol w:w="5692"/>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同类业绩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4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w:t>
            </w:r>
            <w:r>
              <w:rPr>
                <w:rFonts w:hint="eastAsia" w:ascii="仿宋" w:hAnsi="仿宋" w:eastAsia="仿宋" w:cs="仿宋"/>
                <w:color w:val="auto"/>
                <w:sz w:val="24"/>
                <w:szCs w:val="24"/>
                <w:highlight w:val="none"/>
                <w:lang w:eastAsia="zh-CN" w:bidi="ar"/>
              </w:rPr>
              <w:t>供应商提供</w:t>
            </w:r>
            <w:r>
              <w:rPr>
                <w:rFonts w:hint="eastAsia" w:ascii="仿宋" w:hAnsi="仿宋" w:eastAsia="仿宋" w:cs="仿宋"/>
                <w:color w:val="auto"/>
                <w:sz w:val="24"/>
                <w:szCs w:val="24"/>
                <w:highlight w:val="none"/>
                <w:lang w:bidi="ar"/>
              </w:rPr>
              <w:t>20</w:t>
            </w:r>
            <w:r>
              <w:rPr>
                <w:rFonts w:hint="eastAsia" w:ascii="仿宋" w:hAnsi="仿宋" w:eastAsia="仿宋" w:cs="仿宋"/>
                <w:color w:val="auto"/>
                <w:sz w:val="24"/>
                <w:szCs w:val="24"/>
                <w:highlight w:val="none"/>
                <w:lang w:val="en-US" w:eastAsia="zh-CN" w:bidi="ar"/>
              </w:rPr>
              <w:t>21</w:t>
            </w:r>
            <w:r>
              <w:rPr>
                <w:rFonts w:hint="eastAsia" w:ascii="仿宋" w:hAnsi="仿宋" w:eastAsia="仿宋" w:cs="仿宋"/>
                <w:color w:val="auto"/>
                <w:sz w:val="24"/>
                <w:szCs w:val="24"/>
                <w:highlight w:val="none"/>
                <w:lang w:bidi="ar"/>
              </w:rPr>
              <w:t>年1月1日至今（以合同签订时间为准）业绩数量进行评审：</w:t>
            </w:r>
          </w:p>
          <w:p>
            <w:pPr>
              <w:adjustRightInd w:val="0"/>
              <w:spacing w:line="340" w:lineRule="exact"/>
              <w:jc w:val="left"/>
              <w:rPr>
                <w:rFonts w:hint="eastAsia" w:ascii="仿宋" w:hAnsi="仿宋" w:eastAsia="仿宋"/>
                <w:color w:val="auto"/>
                <w:sz w:val="24"/>
                <w:highlight w:val="none"/>
                <w:lang w:eastAsia="zh-CN"/>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每提供一份</w:t>
            </w:r>
            <w:r>
              <w:rPr>
                <w:rFonts w:hint="eastAsia" w:ascii="仿宋" w:hAnsi="仿宋" w:eastAsia="仿宋" w:cs="仿宋"/>
                <w:color w:val="auto"/>
                <w:sz w:val="24"/>
                <w:szCs w:val="24"/>
                <w:highlight w:val="none"/>
                <w:lang w:eastAsia="zh-CN" w:bidi="ar"/>
              </w:rPr>
              <w:t>建设</w:t>
            </w:r>
            <w:r>
              <w:rPr>
                <w:rFonts w:hint="eastAsia" w:ascii="仿宋" w:hAnsi="仿宋" w:eastAsia="仿宋" w:cs="仿宋"/>
                <w:color w:val="auto"/>
                <w:kern w:val="0"/>
                <w:sz w:val="24"/>
                <w:highlight w:val="none"/>
                <w:lang w:eastAsia="zh-CN"/>
              </w:rPr>
              <w:t>工程招标</w:t>
            </w:r>
            <w:r>
              <w:rPr>
                <w:rFonts w:hint="eastAsia" w:ascii="仿宋" w:hAnsi="仿宋" w:eastAsia="仿宋"/>
                <w:color w:val="auto"/>
                <w:sz w:val="24"/>
                <w:highlight w:val="none"/>
                <w:lang w:eastAsia="zh-CN"/>
              </w:rPr>
              <w:t>业绩得</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分，最高得</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lang w:eastAsia="zh-CN"/>
              </w:rPr>
              <w:t>分；</w:t>
            </w:r>
          </w:p>
          <w:p>
            <w:pPr>
              <w:adjustRightInd w:val="0"/>
              <w:spacing w:line="340" w:lineRule="exact"/>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r>
              <w:rPr>
                <w:rFonts w:hint="eastAsia" w:ascii="仿宋" w:hAnsi="仿宋" w:eastAsia="仿宋" w:cs="仿宋"/>
                <w:color w:val="auto"/>
                <w:sz w:val="24"/>
                <w:szCs w:val="24"/>
                <w:highlight w:val="none"/>
                <w:lang w:bidi="ar"/>
              </w:rPr>
              <w:t>每提供一份</w:t>
            </w:r>
            <w:r>
              <w:rPr>
                <w:rFonts w:hint="eastAsia" w:ascii="仿宋" w:hAnsi="仿宋" w:eastAsia="仿宋"/>
                <w:color w:val="auto"/>
                <w:sz w:val="24"/>
                <w:highlight w:val="none"/>
                <w:lang w:eastAsia="zh-CN"/>
              </w:rPr>
              <w:t>产权交易项目业绩得</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分，最高得</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分；</w:t>
            </w:r>
          </w:p>
          <w:p>
            <w:pPr>
              <w:adjustRightInd w:val="0"/>
              <w:spacing w:line="340" w:lineRule="exact"/>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b w:val="0"/>
                <w:bCs w:val="0"/>
                <w:color w:val="auto"/>
                <w:sz w:val="24"/>
                <w:highlight w:val="none"/>
                <w:lang w:eastAsia="zh-CN"/>
              </w:rPr>
              <w:t>提供建设工程招标代理合同复印件、在广东省招标投标监管网或公共资源交易中心网站发布的招标公告网页截图及查询路径链接；提供产权项目代理合同复印件及公共资源交易中心网站发布的招标公告网页截图，不提供不得分；</w:t>
            </w:r>
            <w:r>
              <w:rPr>
                <w:rFonts w:hint="eastAsia" w:ascii="仿宋" w:hAnsi="仿宋" w:eastAsia="仿宋" w:cs="仿宋"/>
                <w:color w:val="auto"/>
                <w:sz w:val="24"/>
                <w:szCs w:val="24"/>
                <w:highlight w:val="none"/>
                <w:lang w:eastAsia="zh-CN" w:bidi="ar"/>
              </w:rPr>
              <w:t>合同复印件为</w:t>
            </w:r>
            <w:r>
              <w:rPr>
                <w:rFonts w:hint="eastAsia" w:ascii="仿宋" w:hAnsi="仿宋" w:eastAsia="仿宋" w:cs="仿宋"/>
                <w:color w:val="auto"/>
                <w:sz w:val="24"/>
                <w:szCs w:val="24"/>
                <w:highlight w:val="none"/>
                <w:lang w:bidi="ar"/>
              </w:rPr>
              <w:t>有效清晰的合同关键页复印件并加盖公章（合同关键页包括但不限于：合同首页、合同内容页、可识别的合同执行时间或合同签订时间页、合同签字盖章页，未按要求提供或不能体现上述要求的不得分</w:t>
            </w:r>
            <w:r>
              <w:rPr>
                <w:rFonts w:hint="eastAsia" w:ascii="仿宋" w:hAnsi="仿宋" w:eastAsia="仿宋"/>
                <w:color w:val="auto"/>
                <w:sz w:val="24"/>
                <w:highlight w:val="none"/>
                <w:lang w:eastAsia="zh-CN"/>
              </w:rPr>
              <w:t>）</w:t>
            </w:r>
          </w:p>
          <w:p>
            <w:pPr>
              <w:numPr>
                <w:ilvl w:val="0"/>
                <w:numId w:val="0"/>
              </w:numPr>
              <w:adjustRightInd w:val="0"/>
              <w:spacing w:line="34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每提供一份国际招标业绩得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分，最高得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分；</w:t>
            </w:r>
          </w:p>
          <w:p>
            <w:pPr>
              <w:numPr>
                <w:ilvl w:val="0"/>
                <w:numId w:val="0"/>
              </w:numPr>
              <w:adjustRightInd w:val="0"/>
              <w:spacing w:line="34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每提供一份政府采购业绩得</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分，最高得</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分。</w:t>
            </w:r>
          </w:p>
          <w:p>
            <w:pPr>
              <w:adjustRightInd w:val="0"/>
              <w:spacing w:line="340" w:lineRule="exact"/>
              <w:jc w:val="left"/>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提供有效清晰的合同关键页复印件并加盖公章（合同关键页包括但不限于：合同首页、合同内容页、可识别的合同执行时间或合同签订时间页、合同签字盖章页，未按要求提供或不能体现上述要求的不得分）</w:t>
            </w:r>
            <w:r>
              <w:rPr>
                <w:rFonts w:hint="eastAsia" w:ascii="仿宋" w:hAnsi="仿宋" w:eastAsia="仿宋" w:cs="仿宋"/>
                <w:color w:val="auto"/>
                <w:sz w:val="24"/>
                <w:szCs w:val="24"/>
                <w:highlight w:val="none"/>
                <w:lang w:eastAsia="zh-CN" w:bidi="ar"/>
              </w:rPr>
              <w:t>。</w:t>
            </w:r>
          </w:p>
        </w:tc>
      </w:tr>
      <w:tr>
        <w:tblPrEx>
          <w:tblCellMar>
            <w:top w:w="0" w:type="dxa"/>
            <w:left w:w="108" w:type="dxa"/>
            <w:bottom w:w="0" w:type="dxa"/>
            <w:right w:w="108" w:type="dxa"/>
          </w:tblCellMar>
        </w:tblPrEx>
        <w:trPr>
          <w:trHeight w:val="6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center"/>
              <w:rPr>
                <w:rFonts w:hint="default"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人员配备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根据供应商拟派出人员团队进行评审</w:t>
            </w:r>
            <w:r>
              <w:rPr>
                <w:rFonts w:hint="eastAsia" w:ascii="仿宋" w:hAnsi="仿宋" w:eastAsia="仿宋" w:cs="仿宋"/>
                <w:color w:val="auto"/>
                <w:kern w:val="0"/>
                <w:sz w:val="24"/>
                <w:szCs w:val="24"/>
                <w:highlight w:val="none"/>
                <w:lang w:val="zh-CN" w:eastAsia="zh-CN"/>
              </w:rPr>
              <w:t>：</w:t>
            </w:r>
          </w:p>
          <w:p>
            <w:pP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1、其中含1名招标采购主管，招标采购主管具有“</w:t>
            </w:r>
            <w:r>
              <w:rPr>
                <w:rFonts w:hint="eastAsia" w:ascii="仿宋" w:hAnsi="仿宋" w:eastAsia="仿宋" w:cs="仿宋"/>
                <w:color w:val="auto"/>
                <w:sz w:val="24"/>
                <w:szCs w:val="24"/>
                <w:highlight w:val="none"/>
                <w:lang w:eastAsia="zh-CN"/>
              </w:rPr>
              <w:t>招标师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kern w:val="0"/>
                <w:sz w:val="24"/>
                <w:szCs w:val="24"/>
                <w:highlight w:val="none"/>
                <w:lang w:val="en-US" w:eastAsia="zh-CN"/>
              </w:rPr>
              <w:t>“招标采购从业人员专业技术能力评价证书”的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kern w:val="0"/>
                <w:sz w:val="24"/>
                <w:szCs w:val="24"/>
                <w:highlight w:val="none"/>
                <w:lang w:val="en-US" w:eastAsia="zh-CN"/>
              </w:rPr>
              <w:t>本小项最高得3分。</w:t>
            </w:r>
          </w:p>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eastAsia="zh-CN"/>
              </w:rPr>
              <w:t>（需提供实施人员相关证书的证明材料复印件及近半年任意一个月社保缴纳记录，无提供不得分）；</w:t>
            </w:r>
          </w:p>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其他专职人员（除招标采购主管外）具有行业主管部门或广东省政府采购协会颁发的“培训证书”，或具有“招标采购从业人员专业技术能力评价证书”，每提供一名人员满足条件的，得2分，本小项最高得6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（需提供专职人员的有效证书及供应商为其缴纳的距离递交响应文件截止</w:t>
            </w:r>
            <w:r>
              <w:rPr>
                <w:rFonts w:hint="eastAsia" w:ascii="仿宋" w:hAnsi="仿宋" w:eastAsia="仿宋" w:cs="仿宋"/>
                <w:color w:val="auto"/>
                <w:kern w:val="0"/>
                <w:sz w:val="24"/>
                <w:szCs w:val="24"/>
                <w:highlight w:val="none"/>
                <w:lang w:val="zh-CN"/>
              </w:rPr>
              <w:t>日</w:t>
            </w:r>
            <w:r>
              <w:rPr>
                <w:rFonts w:hint="eastAsia" w:ascii="仿宋" w:hAnsi="仿宋" w:eastAsia="仿宋" w:cs="仿宋"/>
                <w:color w:val="auto"/>
                <w:kern w:val="0"/>
                <w:sz w:val="24"/>
                <w:szCs w:val="24"/>
                <w:highlight w:val="none"/>
                <w:lang w:val="en-US" w:eastAsia="zh-CN"/>
              </w:rPr>
              <w:t>前</w:t>
            </w:r>
            <w:r>
              <w:rPr>
                <w:rFonts w:hint="eastAsia" w:ascii="仿宋" w:hAnsi="仿宋" w:eastAsia="仿宋" w:cs="仿宋"/>
                <w:color w:val="auto"/>
                <w:sz w:val="24"/>
                <w:szCs w:val="24"/>
                <w:highlight w:val="none"/>
                <w:lang w:eastAsia="zh-CN"/>
              </w:rPr>
              <w:t>近半年任意一个月社保缴纳记录，无提供不得分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一人多证的，则按最高分值计取，不可重复得分。）</w:t>
            </w:r>
          </w:p>
        </w:tc>
      </w:tr>
      <w:tr>
        <w:tblPrEx>
          <w:tblCellMar>
            <w:top w:w="0" w:type="dxa"/>
            <w:left w:w="108" w:type="dxa"/>
            <w:bottom w:w="0" w:type="dxa"/>
            <w:right w:w="108" w:type="dxa"/>
          </w:tblCellMar>
        </w:tblPrEx>
        <w:trPr>
          <w:trHeight w:val="6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center"/>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场地条件</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val="zh-CN" w:eastAsia="zh-CN"/>
              </w:rPr>
              <w:t>提供自有场地的开评标室</w:t>
            </w:r>
            <w:r>
              <w:rPr>
                <w:rFonts w:hint="eastAsia" w:ascii="仿宋" w:hAnsi="仿宋" w:eastAsia="仿宋" w:cs="仿宋"/>
                <w:color w:val="auto"/>
                <w:kern w:val="0"/>
                <w:sz w:val="24"/>
                <w:szCs w:val="24"/>
                <w:highlight w:val="none"/>
                <w:lang w:val="en-US" w:eastAsia="zh-CN"/>
              </w:rPr>
              <w:t>进行评分：</w:t>
            </w:r>
          </w:p>
          <w:p>
            <w:pPr>
              <w:numPr>
                <w:ilvl w:val="0"/>
                <w:numId w:val="0"/>
              </w:num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1、①具有开标室1个，且具备电脑及显示大屏等开标、评标条件的，得1分；</w:t>
            </w:r>
          </w:p>
          <w:p>
            <w:pPr>
              <w:numPr>
                <w:ilvl w:val="0"/>
                <w:numId w:val="0"/>
              </w:num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②具有开标室≥2个，且具备电脑及显示大屏等开标、评标条件的，得2分；</w:t>
            </w:r>
          </w:p>
          <w:p>
            <w:pPr>
              <w:numPr>
                <w:ilvl w:val="0"/>
                <w:numId w:val="0"/>
              </w:num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不具备上述条件不得分，本小项最高得2分。</w:t>
            </w:r>
          </w:p>
          <w:p>
            <w:pPr>
              <w:numPr>
                <w:ilvl w:val="0"/>
                <w:numId w:val="0"/>
              </w:numPr>
              <w:rPr>
                <w:color w:val="auto"/>
                <w:highlight w:val="none"/>
              </w:rPr>
            </w:pPr>
            <w:r>
              <w:rPr>
                <w:rFonts w:hint="eastAsia" w:ascii="仿宋" w:hAnsi="仿宋" w:eastAsia="仿宋" w:cs="仿宋"/>
                <w:color w:val="auto"/>
                <w:kern w:val="0"/>
                <w:sz w:val="24"/>
                <w:szCs w:val="24"/>
                <w:highlight w:val="none"/>
                <w:lang w:val="en-US" w:eastAsia="zh-CN"/>
              </w:rPr>
              <w:t>2、①</w:t>
            </w:r>
            <w:r>
              <w:rPr>
                <w:rFonts w:hint="eastAsia" w:ascii="仿宋" w:hAnsi="仿宋" w:eastAsia="仿宋" w:cs="仿宋"/>
                <w:color w:val="auto"/>
                <w:kern w:val="0"/>
                <w:sz w:val="24"/>
                <w:szCs w:val="24"/>
                <w:highlight w:val="none"/>
                <w:lang w:val="zh-CN" w:eastAsia="zh-CN"/>
              </w:rPr>
              <w:t>具</w:t>
            </w:r>
            <w:r>
              <w:rPr>
                <w:rFonts w:hint="eastAsia" w:ascii="仿宋" w:hAnsi="仿宋" w:eastAsia="仿宋" w:cs="仿宋"/>
                <w:color w:val="auto"/>
                <w:kern w:val="0"/>
                <w:sz w:val="24"/>
                <w:szCs w:val="24"/>
                <w:highlight w:val="none"/>
                <w:lang w:val="en-US" w:eastAsia="zh-CN"/>
              </w:rPr>
              <w:t>有</w:t>
            </w:r>
            <w:r>
              <w:rPr>
                <w:rFonts w:hint="eastAsia" w:ascii="仿宋" w:hAnsi="仿宋" w:eastAsia="仿宋" w:cs="仿宋"/>
                <w:color w:val="auto"/>
                <w:kern w:val="0"/>
                <w:sz w:val="24"/>
                <w:szCs w:val="24"/>
                <w:highlight w:val="none"/>
                <w:lang w:val="zh-CN" w:eastAsia="zh-CN"/>
              </w:rPr>
              <w:t>评标室</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eastAsia="zh-CN"/>
              </w:rPr>
              <w:t>个，</w:t>
            </w:r>
            <w:r>
              <w:rPr>
                <w:rFonts w:hint="eastAsia" w:ascii="仿宋" w:hAnsi="仿宋" w:eastAsia="仿宋" w:cs="仿宋"/>
                <w:color w:val="auto"/>
                <w:kern w:val="0"/>
                <w:sz w:val="24"/>
                <w:szCs w:val="24"/>
                <w:highlight w:val="none"/>
                <w:lang w:val="en-US" w:eastAsia="zh-CN"/>
              </w:rPr>
              <w:t>且具备电脑及显示大屏等开标、评标条件的，得1分</w:t>
            </w:r>
          </w:p>
          <w:p>
            <w:pPr>
              <w:numPr>
                <w:ilvl w:val="0"/>
                <w:numId w:val="0"/>
              </w:num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②</w:t>
            </w:r>
            <w:r>
              <w:rPr>
                <w:rFonts w:hint="eastAsia" w:ascii="仿宋" w:hAnsi="仿宋" w:eastAsia="仿宋" w:cs="仿宋"/>
                <w:color w:val="auto"/>
                <w:kern w:val="0"/>
                <w:sz w:val="24"/>
                <w:szCs w:val="24"/>
                <w:highlight w:val="none"/>
                <w:lang w:val="en-US" w:eastAsia="zh-CN"/>
              </w:rPr>
              <w:t>具有</w:t>
            </w:r>
            <w:r>
              <w:rPr>
                <w:rFonts w:hint="eastAsia" w:ascii="仿宋" w:hAnsi="仿宋" w:eastAsia="仿宋" w:cs="仿宋"/>
                <w:color w:val="auto"/>
                <w:kern w:val="0"/>
                <w:sz w:val="24"/>
                <w:szCs w:val="24"/>
                <w:highlight w:val="none"/>
                <w:lang w:val="zh-CN" w:eastAsia="zh-CN"/>
              </w:rPr>
              <w:t>评标室≥</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eastAsia="zh-CN"/>
              </w:rPr>
              <w:t>个，</w:t>
            </w:r>
            <w:r>
              <w:rPr>
                <w:rFonts w:hint="eastAsia" w:ascii="仿宋" w:hAnsi="仿宋" w:eastAsia="仿宋" w:cs="仿宋"/>
                <w:color w:val="auto"/>
                <w:kern w:val="0"/>
                <w:sz w:val="24"/>
                <w:szCs w:val="24"/>
                <w:highlight w:val="none"/>
                <w:lang w:val="en-US" w:eastAsia="zh-CN"/>
              </w:rPr>
              <w:t>且具备电脑及显示大屏等开标、评标条件的，得2分；</w:t>
            </w:r>
          </w:p>
          <w:p>
            <w:pPr>
              <w:numPr>
                <w:ilvl w:val="0"/>
                <w:numId w:val="0"/>
              </w:numPr>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不具备上述条件不得分，本小项最高得2分。</w:t>
            </w:r>
          </w:p>
          <w:p>
            <w:pPr>
              <w:numPr>
                <w:ilvl w:val="0"/>
                <w:numId w:val="0"/>
              </w:num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2、具有独立的监控室能实时监督开标室和评标室的，得2分。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（需提供场地条件的证明材料：场地租赁合同（或产权证书）、开标室、评标室及监控室图片，</w:t>
            </w:r>
            <w:r>
              <w:rPr>
                <w:rFonts w:hint="eastAsia" w:ascii="仿宋" w:hAnsi="仿宋" w:eastAsia="仿宋" w:cs="仿宋"/>
                <w:color w:val="auto"/>
                <w:kern w:val="0"/>
                <w:sz w:val="24"/>
                <w:szCs w:val="24"/>
                <w:highlight w:val="none"/>
                <w:lang w:val="zh-CN"/>
              </w:rPr>
              <w:t>复印件加盖公章，</w:t>
            </w:r>
            <w:r>
              <w:rPr>
                <w:rFonts w:hint="eastAsia" w:ascii="仿宋" w:hAnsi="仿宋" w:eastAsia="仿宋" w:cs="仿宋"/>
                <w:color w:val="auto"/>
                <w:sz w:val="24"/>
                <w:highlight w:val="none"/>
              </w:rPr>
              <w:t>无提供不得分</w:t>
            </w:r>
            <w:r>
              <w:rPr>
                <w:rFonts w:hint="eastAsia" w:ascii="仿宋" w:hAnsi="仿宋" w:eastAsia="仿宋" w:cs="仿宋"/>
                <w:color w:val="auto"/>
                <w:sz w:val="24"/>
                <w:highlight w:val="none"/>
                <w:lang w:eastAsia="zh-CN"/>
              </w:rPr>
              <w:t>。注：提供的图片需明确标注开标室、评标室、监控室等</w:t>
            </w:r>
            <w:r>
              <w:rPr>
                <w:rFonts w:hint="eastAsia" w:ascii="仿宋" w:hAnsi="仿宋" w:eastAsia="仿宋" w:cs="仿宋"/>
                <w:color w:val="auto"/>
                <w:kern w:val="0"/>
                <w:sz w:val="24"/>
                <w:szCs w:val="24"/>
                <w:highlight w:val="none"/>
                <w:lang w:val="en-US" w:eastAsia="zh-CN"/>
              </w:rPr>
              <w:t>）</w:t>
            </w:r>
          </w:p>
        </w:tc>
      </w:tr>
      <w:tr>
        <w:tblPrEx>
          <w:tblCellMar>
            <w:top w:w="0" w:type="dxa"/>
            <w:left w:w="108" w:type="dxa"/>
            <w:bottom w:w="0" w:type="dxa"/>
            <w:right w:w="108" w:type="dxa"/>
          </w:tblCellMar>
        </w:tblPrEx>
        <w:trPr>
          <w:trHeight w:val="398"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用户满意度评价（依据20</w:t>
            </w: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年以来完成的同类项目）</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10分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各</w:t>
            </w:r>
            <w:r>
              <w:rPr>
                <w:rFonts w:hint="eastAsia" w:ascii="仿宋" w:hAnsi="仿宋" w:eastAsia="仿宋" w:cs="仿宋"/>
                <w:color w:val="auto"/>
                <w:kern w:val="0"/>
                <w:sz w:val="24"/>
                <w:highlight w:val="none"/>
              </w:rPr>
              <w:t>供应商提供</w:t>
            </w:r>
            <w:r>
              <w:rPr>
                <w:rFonts w:hint="eastAsia" w:ascii="仿宋" w:hAnsi="仿宋" w:eastAsia="仿宋" w:cs="仿宋"/>
                <w:color w:val="auto"/>
                <w:kern w:val="0"/>
                <w:sz w:val="24"/>
                <w:highlight w:val="none"/>
                <w:lang w:eastAsia="zh-CN"/>
              </w:rPr>
              <w:t>同</w:t>
            </w:r>
            <w:r>
              <w:rPr>
                <w:rFonts w:hint="eastAsia" w:ascii="仿宋" w:hAnsi="仿宋" w:eastAsia="仿宋" w:cs="仿宋"/>
                <w:color w:val="auto"/>
                <w:kern w:val="0"/>
                <w:sz w:val="24"/>
                <w:highlight w:val="none"/>
              </w:rPr>
              <w:t>类项目的用户满意度评价（满意度评价为优或非常满意或分值达到90分或以上等表示服务好的评价）进行评审，其他评价等级不得分；供应商每提供一份满意度评价证明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；无提供不得分。</w:t>
            </w:r>
          </w:p>
          <w:p>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需</w:t>
            </w:r>
            <w:r>
              <w:rPr>
                <w:rFonts w:hint="eastAsia" w:ascii="仿宋" w:hAnsi="仿宋" w:eastAsia="仿宋" w:cs="仿宋"/>
                <w:color w:val="auto"/>
                <w:kern w:val="0"/>
                <w:sz w:val="24"/>
                <w:highlight w:val="none"/>
              </w:rPr>
              <w:t>提供同类项目由用户盖章的满意度评价证明文件，复印件加盖公章）</w:t>
            </w:r>
          </w:p>
        </w:tc>
      </w:tr>
      <w:tr>
        <w:tblPrEx>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招标业务交易系统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5分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各</w:t>
            </w:r>
            <w:r>
              <w:rPr>
                <w:rFonts w:hint="eastAsia" w:ascii="仿宋" w:hAnsi="仿宋" w:eastAsia="仿宋" w:cs="仿宋"/>
                <w:color w:val="auto"/>
                <w:kern w:val="0"/>
                <w:sz w:val="24"/>
                <w:highlight w:val="none"/>
              </w:rPr>
              <w:t>供应商提供</w:t>
            </w:r>
            <w:r>
              <w:rPr>
                <w:rFonts w:hint="eastAsia" w:ascii="仿宋" w:hAnsi="仿宋" w:eastAsia="仿宋" w:cs="仿宋"/>
                <w:color w:val="auto"/>
                <w:kern w:val="0"/>
                <w:sz w:val="24"/>
                <w:highlight w:val="none"/>
                <w:lang w:eastAsia="zh-CN"/>
              </w:rPr>
              <w:t>自有</w:t>
            </w:r>
            <w:r>
              <w:rPr>
                <w:rFonts w:hint="eastAsia" w:ascii="仿宋" w:hAnsi="仿宋" w:eastAsia="仿宋" w:cs="仿宋"/>
                <w:color w:val="auto"/>
                <w:sz w:val="24"/>
                <w:highlight w:val="none"/>
              </w:rPr>
              <w:t>招标业务交易系统</w:t>
            </w:r>
            <w:r>
              <w:rPr>
                <w:rFonts w:hint="eastAsia" w:ascii="仿宋" w:hAnsi="仿宋" w:eastAsia="仿宋" w:cs="仿宋"/>
                <w:color w:val="auto"/>
                <w:sz w:val="24"/>
                <w:highlight w:val="none"/>
                <w:lang w:eastAsia="zh-CN"/>
              </w:rPr>
              <w:t>进行综合评审：</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招标业务交易系统要求功能如下: ①具有用户管理功能</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门户管理功能；</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电子资料</w:t>
            </w:r>
            <w:r>
              <w:rPr>
                <w:rFonts w:hint="eastAsia" w:ascii="仿宋" w:hAnsi="仿宋" w:eastAsia="仿宋" w:cs="仿宋"/>
                <w:color w:val="auto"/>
                <w:sz w:val="24"/>
                <w:highlight w:val="none"/>
              </w:rPr>
              <w:t>历史档案管理；</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具有招标公告、在线咨询、建标管理、待办任务、已办任务、编制采购需求、采购需求审核、应标管理、投标管理、合同管理、投诉管理等功能；</w:t>
            </w:r>
          </w:p>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在线咨询</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在线购买标书功能；</w:t>
            </w: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待办任务</w:t>
            </w:r>
            <w:r>
              <w:rPr>
                <w:rFonts w:hint="eastAsia" w:ascii="仿宋" w:hAnsi="仿宋" w:eastAsia="仿宋" w:cs="仿宋"/>
                <w:color w:val="auto"/>
                <w:sz w:val="24"/>
                <w:highlight w:val="none"/>
                <w:lang w:eastAsia="zh-CN"/>
              </w:rPr>
              <w:t>提醒</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⑥</w:t>
            </w:r>
            <w:r>
              <w:rPr>
                <w:rFonts w:hint="eastAsia" w:ascii="仿宋" w:hAnsi="仿宋" w:eastAsia="仿宋" w:cs="仿宋"/>
                <w:color w:val="auto"/>
                <w:sz w:val="24"/>
                <w:highlight w:val="none"/>
              </w:rPr>
              <w:t>应标管理</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投标管理。</w:t>
            </w:r>
            <w:r>
              <w:rPr>
                <w:rFonts w:hint="eastAsia" w:ascii="仿宋" w:hAnsi="仿宋" w:eastAsia="仿宋" w:cs="仿宋"/>
                <w:color w:val="auto"/>
                <w:sz w:val="24"/>
                <w:highlight w:val="none"/>
                <w:lang w:val="en-US" w:eastAsia="zh-CN"/>
              </w:rPr>
              <w:t>⑦交易过程全程线上交易，采购人可线上监督；⑧全流程电子化在线交易不可逆，支持溯源；⑨支持招标采购类项目；⑩支持零星项目竞价议价采购。</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每满足</w:t>
            </w:r>
            <w:r>
              <w:rPr>
                <w:rFonts w:hint="eastAsia" w:ascii="仿宋" w:hAnsi="仿宋" w:eastAsia="仿宋" w:cs="仿宋"/>
                <w:color w:val="auto"/>
                <w:sz w:val="24"/>
                <w:highlight w:val="none"/>
                <w:lang w:val="en-US" w:eastAsia="zh-CN"/>
              </w:rPr>
              <w:t>一项得0.5分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最高得</w:t>
            </w:r>
            <w:r>
              <w:rPr>
                <w:rFonts w:hint="eastAsia" w:ascii="仿宋" w:hAnsi="仿宋" w:eastAsia="仿宋" w:cs="仿宋"/>
                <w:color w:val="auto"/>
                <w:sz w:val="24"/>
                <w:highlight w:val="none"/>
                <w:lang w:val="en-US" w:eastAsia="zh-CN"/>
              </w:rPr>
              <w:t>5分。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需</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eastAsia="zh-CN"/>
              </w:rPr>
              <w:t>以上功能对应页面截图、</w:t>
            </w:r>
            <w:r>
              <w:rPr>
                <w:rFonts w:hint="eastAsia" w:ascii="仿宋" w:hAnsi="仿宋" w:eastAsia="仿宋" w:cs="仿宋"/>
                <w:color w:val="auto"/>
                <w:sz w:val="24"/>
                <w:highlight w:val="none"/>
              </w:rPr>
              <w:t>省或国家软件测评中心出具的软件测试报告佐证功能是否符合要求，复印件加盖公章，无提供不得分）</w:t>
            </w:r>
          </w:p>
        </w:tc>
      </w:tr>
      <w:tr>
        <w:tblPrEx>
          <w:tblCellMar>
            <w:top w:w="0" w:type="dxa"/>
            <w:left w:w="108" w:type="dxa"/>
            <w:bottom w:w="0" w:type="dxa"/>
            <w:right w:w="108" w:type="dxa"/>
          </w:tblCellMar>
        </w:tblPrEx>
        <w:trPr>
          <w:trHeight w:val="618"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项目组织实施方案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ind w:firstLine="120" w:firstLineChars="5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项目组织实施方案进行</w:t>
            </w: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评审：</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1、能全面理解且熟悉采购人关于第三方论证及招标代理的工作职责和要求，对招标关键节点提出有效的控制措施，提出完善且有效的保证进度措施</w:t>
            </w:r>
            <w:r>
              <w:rPr>
                <w:rFonts w:hint="eastAsia" w:ascii="仿宋" w:hAnsi="仿宋" w:eastAsia="仿宋" w:cs="仿宋"/>
                <w:color w:val="auto"/>
                <w:sz w:val="24"/>
                <w:highlight w:val="none"/>
                <w:lang w:eastAsia="zh-CN"/>
              </w:rPr>
              <w:t>为优，</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2、能基本理解采购人关于招标代理的工作职责和要求，对招标关键节点提出的控制措施</w:t>
            </w:r>
            <w:r>
              <w:rPr>
                <w:rFonts w:hint="eastAsia" w:ascii="仿宋" w:hAnsi="仿宋" w:eastAsia="仿宋" w:cs="仿宋"/>
                <w:color w:val="auto"/>
                <w:sz w:val="24"/>
                <w:highlight w:val="none"/>
                <w:lang w:eastAsia="zh-CN"/>
              </w:rPr>
              <w:t>合理</w:t>
            </w:r>
            <w:r>
              <w:rPr>
                <w:rFonts w:hint="eastAsia" w:ascii="仿宋" w:hAnsi="仿宋" w:eastAsia="仿宋" w:cs="仿宋"/>
                <w:color w:val="auto"/>
                <w:sz w:val="24"/>
                <w:highlight w:val="none"/>
              </w:rPr>
              <w:t>，提出的保证进度措施</w:t>
            </w:r>
            <w:r>
              <w:rPr>
                <w:rFonts w:hint="eastAsia" w:ascii="仿宋" w:hAnsi="仿宋" w:eastAsia="仿宋" w:cs="仿宋"/>
                <w:color w:val="auto"/>
                <w:sz w:val="24"/>
                <w:highlight w:val="none"/>
                <w:lang w:eastAsia="zh-CN"/>
              </w:rPr>
              <w:t>符合为良</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3、对采购人关于招标代理的工作职责和要求理解较差，对招标关键节点提出的控制措施欠合理，提出的保证进度措施欠可行</w:t>
            </w:r>
            <w:r>
              <w:rPr>
                <w:rFonts w:hint="eastAsia" w:ascii="仿宋" w:hAnsi="仿宋" w:eastAsia="仿宋" w:cs="仿宋"/>
                <w:color w:val="auto"/>
                <w:sz w:val="24"/>
                <w:highlight w:val="none"/>
                <w:lang w:eastAsia="zh-CN"/>
              </w:rPr>
              <w:t>为一般</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无提供方案</w:t>
            </w:r>
            <w:r>
              <w:rPr>
                <w:rFonts w:hint="eastAsia" w:ascii="仿宋" w:hAnsi="仿宋" w:eastAsia="仿宋" w:cs="仿宋"/>
                <w:color w:val="auto"/>
                <w:sz w:val="24"/>
                <w:highlight w:val="none"/>
              </w:rPr>
              <w:t>不得分。</w:t>
            </w:r>
          </w:p>
        </w:tc>
      </w:tr>
      <w:tr>
        <w:tblPrEx>
          <w:tblCellMar>
            <w:top w:w="0" w:type="dxa"/>
            <w:left w:w="108" w:type="dxa"/>
            <w:bottom w:w="0" w:type="dxa"/>
            <w:right w:w="108" w:type="dxa"/>
          </w:tblCellMar>
        </w:tblPrEx>
        <w:trPr>
          <w:trHeight w:val="61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trike w:val="0"/>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bidi="ar-SA"/>
              </w:rPr>
              <w:t>售后响应方案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trike w:val="0"/>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bidi="ar-SA"/>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提供的本项目</w:t>
            </w:r>
            <w:r>
              <w:rPr>
                <w:rFonts w:hint="eastAsia" w:ascii="仿宋" w:hAnsi="仿宋" w:eastAsia="仿宋" w:cs="仿宋"/>
                <w:color w:val="auto"/>
                <w:sz w:val="24"/>
                <w:highlight w:val="none"/>
                <w:lang w:eastAsia="zh-CN"/>
              </w:rPr>
              <w:t>售后响应</w:t>
            </w:r>
            <w:r>
              <w:rPr>
                <w:rFonts w:hint="eastAsia" w:ascii="仿宋" w:hAnsi="仿宋" w:eastAsia="仿宋" w:cs="仿宋"/>
                <w:color w:val="auto"/>
                <w:sz w:val="24"/>
                <w:highlight w:val="none"/>
              </w:rPr>
              <w:t>方案（包括但不限于售后服务方案，</w:t>
            </w:r>
            <w:r>
              <w:rPr>
                <w:rFonts w:hint="eastAsia" w:ascii="仿宋" w:hAnsi="仿宋" w:eastAsia="仿宋" w:cs="仿宋"/>
                <w:color w:val="auto"/>
                <w:sz w:val="24"/>
                <w:highlight w:val="none"/>
                <w:lang w:eastAsia="zh-CN"/>
              </w:rPr>
              <w:t>投诉处</w:t>
            </w:r>
            <w:r>
              <w:rPr>
                <w:rFonts w:hint="eastAsia" w:ascii="仿宋" w:hAnsi="仿宋" w:eastAsia="仿宋" w:cs="仿宋"/>
                <w:color w:val="auto"/>
                <w:sz w:val="24"/>
                <w:highlight w:val="none"/>
              </w:rPr>
              <w:t>理方案、快速响应时间等）进行综合评审：</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售后服务方案具体规范完善、服务方案完整、响应时间少于或等于1小时、投诉</w:t>
            </w:r>
            <w:r>
              <w:rPr>
                <w:rFonts w:hint="eastAsia" w:ascii="仿宋" w:hAnsi="仿宋" w:eastAsia="仿宋" w:cs="仿宋"/>
                <w:color w:val="auto"/>
                <w:sz w:val="24"/>
                <w:highlight w:val="none"/>
                <w:lang w:eastAsia="zh-CN"/>
              </w:rPr>
              <w:t>处</w:t>
            </w:r>
            <w:r>
              <w:rPr>
                <w:rFonts w:hint="eastAsia" w:ascii="仿宋" w:hAnsi="仿宋" w:eastAsia="仿宋" w:cs="仿宋"/>
                <w:color w:val="auto"/>
                <w:sz w:val="24"/>
                <w:highlight w:val="none"/>
              </w:rPr>
              <w:t>理流程完整，得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售后服务方案具体规范完善、服务方案较完整，响应时间大于1小时</w:t>
            </w:r>
            <w:r>
              <w:rPr>
                <w:rFonts w:hint="eastAsia" w:ascii="仿宋" w:hAnsi="仿宋" w:eastAsia="仿宋" w:cs="仿宋"/>
                <w:color w:val="auto"/>
                <w:sz w:val="24"/>
                <w:highlight w:val="none"/>
                <w:lang w:eastAsia="zh-CN"/>
              </w:rPr>
              <w:t>且小于</w:t>
            </w:r>
            <w:r>
              <w:rPr>
                <w:rFonts w:hint="eastAsia" w:ascii="仿宋" w:hAnsi="仿宋" w:eastAsia="仿宋" w:cs="仿宋"/>
                <w:color w:val="auto"/>
                <w:sz w:val="24"/>
                <w:highlight w:val="none"/>
                <w:lang w:val="en-US" w:eastAsia="zh-CN"/>
              </w:rPr>
              <w:t>2小时的</w:t>
            </w:r>
            <w:r>
              <w:rPr>
                <w:rFonts w:hint="eastAsia" w:ascii="仿宋" w:hAnsi="仿宋" w:eastAsia="仿宋" w:cs="仿宋"/>
                <w:color w:val="auto"/>
                <w:sz w:val="24"/>
                <w:highlight w:val="none"/>
              </w:rPr>
              <w:t>，投诉</w:t>
            </w:r>
            <w:r>
              <w:rPr>
                <w:rFonts w:hint="eastAsia" w:ascii="仿宋" w:hAnsi="仿宋" w:eastAsia="仿宋" w:cs="仿宋"/>
                <w:color w:val="auto"/>
                <w:sz w:val="24"/>
                <w:highlight w:val="none"/>
                <w:lang w:eastAsia="zh-CN"/>
              </w:rPr>
              <w:t>处</w:t>
            </w:r>
            <w:r>
              <w:rPr>
                <w:rFonts w:hint="eastAsia" w:ascii="仿宋" w:hAnsi="仿宋" w:eastAsia="仿宋" w:cs="仿宋"/>
                <w:color w:val="auto"/>
                <w:sz w:val="24"/>
                <w:highlight w:val="none"/>
              </w:rPr>
              <w:t>理流程不完整，得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售后服务方案具体规范不完善、服务方案不完整，响应时间快捷大于2小时，投诉</w:t>
            </w:r>
            <w:r>
              <w:rPr>
                <w:rFonts w:hint="eastAsia" w:ascii="仿宋" w:hAnsi="仿宋" w:eastAsia="仿宋" w:cs="仿宋"/>
                <w:color w:val="auto"/>
                <w:sz w:val="24"/>
                <w:highlight w:val="none"/>
                <w:lang w:eastAsia="zh-CN"/>
              </w:rPr>
              <w:t>处</w:t>
            </w:r>
            <w:r>
              <w:rPr>
                <w:rFonts w:hint="eastAsia" w:ascii="仿宋" w:hAnsi="仿宋" w:eastAsia="仿宋" w:cs="仿宋"/>
                <w:color w:val="auto"/>
                <w:sz w:val="24"/>
                <w:highlight w:val="none"/>
              </w:rPr>
              <w:t>理流程不完整，得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、无提供方案</w:t>
            </w:r>
            <w:r>
              <w:rPr>
                <w:rFonts w:hint="eastAsia" w:ascii="仿宋" w:hAnsi="仿宋" w:eastAsia="仿宋" w:cs="仿宋"/>
                <w:color w:val="auto"/>
                <w:sz w:val="24"/>
                <w:highlight w:val="none"/>
              </w:rPr>
              <w:t>不得分。</w:t>
            </w:r>
          </w:p>
        </w:tc>
      </w:tr>
      <w:tr>
        <w:tblPrEx>
          <w:tblCellMar>
            <w:top w:w="0" w:type="dxa"/>
            <w:left w:w="108" w:type="dxa"/>
            <w:bottom w:w="0" w:type="dxa"/>
            <w:right w:w="108" w:type="dxa"/>
          </w:tblCellMar>
        </w:tblPrEx>
        <w:trPr>
          <w:trHeight w:val="288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trike/>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bidi="ar-SA"/>
              </w:rPr>
              <w:t>内部管理制度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trike/>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bidi="ar-SA"/>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根据各供应商提供的内部管理制度进行综合评审，管理制度包括行政管理制度、设备管理制度、员工管理制度、奖惩管理制度、财务管理制度、学习管理制度等：</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1、制度</w:t>
            </w:r>
            <w:r>
              <w:rPr>
                <w:rFonts w:hint="eastAsia" w:ascii="仿宋" w:hAnsi="仿宋" w:eastAsia="仿宋" w:cs="仿宋"/>
                <w:color w:val="auto"/>
                <w:sz w:val="24"/>
                <w:highlight w:val="none"/>
                <w:lang w:eastAsia="zh-CN"/>
              </w:rPr>
              <w:t>方案科学、齐全，内容合理、完善，</w:t>
            </w:r>
            <w:r>
              <w:rPr>
                <w:rFonts w:hint="eastAsia" w:ascii="仿宋" w:hAnsi="仿宋" w:eastAsia="仿宋" w:cs="仿宋"/>
                <w:color w:val="auto"/>
                <w:sz w:val="24"/>
                <w:highlight w:val="none"/>
              </w:rPr>
              <w:t>可行性高</w:t>
            </w:r>
            <w:r>
              <w:rPr>
                <w:rFonts w:hint="eastAsia" w:ascii="仿宋" w:hAnsi="仿宋" w:eastAsia="仿宋" w:cs="仿宋"/>
                <w:color w:val="auto"/>
                <w:sz w:val="24"/>
                <w:highlight w:val="none"/>
                <w:lang w:eastAsia="zh-CN"/>
              </w:rPr>
              <w:t>为优</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2、制度</w:t>
            </w:r>
            <w:r>
              <w:rPr>
                <w:rFonts w:hint="eastAsia" w:ascii="仿宋" w:hAnsi="仿宋" w:eastAsia="仿宋" w:cs="仿宋"/>
                <w:color w:val="auto"/>
                <w:sz w:val="24"/>
                <w:highlight w:val="none"/>
                <w:lang w:eastAsia="zh-CN"/>
              </w:rPr>
              <w:t>方案较合理，</w:t>
            </w:r>
            <w:r>
              <w:rPr>
                <w:rFonts w:hint="eastAsia" w:ascii="仿宋" w:hAnsi="仿宋" w:eastAsia="仿宋" w:cs="仿宋"/>
                <w:color w:val="auto"/>
                <w:sz w:val="24"/>
                <w:highlight w:val="none"/>
              </w:rPr>
              <w:t>可行性</w:t>
            </w:r>
            <w:r>
              <w:rPr>
                <w:rFonts w:hint="eastAsia" w:ascii="仿宋" w:hAnsi="仿宋" w:eastAsia="仿宋" w:cs="仿宋"/>
                <w:color w:val="auto"/>
                <w:sz w:val="24"/>
                <w:highlight w:val="none"/>
                <w:lang w:eastAsia="zh-CN"/>
              </w:rPr>
              <w:t>一般为良</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3、制度</w:t>
            </w:r>
            <w:r>
              <w:rPr>
                <w:rFonts w:hint="eastAsia" w:ascii="仿宋" w:hAnsi="仿宋" w:eastAsia="仿宋" w:cs="仿宋"/>
                <w:color w:val="auto"/>
                <w:sz w:val="24"/>
                <w:highlight w:val="none"/>
                <w:lang w:eastAsia="zh-CN"/>
              </w:rPr>
              <w:t>方案不齐全，可行性不高为</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4、制度</w:t>
            </w:r>
            <w:r>
              <w:rPr>
                <w:rFonts w:hint="eastAsia" w:ascii="仿宋" w:hAnsi="仿宋" w:eastAsia="仿宋" w:cs="仿宋"/>
                <w:color w:val="auto"/>
                <w:sz w:val="24"/>
                <w:highlight w:val="none"/>
                <w:lang w:eastAsia="zh-CN"/>
              </w:rPr>
              <w:t>方案不合理，</w:t>
            </w:r>
            <w:r>
              <w:rPr>
                <w:rFonts w:hint="eastAsia" w:ascii="仿宋" w:hAnsi="仿宋" w:eastAsia="仿宋" w:cs="仿宋"/>
                <w:color w:val="auto"/>
                <w:sz w:val="24"/>
                <w:highlight w:val="none"/>
              </w:rPr>
              <w:t>可行性较差</w:t>
            </w:r>
            <w:r>
              <w:rPr>
                <w:rFonts w:hint="eastAsia" w:ascii="仿宋" w:hAnsi="仿宋" w:eastAsia="仿宋" w:cs="仿宋"/>
                <w:color w:val="auto"/>
                <w:sz w:val="24"/>
                <w:highlight w:val="none"/>
                <w:lang w:eastAsia="zh-CN"/>
              </w:rPr>
              <w:t>为差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差与无</w:t>
            </w:r>
            <w:r>
              <w:rPr>
                <w:rFonts w:hint="eastAsia" w:ascii="仿宋" w:hAnsi="仿宋" w:eastAsia="仿宋" w:cs="仿宋"/>
                <w:color w:val="auto"/>
                <w:sz w:val="24"/>
                <w:highlight w:val="none"/>
              </w:rPr>
              <w:t>提供方案不得分。</w:t>
            </w:r>
          </w:p>
        </w:tc>
      </w:tr>
      <w:tr>
        <w:tblPrEx>
          <w:tblCellMar>
            <w:top w:w="0" w:type="dxa"/>
            <w:left w:w="108" w:type="dxa"/>
            <w:bottom w:w="0" w:type="dxa"/>
            <w:right w:w="108" w:type="dxa"/>
          </w:tblCellMar>
        </w:tblPrEx>
        <w:trPr>
          <w:trHeight w:val="113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rPr>
              <w:t>招标采购代理服务方案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各</w:t>
            </w:r>
            <w:r>
              <w:rPr>
                <w:rFonts w:hint="eastAsia" w:ascii="仿宋" w:hAnsi="仿宋" w:eastAsia="仿宋" w:cs="仿宋"/>
                <w:color w:val="auto"/>
                <w:sz w:val="24"/>
                <w:highlight w:val="none"/>
              </w:rPr>
              <w:t>供应商提供的技术服务和支持方的符合程度、方案的清晰完整程度、可行性进行</w:t>
            </w:r>
            <w:r>
              <w:rPr>
                <w:rFonts w:hint="eastAsia" w:ascii="仿宋" w:hAnsi="仿宋" w:eastAsia="仿宋" w:cs="仿宋"/>
                <w:color w:val="auto"/>
                <w:sz w:val="24"/>
                <w:highlight w:val="none"/>
                <w:lang w:eastAsia="zh-CN"/>
              </w:rPr>
              <w:t>综合评审：</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技术服务完全符合项目需求，方案清晰完整、</w:t>
            </w:r>
            <w:r>
              <w:rPr>
                <w:rFonts w:hint="eastAsia" w:ascii="仿宋" w:hAnsi="仿宋" w:eastAsia="仿宋" w:cs="仿宋"/>
                <w:color w:val="auto"/>
                <w:sz w:val="24"/>
                <w:highlight w:val="none"/>
                <w:lang w:eastAsia="zh-CN"/>
              </w:rPr>
              <w:t>科学合理、</w:t>
            </w:r>
            <w:r>
              <w:rPr>
                <w:rFonts w:hint="eastAsia" w:ascii="仿宋" w:hAnsi="仿宋" w:eastAsia="仿宋" w:cs="仿宋"/>
                <w:color w:val="auto"/>
                <w:sz w:val="24"/>
                <w:highlight w:val="none"/>
              </w:rPr>
              <w:t>可行性高</w:t>
            </w:r>
            <w:r>
              <w:rPr>
                <w:rFonts w:hint="eastAsia" w:ascii="仿宋" w:hAnsi="仿宋" w:eastAsia="仿宋" w:cs="仿宋"/>
                <w:color w:val="auto"/>
                <w:sz w:val="24"/>
                <w:highlight w:val="none"/>
                <w:lang w:eastAsia="zh-CN"/>
              </w:rPr>
              <w:t>为优</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技术服务符合项目需求，方案较清晰完整、</w:t>
            </w:r>
            <w:r>
              <w:rPr>
                <w:rFonts w:hint="eastAsia" w:ascii="仿宋" w:hAnsi="仿宋" w:eastAsia="仿宋" w:cs="仿宋"/>
                <w:color w:val="auto"/>
                <w:sz w:val="24"/>
                <w:highlight w:val="none"/>
                <w:lang w:eastAsia="zh-CN"/>
              </w:rPr>
              <w:t>科学合理、</w:t>
            </w:r>
            <w:r>
              <w:rPr>
                <w:rFonts w:hint="eastAsia" w:ascii="仿宋" w:hAnsi="仿宋" w:eastAsia="仿宋" w:cs="仿宋"/>
                <w:color w:val="auto"/>
                <w:sz w:val="24"/>
                <w:highlight w:val="none"/>
              </w:rPr>
              <w:t>可行性较高</w:t>
            </w:r>
            <w:r>
              <w:rPr>
                <w:rFonts w:hint="eastAsia" w:ascii="仿宋" w:hAnsi="仿宋" w:eastAsia="仿宋" w:cs="仿宋"/>
                <w:color w:val="auto"/>
                <w:sz w:val="24"/>
                <w:highlight w:val="none"/>
                <w:lang w:eastAsia="zh-CN"/>
              </w:rPr>
              <w:t>为良</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技术服务基本符合项目需求，</w:t>
            </w:r>
            <w:r>
              <w:rPr>
                <w:rFonts w:hint="eastAsia" w:ascii="仿宋" w:hAnsi="仿宋" w:eastAsia="仿宋" w:cs="仿宋"/>
                <w:color w:val="auto"/>
                <w:sz w:val="24"/>
                <w:highlight w:val="none"/>
                <w:lang w:eastAsia="zh-CN"/>
              </w:rPr>
              <w:t>具有一定科学性、合理性、可行性为</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rPr>
                <w:rFonts w:hint="default" w:ascii="仿宋" w:hAnsi="仿宋" w:eastAsia="仿宋" w:cs="仿宋"/>
                <w:strike/>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基本符合项目需求，方案的清晰完整程度及可行性较差</w:t>
            </w:r>
            <w:r>
              <w:rPr>
                <w:rFonts w:hint="eastAsia" w:ascii="仿宋" w:hAnsi="仿宋" w:eastAsia="仿宋" w:cs="仿宋"/>
                <w:color w:val="auto"/>
                <w:sz w:val="24"/>
                <w:highlight w:val="none"/>
                <w:lang w:eastAsia="zh-CN"/>
              </w:rPr>
              <w:t>为差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差与</w:t>
            </w:r>
            <w:r>
              <w:rPr>
                <w:rFonts w:hint="eastAsia" w:ascii="仿宋" w:hAnsi="仿宋" w:eastAsia="仿宋" w:cs="仿宋"/>
                <w:color w:val="auto"/>
                <w:sz w:val="24"/>
                <w:highlight w:val="none"/>
              </w:rPr>
              <w:t>未提供方案不得分。</w:t>
            </w:r>
          </w:p>
        </w:tc>
      </w:tr>
      <w:tr>
        <w:tblPrEx>
          <w:tblCellMar>
            <w:top w:w="0" w:type="dxa"/>
            <w:left w:w="108" w:type="dxa"/>
            <w:bottom w:w="0" w:type="dxa"/>
            <w:right w:w="108" w:type="dxa"/>
          </w:tblCellMar>
        </w:tblPrEx>
        <w:trPr>
          <w:trHeight w:val="3182"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专家论证服务方案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各</w:t>
            </w:r>
            <w:r>
              <w:rPr>
                <w:rFonts w:hint="eastAsia" w:ascii="仿宋" w:hAnsi="仿宋" w:eastAsia="仿宋" w:cs="仿宋"/>
                <w:color w:val="auto"/>
                <w:sz w:val="24"/>
                <w:highlight w:val="none"/>
              </w:rPr>
              <w:t>供应商提供的组织专家论证方案进行</w:t>
            </w: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评</w:t>
            </w:r>
            <w:r>
              <w:rPr>
                <w:rFonts w:hint="eastAsia" w:ascii="仿宋" w:hAnsi="仿宋" w:eastAsia="仿宋" w:cs="仿宋"/>
                <w:color w:val="auto"/>
                <w:sz w:val="24"/>
                <w:highlight w:val="none"/>
                <w:lang w:eastAsia="zh-CN"/>
              </w:rPr>
              <w:t>审：</w:t>
            </w:r>
          </w:p>
          <w:p>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组织专家论证</w:t>
            </w:r>
            <w:r>
              <w:rPr>
                <w:rFonts w:hint="eastAsia" w:ascii="仿宋" w:hAnsi="仿宋" w:eastAsia="仿宋" w:cs="仿宋"/>
                <w:color w:val="auto"/>
                <w:sz w:val="24"/>
                <w:highlight w:val="none"/>
                <w:lang w:val="en-US" w:eastAsia="zh-CN"/>
              </w:rPr>
              <w:t>方案描述详细、</w:t>
            </w:r>
            <w:r>
              <w:rPr>
                <w:rFonts w:hint="eastAsia" w:ascii="仿宋" w:hAnsi="仿宋" w:eastAsia="仿宋" w:cs="仿宋"/>
                <w:color w:val="auto"/>
                <w:sz w:val="24"/>
                <w:highlight w:val="none"/>
              </w:rPr>
              <w:t>选取专家方式、时间安排合理，可行性高得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组织专家论证</w:t>
            </w:r>
            <w:r>
              <w:rPr>
                <w:rFonts w:hint="eastAsia" w:ascii="仿宋" w:hAnsi="仿宋" w:eastAsia="仿宋" w:cs="仿宋"/>
                <w:color w:val="auto"/>
                <w:sz w:val="24"/>
                <w:highlight w:val="none"/>
                <w:lang w:val="en-US" w:eastAsia="zh-CN"/>
              </w:rPr>
              <w:t>方案描述不够详细、</w:t>
            </w:r>
            <w:r>
              <w:rPr>
                <w:rFonts w:hint="eastAsia" w:ascii="仿宋" w:hAnsi="仿宋" w:eastAsia="仿宋" w:cs="仿宋"/>
                <w:color w:val="auto"/>
                <w:sz w:val="24"/>
                <w:highlight w:val="none"/>
              </w:rPr>
              <w:t>选取专家方式、时间安排较合理，可行性较高</w:t>
            </w:r>
            <w:r>
              <w:rPr>
                <w:rFonts w:hint="eastAsia" w:ascii="仿宋" w:hAnsi="仿宋" w:eastAsia="仿宋" w:cs="仿宋"/>
                <w:color w:val="auto"/>
                <w:sz w:val="24"/>
                <w:highlight w:val="none"/>
                <w:lang w:eastAsia="zh-CN"/>
              </w:rPr>
              <w:t>为良，</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组织专家论证</w:t>
            </w:r>
            <w:r>
              <w:rPr>
                <w:rFonts w:hint="eastAsia" w:ascii="仿宋" w:hAnsi="仿宋" w:eastAsia="仿宋" w:cs="仿宋"/>
                <w:color w:val="auto"/>
                <w:sz w:val="24"/>
                <w:highlight w:val="none"/>
                <w:lang w:val="en-US" w:eastAsia="zh-CN"/>
              </w:rPr>
              <w:t>方案基本满足、</w:t>
            </w:r>
            <w:r>
              <w:rPr>
                <w:rFonts w:hint="eastAsia" w:ascii="仿宋" w:hAnsi="仿宋" w:eastAsia="仿宋" w:cs="仿宋"/>
                <w:color w:val="auto"/>
                <w:sz w:val="24"/>
                <w:highlight w:val="none"/>
              </w:rPr>
              <w:t>选取专家方式、时间安排一般，可行性一般得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rPr>
                <w:rFonts w:hint="eastAsia" w:eastAsia="仿宋"/>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组织专家论证</w:t>
            </w:r>
            <w:r>
              <w:rPr>
                <w:rFonts w:hint="eastAsia" w:ascii="仿宋" w:hAnsi="仿宋" w:eastAsia="仿宋" w:cs="仿宋"/>
                <w:color w:val="auto"/>
                <w:sz w:val="24"/>
                <w:highlight w:val="none"/>
                <w:lang w:val="en-US" w:eastAsia="zh-CN"/>
              </w:rPr>
              <w:t>方案不够完整、</w:t>
            </w:r>
            <w:r>
              <w:rPr>
                <w:rFonts w:hint="eastAsia" w:ascii="仿宋" w:hAnsi="仿宋" w:eastAsia="仿宋" w:cs="仿宋"/>
                <w:color w:val="auto"/>
                <w:sz w:val="24"/>
                <w:highlight w:val="none"/>
              </w:rPr>
              <w:t>选取专家方式、时间安排不合理</w:t>
            </w:r>
            <w:r>
              <w:rPr>
                <w:rFonts w:hint="eastAsia" w:ascii="仿宋" w:hAnsi="仿宋" w:eastAsia="仿宋" w:cs="仿宋"/>
                <w:color w:val="auto"/>
                <w:sz w:val="24"/>
                <w:highlight w:val="none"/>
                <w:lang w:eastAsia="zh-CN"/>
              </w:rPr>
              <w:t>为差，差与无</w:t>
            </w:r>
            <w:r>
              <w:rPr>
                <w:rFonts w:hint="eastAsia" w:ascii="仿宋" w:hAnsi="仿宋" w:eastAsia="仿宋" w:cs="仿宋"/>
                <w:color w:val="auto"/>
                <w:sz w:val="24"/>
                <w:highlight w:val="none"/>
              </w:rPr>
              <w:t>提供方案不得分。</w:t>
            </w:r>
          </w:p>
        </w:tc>
      </w:tr>
      <w:tr>
        <w:tblPrEx>
          <w:tblCellMar>
            <w:top w:w="0" w:type="dxa"/>
            <w:left w:w="108" w:type="dxa"/>
            <w:bottom w:w="0" w:type="dxa"/>
            <w:right w:w="108" w:type="dxa"/>
          </w:tblCellMar>
        </w:tblPrEx>
        <w:trPr>
          <w:trHeight w:val="38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档案管理及保密措施</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各</w:t>
            </w:r>
            <w:r>
              <w:rPr>
                <w:rFonts w:hint="eastAsia" w:ascii="仿宋" w:hAnsi="仿宋" w:eastAsia="仿宋" w:cs="仿宋"/>
                <w:color w:val="auto"/>
                <w:sz w:val="24"/>
                <w:highlight w:val="none"/>
              </w:rPr>
              <w:t>供应商提供的</w:t>
            </w:r>
            <w:r>
              <w:rPr>
                <w:rFonts w:hint="eastAsia" w:ascii="仿宋" w:hAnsi="仿宋" w:eastAsia="仿宋" w:cs="仿宋"/>
                <w:color w:val="auto"/>
                <w:sz w:val="24"/>
                <w:highlight w:val="none"/>
                <w:lang w:eastAsia="zh-CN"/>
              </w:rPr>
              <w:t>档案管理及保密措施</w:t>
            </w:r>
            <w:r>
              <w:rPr>
                <w:rFonts w:hint="eastAsia" w:ascii="仿宋" w:hAnsi="仿宋" w:eastAsia="仿宋" w:cs="仿宋"/>
                <w:color w:val="auto"/>
                <w:sz w:val="24"/>
                <w:highlight w:val="none"/>
              </w:rPr>
              <w:t>方案进行</w:t>
            </w: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评</w:t>
            </w:r>
            <w:r>
              <w:rPr>
                <w:rFonts w:hint="eastAsia" w:ascii="仿宋" w:hAnsi="仿宋" w:eastAsia="仿宋" w:cs="仿宋"/>
                <w:color w:val="auto"/>
                <w:sz w:val="24"/>
                <w:highlight w:val="none"/>
                <w:lang w:eastAsia="zh-CN"/>
              </w:rPr>
              <w:t>审，包括纸质档案、电子档案、保密设施等：</w:t>
            </w:r>
          </w:p>
          <w:p>
            <w:pPr>
              <w:spacing w:after="12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1、档案管理制度完善，档案管理措施好，保密制度完善，且招标过程保密工作措施好</w:t>
            </w:r>
            <w:r>
              <w:rPr>
                <w:rFonts w:hint="eastAsia" w:ascii="仿宋" w:hAnsi="仿宋" w:eastAsia="仿宋" w:cs="仿宋"/>
                <w:color w:val="auto"/>
                <w:sz w:val="24"/>
                <w:highlight w:val="none"/>
                <w:lang w:eastAsia="zh-CN"/>
              </w:rPr>
              <w:t>为优</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spacing w:after="12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2、档案管理制度</w:t>
            </w:r>
            <w:r>
              <w:rPr>
                <w:rFonts w:hint="eastAsia" w:ascii="仿宋" w:hAnsi="仿宋" w:eastAsia="仿宋" w:cs="仿宋"/>
                <w:color w:val="auto"/>
                <w:sz w:val="24"/>
                <w:highlight w:val="none"/>
                <w:lang w:eastAsia="zh-CN"/>
              </w:rPr>
              <w:t>完善较好</w:t>
            </w:r>
            <w:r>
              <w:rPr>
                <w:rFonts w:hint="eastAsia" w:ascii="仿宋" w:hAnsi="仿宋" w:eastAsia="仿宋" w:cs="仿宋"/>
                <w:color w:val="auto"/>
                <w:sz w:val="24"/>
                <w:highlight w:val="none"/>
              </w:rPr>
              <w:t>，档案管理措施一般，保密制度一般，且招标过程保密工作措施一般</w:t>
            </w:r>
            <w:r>
              <w:rPr>
                <w:rFonts w:hint="eastAsia" w:ascii="仿宋" w:hAnsi="仿宋" w:eastAsia="仿宋" w:cs="仿宋"/>
                <w:color w:val="auto"/>
                <w:sz w:val="24"/>
                <w:highlight w:val="none"/>
                <w:lang w:eastAsia="zh-CN"/>
              </w:rPr>
              <w:t>为良</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pacing w:after="12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3、档案管理制度</w:t>
            </w:r>
            <w:r>
              <w:rPr>
                <w:rFonts w:hint="eastAsia" w:ascii="仿宋" w:hAnsi="仿宋" w:eastAsia="仿宋" w:cs="仿宋"/>
                <w:color w:val="auto"/>
                <w:sz w:val="24"/>
                <w:highlight w:val="none"/>
                <w:lang w:eastAsia="zh-CN"/>
              </w:rPr>
              <w:t>基本符合</w:t>
            </w:r>
            <w:r>
              <w:rPr>
                <w:rFonts w:hint="eastAsia" w:ascii="仿宋" w:hAnsi="仿宋" w:eastAsia="仿宋" w:cs="仿宋"/>
                <w:color w:val="auto"/>
                <w:sz w:val="24"/>
                <w:highlight w:val="none"/>
              </w:rPr>
              <w:t>，档案管理措施</w:t>
            </w:r>
            <w:r>
              <w:rPr>
                <w:rFonts w:hint="eastAsia" w:ascii="仿宋" w:hAnsi="仿宋" w:eastAsia="仿宋" w:cs="仿宋"/>
                <w:color w:val="auto"/>
                <w:sz w:val="24"/>
                <w:highlight w:val="none"/>
                <w:lang w:eastAsia="zh-CN"/>
              </w:rPr>
              <w:t>部分符合</w:t>
            </w:r>
            <w:r>
              <w:rPr>
                <w:rFonts w:hint="eastAsia" w:ascii="仿宋" w:hAnsi="仿宋" w:eastAsia="仿宋" w:cs="仿宋"/>
                <w:color w:val="auto"/>
                <w:sz w:val="24"/>
                <w:highlight w:val="none"/>
              </w:rPr>
              <w:t>，保密制度</w:t>
            </w:r>
            <w:r>
              <w:rPr>
                <w:rFonts w:hint="eastAsia" w:ascii="仿宋" w:hAnsi="仿宋" w:eastAsia="仿宋" w:cs="仿宋"/>
                <w:color w:val="auto"/>
                <w:sz w:val="24"/>
                <w:highlight w:val="none"/>
                <w:lang w:eastAsia="zh-CN"/>
              </w:rPr>
              <w:t>较弱</w:t>
            </w:r>
            <w:r>
              <w:rPr>
                <w:rFonts w:hint="eastAsia" w:ascii="仿宋" w:hAnsi="仿宋" w:eastAsia="仿宋" w:cs="仿宋"/>
                <w:color w:val="auto"/>
                <w:sz w:val="24"/>
                <w:highlight w:val="none"/>
              </w:rPr>
              <w:t>，且招标过程保密工作措施</w:t>
            </w:r>
            <w:r>
              <w:rPr>
                <w:rFonts w:hint="eastAsia" w:ascii="仿宋" w:hAnsi="仿宋" w:eastAsia="仿宋" w:cs="仿宋"/>
                <w:color w:val="auto"/>
                <w:sz w:val="24"/>
                <w:highlight w:val="none"/>
                <w:lang w:eastAsia="zh-CN"/>
              </w:rPr>
              <w:t>较弱为一般</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pacing w:after="12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4、档案管理制度</w:t>
            </w:r>
            <w:r>
              <w:rPr>
                <w:rFonts w:hint="eastAsia" w:ascii="仿宋" w:hAnsi="仿宋" w:eastAsia="仿宋" w:cs="仿宋"/>
                <w:color w:val="auto"/>
                <w:sz w:val="24"/>
                <w:highlight w:val="none"/>
                <w:lang w:eastAsia="zh-CN"/>
              </w:rPr>
              <w:t>不完善</w:t>
            </w:r>
            <w:r>
              <w:rPr>
                <w:rFonts w:hint="eastAsia" w:ascii="仿宋" w:hAnsi="仿宋" w:eastAsia="仿宋" w:cs="仿宋"/>
                <w:color w:val="auto"/>
                <w:sz w:val="24"/>
                <w:highlight w:val="none"/>
              </w:rPr>
              <w:t>，档案管理措施</w:t>
            </w:r>
            <w:r>
              <w:rPr>
                <w:rFonts w:hint="eastAsia" w:ascii="仿宋" w:hAnsi="仿宋" w:eastAsia="仿宋" w:cs="仿宋"/>
                <w:color w:val="auto"/>
                <w:sz w:val="24"/>
                <w:highlight w:val="none"/>
                <w:lang w:eastAsia="zh-CN"/>
              </w:rPr>
              <w:t>差</w:t>
            </w:r>
            <w:r>
              <w:rPr>
                <w:rFonts w:hint="eastAsia" w:ascii="仿宋" w:hAnsi="仿宋" w:eastAsia="仿宋" w:cs="仿宋"/>
                <w:color w:val="auto"/>
                <w:sz w:val="24"/>
                <w:highlight w:val="none"/>
              </w:rPr>
              <w:t>，保密制度</w:t>
            </w:r>
            <w:r>
              <w:rPr>
                <w:rFonts w:hint="eastAsia" w:ascii="仿宋" w:hAnsi="仿宋" w:eastAsia="仿宋" w:cs="仿宋"/>
                <w:color w:val="auto"/>
                <w:sz w:val="24"/>
                <w:highlight w:val="none"/>
                <w:lang w:eastAsia="zh-CN"/>
              </w:rPr>
              <w:t>差</w:t>
            </w:r>
            <w:r>
              <w:rPr>
                <w:rFonts w:hint="eastAsia" w:ascii="仿宋" w:hAnsi="仿宋" w:eastAsia="仿宋" w:cs="仿宋"/>
                <w:color w:val="auto"/>
                <w:sz w:val="24"/>
                <w:highlight w:val="none"/>
              </w:rPr>
              <w:t>，且招标过程保密工作措施</w:t>
            </w:r>
            <w:r>
              <w:rPr>
                <w:rFonts w:hint="eastAsia" w:ascii="仿宋" w:hAnsi="仿宋" w:eastAsia="仿宋" w:cs="仿宋"/>
                <w:color w:val="auto"/>
                <w:sz w:val="24"/>
                <w:highlight w:val="none"/>
                <w:lang w:eastAsia="zh-CN"/>
              </w:rPr>
              <w:t>不全为差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差与无</w:t>
            </w:r>
            <w:r>
              <w:rPr>
                <w:rFonts w:hint="eastAsia" w:ascii="仿宋" w:hAnsi="仿宋" w:eastAsia="仿宋" w:cs="仿宋"/>
                <w:color w:val="auto"/>
                <w:sz w:val="24"/>
                <w:highlight w:val="none"/>
              </w:rPr>
              <w:t>提供方案不得分。</w:t>
            </w:r>
          </w:p>
        </w:tc>
      </w:tr>
      <w:tr>
        <w:tblPrEx>
          <w:tblCellMar>
            <w:top w:w="0" w:type="dxa"/>
            <w:left w:w="108" w:type="dxa"/>
            <w:bottom w:w="0" w:type="dxa"/>
            <w:right w:w="108" w:type="dxa"/>
          </w:tblCellMar>
        </w:tblPrEx>
        <w:trPr>
          <w:trHeight w:val="1297" w:hRule="atLeast"/>
        </w:trPr>
        <w:tc>
          <w:tcPr>
            <w:tcW w:w="74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240" w:firstLineChars="1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对</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响应程度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4分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各响应供应商对</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w:t>
            </w:r>
            <w:r>
              <w:rPr>
                <w:rFonts w:hint="eastAsia" w:ascii="仿宋" w:hAnsi="仿宋" w:eastAsia="仿宋" w:cs="仿宋"/>
                <w:b/>
                <w:color w:val="auto"/>
                <w:kern w:val="0"/>
                <w:sz w:val="24"/>
                <w:highlight w:val="none"/>
              </w:rPr>
              <w:t>技术</w:t>
            </w:r>
            <w:r>
              <w:rPr>
                <w:rFonts w:hint="eastAsia" w:ascii="仿宋" w:hAnsi="仿宋" w:eastAsia="仿宋" w:cs="仿宋"/>
                <w:color w:val="auto"/>
                <w:kern w:val="0"/>
                <w:sz w:val="24"/>
                <w:highlight w:val="none"/>
              </w:rPr>
              <w:t>及</w:t>
            </w:r>
            <w:r>
              <w:rPr>
                <w:rFonts w:hint="eastAsia" w:ascii="仿宋" w:hAnsi="仿宋" w:eastAsia="仿宋" w:cs="仿宋"/>
                <w:b/>
                <w:color w:val="auto"/>
                <w:kern w:val="0"/>
                <w:sz w:val="24"/>
                <w:highlight w:val="none"/>
              </w:rPr>
              <w:t>商务</w:t>
            </w:r>
            <w:r>
              <w:rPr>
                <w:rFonts w:hint="eastAsia" w:ascii="仿宋" w:hAnsi="仿宋" w:eastAsia="仿宋" w:cs="仿宋"/>
                <w:color w:val="auto"/>
                <w:kern w:val="0"/>
                <w:sz w:val="24"/>
                <w:highlight w:val="none"/>
              </w:rPr>
              <w:t>条款的响应程度：完全满足</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w:t>
            </w:r>
            <w:r>
              <w:rPr>
                <w:rFonts w:hint="eastAsia" w:ascii="仿宋" w:hAnsi="仿宋" w:eastAsia="仿宋" w:cs="仿宋"/>
                <w:color w:val="auto"/>
                <w:kern w:val="0"/>
                <w:sz w:val="24"/>
                <w:highlight w:val="none"/>
                <w:lang w:eastAsia="zh-CN"/>
              </w:rPr>
              <w:t>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分；有一项不满足的得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分，有二项不满足或以上不满足的得0分。</w:t>
            </w:r>
          </w:p>
        </w:tc>
      </w:tr>
      <w:tr>
        <w:tblPrEx>
          <w:tblCellMar>
            <w:top w:w="0" w:type="dxa"/>
            <w:left w:w="108" w:type="dxa"/>
            <w:bottom w:w="0" w:type="dxa"/>
            <w:right w:w="108" w:type="dxa"/>
          </w:tblCellMar>
        </w:tblPrEx>
        <w:trPr>
          <w:trHeight w:val="985"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p>
            <w:pPr>
              <w:widowControl/>
              <w:ind w:firstLine="240" w:firstLineChars="100"/>
              <w:jc w:val="left"/>
              <w:rPr>
                <w:rFonts w:hint="eastAsia" w:ascii="仿宋" w:hAnsi="仿宋" w:eastAsia="仿宋" w:cs="仿宋"/>
                <w:color w:val="auto"/>
                <w:kern w:val="0"/>
                <w:sz w:val="24"/>
                <w:szCs w:val="24"/>
                <w:highlight w:val="none"/>
                <w:lang w:val="en-US" w:eastAsia="zh-CN"/>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代理服务费报价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10分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报价得分=（响应报价/基准价）×价格分值（以最高下浮率为基准价）</w:t>
            </w:r>
          </w:p>
        </w:tc>
      </w:tr>
      <w:tr>
        <w:tblPrEx>
          <w:tblCellMar>
            <w:top w:w="0" w:type="dxa"/>
            <w:left w:w="108" w:type="dxa"/>
            <w:bottom w:w="0" w:type="dxa"/>
            <w:right w:w="108" w:type="dxa"/>
          </w:tblCellMar>
        </w:tblPrEx>
        <w:trPr>
          <w:trHeight w:val="1019"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专家论证服务费报价</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分</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报价得分=（响应报价/基准价）×价格分值（以最高下浮率为基准价）</w:t>
            </w:r>
          </w:p>
        </w:tc>
      </w:tr>
    </w:tbl>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pPr>
        <w:pStyle w:val="9"/>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按评审排名确定排名靠后的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宋体"/>
          <w:bCs/>
          <w:color w:val="auto"/>
          <w:sz w:val="24"/>
          <w:highlight w:val="none"/>
          <w:lang w:eastAsia="zh-CN"/>
        </w:rPr>
      </w:pPr>
      <w:r>
        <w:rPr>
          <w:rFonts w:hint="eastAsia" w:ascii="宋体"/>
          <w:b/>
          <w:bCs w:val="0"/>
          <w:color w:val="auto"/>
          <w:sz w:val="44"/>
          <w:szCs w:val="44"/>
          <w:highlight w:val="none"/>
          <w:lang w:eastAsia="zh-CN"/>
        </w:rPr>
        <w:t>合</w:t>
      </w:r>
      <w:r>
        <w:rPr>
          <w:rFonts w:hint="eastAsia" w:ascii="宋体"/>
          <w:b/>
          <w:bCs w:val="0"/>
          <w:color w:val="auto"/>
          <w:sz w:val="44"/>
          <w:szCs w:val="44"/>
          <w:highlight w:val="none"/>
          <w:lang w:val="en-US" w:eastAsia="zh-CN"/>
        </w:rPr>
        <w:t xml:space="preserve"> </w:t>
      </w:r>
      <w:r>
        <w:rPr>
          <w:rFonts w:hint="eastAsia" w:ascii="宋体"/>
          <w:b/>
          <w:bCs w:val="0"/>
          <w:color w:val="auto"/>
          <w:sz w:val="44"/>
          <w:szCs w:val="44"/>
          <w:highlight w:val="none"/>
          <w:lang w:eastAsia="zh-CN"/>
        </w:rPr>
        <w:t>同</w:t>
      </w:r>
    </w:p>
    <w:p>
      <w:pPr>
        <w:snapToGrid w:val="0"/>
        <w:spacing w:line="500" w:lineRule="exact"/>
        <w:rPr>
          <w:rFonts w:hint="eastAsia" w:ascii="宋体" w:hAnsi="宋体" w:eastAsia="宋体" w:cs="宋体"/>
          <w:b/>
          <w:bCs/>
          <w:color w:val="auto"/>
          <w:sz w:val="24"/>
          <w:highlight w:val="none"/>
        </w:rPr>
      </w:pPr>
    </w:p>
    <w:p>
      <w:pPr>
        <w:snapToGrid w:val="0"/>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甲方：</w:t>
      </w:r>
      <w:r>
        <w:rPr>
          <w:rFonts w:hint="eastAsia" w:ascii="宋体" w:hAnsi="宋体" w:eastAsia="宋体" w:cs="宋体"/>
          <w:b/>
          <w:bCs/>
          <w:color w:val="auto"/>
          <w:sz w:val="24"/>
          <w:highlight w:val="none"/>
          <w:lang w:eastAsia="zh-CN"/>
        </w:rPr>
        <w:t xml:space="preserve">惠州市第一妇幼保健院 </w:t>
      </w:r>
    </w:p>
    <w:p>
      <w:pPr>
        <w:snapToGrid w:val="0"/>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乙方：</w:t>
      </w:r>
      <w:r>
        <w:rPr>
          <w:rFonts w:hint="eastAsia" w:ascii="宋体" w:hAnsi="宋体" w:eastAsia="宋体" w:cs="宋体"/>
          <w:color w:val="auto"/>
          <w:sz w:val="24"/>
          <w:highlight w:val="none"/>
        </w:rPr>
        <w:t xml:space="preserve">            </w:t>
      </w:r>
    </w:p>
    <w:p>
      <w:pPr>
        <w:snapToGrid w:val="0"/>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采购</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的成交结果，按照</w:t>
      </w:r>
      <w:r>
        <w:rPr>
          <w:rFonts w:hint="eastAsia" w:ascii="宋体" w:hAnsi="宋体" w:eastAsia="宋体" w:cs="宋体"/>
          <w:color w:val="auto"/>
          <w:sz w:val="24"/>
          <w:highlight w:val="none"/>
        </w:rPr>
        <w:t>《中华人民共和国政府采购法》《中华人民共和国民法典》</w:t>
      </w:r>
      <w:r>
        <w:rPr>
          <w:rFonts w:hint="eastAsia" w:ascii="宋体" w:hAnsi="宋体" w:eastAsia="宋体" w:cs="宋体"/>
          <w:color w:val="auto"/>
          <w:sz w:val="24"/>
          <w:highlight w:val="none"/>
          <w:lang w:eastAsia="zh-CN"/>
        </w:rPr>
        <w:t>《中华人民共和国招标投标法》</w:t>
      </w:r>
      <w:r>
        <w:rPr>
          <w:rFonts w:hint="eastAsia" w:ascii="宋体" w:hAnsi="宋体" w:eastAsia="宋体" w:cs="宋体"/>
          <w:color w:val="auto"/>
          <w:sz w:val="24"/>
          <w:highlight w:val="none"/>
          <w:lang w:val="en-US" w:eastAsia="zh-CN"/>
        </w:rPr>
        <w:t>的规定</w:t>
      </w:r>
      <w:r>
        <w:rPr>
          <w:rFonts w:hint="eastAsia" w:ascii="宋体" w:hAnsi="宋体" w:eastAsia="宋体" w:cs="宋体"/>
          <w:color w:val="auto"/>
          <w:sz w:val="24"/>
          <w:highlight w:val="none"/>
        </w:rPr>
        <w:t>，经双方协商，本着平等互利和诚实信用的原则，一致同意签订本合同如下。</w:t>
      </w:r>
    </w:p>
    <w:p>
      <w:pPr>
        <w:numPr>
          <w:ilvl w:val="0"/>
          <w:numId w:val="2"/>
        </w:numPr>
        <w:autoSpaceDE w:val="0"/>
        <w:autoSpaceDN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内容</w:t>
      </w:r>
      <w:r>
        <w:rPr>
          <w:rFonts w:hint="eastAsia" w:ascii="宋体" w:hAnsi="宋体" w:eastAsia="宋体" w:cs="宋体"/>
          <w:b/>
          <w:color w:val="auto"/>
          <w:sz w:val="24"/>
          <w:highlight w:val="none"/>
          <w:lang w:eastAsia="zh-CN"/>
        </w:rPr>
        <w:t>与要求</w:t>
      </w:r>
    </w:p>
    <w:p>
      <w:pPr>
        <w:pStyle w:val="8"/>
        <w:numPr>
          <w:ilvl w:val="0"/>
          <w:numId w:val="3"/>
        </w:numPr>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基本要求</w:t>
      </w:r>
    </w:p>
    <w:p>
      <w:pPr>
        <w:pStyle w:val="8"/>
        <w:numPr>
          <w:ilvl w:val="0"/>
          <w:numId w:val="0"/>
        </w:numPr>
        <w:snapToGrid w:val="0"/>
        <w:spacing w:line="500" w:lineRule="exact"/>
        <w:ind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pPr>
        <w:pStyle w:val="8"/>
        <w:numPr>
          <w:ilvl w:val="0"/>
          <w:numId w:val="0"/>
        </w:numPr>
        <w:snapToGrid w:val="0"/>
        <w:spacing w:line="500" w:lineRule="exact"/>
        <w:ind w:left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p>
      <w:pPr>
        <w:pStyle w:val="8"/>
        <w:numPr>
          <w:ilvl w:val="0"/>
          <w:numId w:val="0"/>
        </w:numPr>
        <w:snapToGrid w:val="0"/>
        <w:spacing w:line="500" w:lineRule="exact"/>
        <w:ind w:left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p>
      <w:pPr>
        <w:pStyle w:val="8"/>
        <w:numPr>
          <w:ilvl w:val="0"/>
          <w:numId w:val="3"/>
        </w:numPr>
        <w:snapToGrid w:val="0"/>
        <w:spacing w:line="500" w:lineRule="exact"/>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代理机构服务范围和委托内容</w:t>
      </w:r>
    </w:p>
    <w:p>
      <w:pPr>
        <w:pStyle w:val="8"/>
        <w:numPr>
          <w:ilvl w:val="0"/>
          <w:numId w:val="0"/>
        </w:numPr>
        <w:snapToGrid w:val="0"/>
        <w:spacing w:line="500" w:lineRule="exact"/>
        <w:ind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（1）招标采购代理服务范围：</w:t>
      </w:r>
    </w:p>
    <w:p>
      <w:pPr>
        <w:pStyle w:val="8"/>
        <w:numPr>
          <w:ilvl w:val="0"/>
          <w:numId w:val="0"/>
        </w:numPr>
        <w:snapToGrid w:val="0"/>
        <w:spacing w:line="500" w:lineRule="exact"/>
        <w:ind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（2）第三方论证服务：</w:t>
      </w:r>
    </w:p>
    <w:p>
      <w:pPr>
        <w:pStyle w:val="8"/>
        <w:numPr>
          <w:ilvl w:val="0"/>
          <w:numId w:val="0"/>
        </w:numPr>
        <w:snapToGrid w:val="0"/>
        <w:spacing w:line="500" w:lineRule="exact"/>
        <w:ind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（3）技术咨询：</w:t>
      </w:r>
    </w:p>
    <w:p>
      <w:pPr>
        <w:pStyle w:val="8"/>
        <w:numPr>
          <w:ilvl w:val="0"/>
          <w:numId w:val="3"/>
        </w:numPr>
        <w:snapToGrid w:val="0"/>
        <w:spacing w:line="500" w:lineRule="exact"/>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委托项目分配：</w:t>
      </w:r>
    </w:p>
    <w:p>
      <w:pPr>
        <w:pStyle w:val="8"/>
        <w:numPr>
          <w:ilvl w:val="0"/>
          <w:numId w:val="3"/>
        </w:numPr>
        <w:snapToGrid w:val="0"/>
        <w:spacing w:line="500" w:lineRule="exact"/>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委托工作内容（包括但不限于）：</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⑥；</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⑦；</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⑧；</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⑨；</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⑩；</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⑪；</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⑫；</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⑬；</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⑭；</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⑮；</w:t>
      </w:r>
    </w:p>
    <w:p>
      <w:pPr>
        <w:pStyle w:val="8"/>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⑯。</w:t>
      </w:r>
    </w:p>
    <w:p>
      <w:pPr>
        <w:pStyle w:val="8"/>
        <w:snapToGrid w:val="0"/>
        <w:spacing w:line="500" w:lineRule="exact"/>
        <w:ind w:firstLine="482" w:firstLineChars="20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服务</w:t>
      </w:r>
      <w:r>
        <w:rPr>
          <w:rFonts w:hint="eastAsia" w:ascii="宋体" w:hAnsi="宋体" w:eastAsia="宋体" w:cs="宋体"/>
          <w:b/>
          <w:color w:val="auto"/>
          <w:sz w:val="24"/>
          <w:highlight w:val="none"/>
          <w:lang w:val="en-US" w:eastAsia="zh-CN"/>
        </w:rPr>
        <w:t>期</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招标</w:t>
      </w:r>
      <w:r>
        <w:rPr>
          <w:rFonts w:hint="eastAsia" w:cs="宋体"/>
          <w:color w:val="auto"/>
          <w:sz w:val="24"/>
          <w:highlight w:val="none"/>
          <w:lang w:val="en-US" w:eastAsia="zh-CN"/>
        </w:rPr>
        <w:t>采购</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rPr>
        <w:t>签订合同之日起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p>
    <w:p>
      <w:pPr>
        <w:widowControl/>
        <w:spacing w:line="30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bCs/>
          <w:color w:val="auto"/>
          <w:sz w:val="24"/>
          <w:highlight w:val="none"/>
          <w:lang w:eastAsia="zh-CN"/>
        </w:rPr>
        <w:t>有关费用</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收费标准：</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①代理服务费：</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②专家论证服务费：</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③如遇特殊情况，</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付款及结算方式：</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①代理服务费：</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②专家论证服务费：</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③如遇特殊情况，</w:t>
      </w:r>
    </w:p>
    <w:p>
      <w:pPr>
        <w:spacing w:line="360" w:lineRule="auto"/>
        <w:ind w:firstLine="506" w:firstLineChars="21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四、甲方权利及义务</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1.甲方应向乙方提供委托论证项目的用户需求书，包括详细的技术规格、参数及要求和服务内容等书面材料。</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2.甲方应对乙方整理的专家论证报告予以审核并签字确认。</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3.指派专人负责与乙方进行工作联系。</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4.甲方应向乙方提供委托项目的用户需求书，包括详细的技术规格、参数及要求和服务内容等书面材料。</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5.甲方应对乙方编制的</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采购文件予以审核并签字确认。</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6.甲方有权就委托的项目提出合法、合理的要求，但不得指定供应商或指定品牌，不得提出含有倾向性、限制性或者排斥潜在供应商的要求。</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7.甲方依据有关规定可派一名</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代表参加评审委员会，但不得非法干预、影响评审方法的确定、评审过程和结果。</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8.甲方有权按照评审报告中推荐的中标（成交）候选供应商顺序确定中标（成交）供应商。</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9.甲方有权对乙方组织的</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采购活动进行监督。</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10.甲方有义务保守</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采购活动中的商业秘密。</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11.甲方应严格遵守相关法律法规和各项招标投标及政府采购制度。  </w:t>
      </w:r>
    </w:p>
    <w:p>
      <w:pPr>
        <w:spacing w:line="360" w:lineRule="auto"/>
        <w:ind w:firstLine="506" w:firstLineChars="21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五、乙方权利及义务</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1.乙方应接受甲方监督，维护甲方和供应商的合法权益。</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2.乙方应依据甲方要求为甲方提出科学的</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采购方案。</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3.乙方应根据甲方要求编制</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采购文件，并报甲方书面确认。</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4.乙方应满足甲方的合法、合理要求，但对违法违规以及无理的要求应予拒绝。</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5.乙方可以依据需要或根据规定，就</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采购文件征询有关专家或者供应商意见。</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6.乙方应当依法组建评审委员会。</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7.乙方应依法及时答复甲方委托范围内的供应商的询问和质疑。</w:t>
      </w:r>
    </w:p>
    <w:p>
      <w:pPr>
        <w:spacing w:line="360" w:lineRule="auto"/>
        <w:ind w:firstLine="504" w:firstLineChars="2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8.乙方须保守</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采购活动中的商业秘密。</w:t>
      </w:r>
    </w:p>
    <w:p>
      <w:pPr>
        <w:spacing w:line="360" w:lineRule="auto"/>
        <w:ind w:firstLine="504" w:firstLineChars="21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9.乙方可依法收取代理服务费用。</w:t>
      </w:r>
      <w:r>
        <w:rPr>
          <w:rFonts w:hint="eastAsia" w:ascii="宋体" w:hAnsi="宋体" w:cs="宋体"/>
          <w:color w:val="auto"/>
          <w:sz w:val="24"/>
          <w:highlight w:val="none"/>
          <w:lang w:val="en-US" w:eastAsia="zh-CN"/>
        </w:rPr>
        <w:t xml:space="preserve"> </w:t>
      </w:r>
    </w:p>
    <w:p>
      <w:pPr>
        <w:spacing w:line="360" w:lineRule="auto"/>
        <w:ind w:firstLine="504" w:firstLineChars="21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10.乙方应严格遵守相关法律法规和各项招标投标及政府采购制度。</w:t>
      </w:r>
    </w:p>
    <w:p>
      <w:pPr>
        <w:spacing w:line="360" w:lineRule="auto"/>
        <w:ind w:firstLine="506" w:firstLineChars="21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保密条款</w:t>
      </w:r>
    </w:p>
    <w:p>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在</w:t>
      </w: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lang w:eastAsia="zh-CN"/>
        </w:rPr>
        <w:t>期间，</w:t>
      </w:r>
      <w:r>
        <w:rPr>
          <w:rFonts w:hint="eastAsia" w:ascii="宋体" w:hAnsi="宋体" w:eastAsia="宋体" w:cs="宋体"/>
          <w:bCs/>
          <w:color w:val="auto"/>
          <w:sz w:val="24"/>
          <w:highlight w:val="none"/>
        </w:rPr>
        <w:t>乙方应对项目有关情况保密，做好资料保密工作，</w:t>
      </w:r>
      <w:r>
        <w:rPr>
          <w:rFonts w:hint="eastAsia" w:ascii="宋体" w:hAnsi="宋体" w:eastAsia="宋体" w:cs="宋体"/>
          <w:bCs/>
          <w:color w:val="auto"/>
          <w:sz w:val="24"/>
          <w:highlight w:val="none"/>
          <w:lang w:eastAsia="zh-CN"/>
        </w:rPr>
        <w:t>不得向无关人员透露</w:t>
      </w:r>
      <w:r>
        <w:rPr>
          <w:rFonts w:hint="eastAsia" w:ascii="宋体" w:hAnsi="宋体" w:cs="宋体"/>
          <w:bCs/>
          <w:color w:val="auto"/>
          <w:sz w:val="24"/>
          <w:highlight w:val="none"/>
          <w:lang w:val="en-US" w:eastAsia="zh-CN"/>
        </w:rPr>
        <w:t>招标</w:t>
      </w:r>
      <w:r>
        <w:rPr>
          <w:rFonts w:hint="eastAsia" w:ascii="宋体" w:hAnsi="宋体" w:eastAsia="宋体" w:cs="宋体"/>
          <w:bCs/>
          <w:color w:val="auto"/>
          <w:sz w:val="24"/>
          <w:highlight w:val="none"/>
          <w:lang w:eastAsia="zh-CN"/>
        </w:rPr>
        <w:t>采购工作的内部秘密，</w:t>
      </w:r>
      <w:r>
        <w:rPr>
          <w:rFonts w:hint="eastAsia" w:ascii="宋体" w:hAnsi="宋体" w:eastAsia="宋体" w:cs="宋体"/>
          <w:bCs/>
          <w:color w:val="auto"/>
          <w:sz w:val="24"/>
          <w:highlight w:val="none"/>
        </w:rPr>
        <w:t>保证所有资料不外泄。</w:t>
      </w:r>
      <w:r>
        <w:rPr>
          <w:rFonts w:hint="eastAsia" w:ascii="宋体" w:hAnsi="宋体" w:cs="宋体"/>
          <w:bCs/>
          <w:color w:val="auto"/>
          <w:sz w:val="24"/>
          <w:highlight w:val="none"/>
          <w:lang w:val="en-US" w:eastAsia="zh-CN"/>
        </w:rPr>
        <w:t>招标</w:t>
      </w:r>
      <w:r>
        <w:rPr>
          <w:rFonts w:hint="eastAsia" w:ascii="宋体" w:hAnsi="宋体" w:eastAsia="宋体" w:cs="宋体"/>
          <w:bCs/>
          <w:color w:val="auto"/>
          <w:sz w:val="24"/>
          <w:highlight w:val="none"/>
          <w:lang w:val="en-US" w:eastAsia="zh-CN"/>
        </w:rPr>
        <w:t>采购项目</w:t>
      </w:r>
      <w:r>
        <w:rPr>
          <w:rFonts w:hint="eastAsia" w:ascii="宋体" w:hAnsi="宋体" w:eastAsia="宋体" w:cs="宋体"/>
          <w:bCs/>
          <w:color w:val="auto"/>
          <w:sz w:val="24"/>
          <w:highlight w:val="none"/>
        </w:rPr>
        <w:t>完成后，乙方应将甲方提供的所有资料交还。一旦出现外泄引起纠纷，甲方有权保留起诉乙方的权利。</w:t>
      </w:r>
    </w:p>
    <w:p>
      <w:pPr>
        <w:snapToGrid w:val="0"/>
        <w:spacing w:line="500" w:lineRule="exact"/>
        <w:ind w:firstLine="482" w:firstLineChars="20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七、委托协议的变更和终止</w:t>
      </w:r>
    </w:p>
    <w:p>
      <w:pPr>
        <w:snapToGrid w:val="0"/>
        <w:spacing w:line="5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甲乙双方在协商一致的情况下，可以在招标投标法（政府采购法）和民法典许可范围内对委托协议内容做出变更，如</w:t>
      </w:r>
      <w:r>
        <w:rPr>
          <w:rFonts w:hint="eastAsia" w:ascii="宋体" w:hAnsi="宋体" w:cs="宋体"/>
          <w:bCs/>
          <w:color w:val="auto"/>
          <w:sz w:val="24"/>
          <w:highlight w:val="none"/>
          <w:lang w:val="en-US" w:eastAsia="zh-CN"/>
        </w:rPr>
        <w:t>做出</w:t>
      </w:r>
      <w:r>
        <w:rPr>
          <w:rFonts w:hint="eastAsia" w:ascii="宋体" w:hAnsi="宋体" w:eastAsia="宋体" w:cs="宋体"/>
          <w:bCs/>
          <w:color w:val="auto"/>
          <w:sz w:val="24"/>
          <w:highlight w:val="none"/>
          <w:lang w:val="en-US" w:eastAsia="zh-CN"/>
        </w:rPr>
        <w:t>变更的应当签订补充协议；如发生了不可抗力或重大变故等原因，致使</w:t>
      </w:r>
      <w:r>
        <w:rPr>
          <w:rFonts w:hint="eastAsia" w:ascii="宋体" w:hAnsi="宋体" w:cs="宋体"/>
          <w:bCs/>
          <w:color w:val="auto"/>
          <w:sz w:val="24"/>
          <w:highlight w:val="none"/>
          <w:lang w:val="en-US" w:eastAsia="zh-CN"/>
        </w:rPr>
        <w:t>招标</w:t>
      </w:r>
      <w:r>
        <w:rPr>
          <w:rFonts w:hint="eastAsia" w:ascii="宋体" w:hAnsi="宋体" w:eastAsia="宋体" w:cs="宋体"/>
          <w:bCs/>
          <w:color w:val="auto"/>
          <w:sz w:val="24"/>
          <w:highlight w:val="none"/>
          <w:lang w:val="en-US" w:eastAsia="zh-CN"/>
        </w:rPr>
        <w:t>采购项目发生更改或取消的，应签订补充协议或终止本协议。</w:t>
      </w:r>
    </w:p>
    <w:p>
      <w:pPr>
        <w:snapToGrid w:val="0"/>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违约责任</w:t>
      </w:r>
    </w:p>
    <w:p>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甲乙双方应遵守有关法律、法规、规章的规定和本协议的约定，否则，将承担相应的法律责任。因违约造成经济损失的，由违约方承担。</w:t>
      </w:r>
    </w:p>
    <w:p>
      <w:pPr>
        <w:snapToGrid w:val="0"/>
        <w:spacing w:line="500" w:lineRule="exact"/>
        <w:ind w:left="24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不可抗力</w:t>
      </w:r>
    </w:p>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napToGrid w:val="0"/>
        <w:spacing w:line="500" w:lineRule="exact"/>
        <w:ind w:left="19" w:leftChars="9" w:firstLine="465" w:firstLineChars="193"/>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争议的解决</w:t>
      </w:r>
    </w:p>
    <w:p>
      <w:pPr>
        <w:snapToGrid w:val="0"/>
        <w:spacing w:line="520" w:lineRule="exact"/>
        <w:ind w:left="19" w:leftChars="9"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因履行本合同引起的或者与本合同有关的争议，甲乙双方应当通过友好协商方式解决；如协商不能解决的，双方均可向惠州市惠城区人民法院提起诉讼。</w:t>
      </w:r>
    </w:p>
    <w:p>
      <w:pPr>
        <w:tabs>
          <w:tab w:val="left" w:pos="992"/>
        </w:tabs>
        <w:snapToGrid w:val="0"/>
        <w:spacing w:line="520" w:lineRule="exact"/>
        <w:ind w:left="420" w:leftChars="200"/>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十一、</w:t>
      </w:r>
      <w:r>
        <w:rPr>
          <w:rFonts w:hint="eastAsia" w:ascii="宋体" w:hAnsi="宋体" w:eastAsia="宋体" w:cs="宋体"/>
          <w:b/>
          <w:color w:val="auto"/>
          <w:sz w:val="24"/>
          <w:highlight w:val="none"/>
        </w:rPr>
        <w:t>其他</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1.本合同所有附件、</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val="en-US" w:eastAsia="zh-CN"/>
        </w:rPr>
        <w:t>采购文件、</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lang w:val="en-US" w:eastAsia="zh-CN"/>
        </w:rPr>
        <w:t>文件、中标</w:t>
      </w:r>
      <w:r>
        <w:rPr>
          <w:rFonts w:hint="eastAsia" w:ascii="宋体" w:hAnsi="宋体" w:cs="宋体"/>
          <w:color w:val="auto"/>
          <w:sz w:val="24"/>
          <w:highlight w:val="none"/>
          <w:lang w:val="en-US" w:eastAsia="zh-CN"/>
        </w:rPr>
        <w:t>/成交通知书</w:t>
      </w:r>
      <w:r>
        <w:rPr>
          <w:rFonts w:hint="eastAsia" w:ascii="宋体" w:hAnsi="宋体" w:eastAsia="宋体" w:cs="宋体"/>
          <w:color w:val="auto"/>
          <w:sz w:val="24"/>
          <w:highlight w:val="none"/>
          <w:lang w:val="en-US" w:eastAsia="zh-CN"/>
        </w:rPr>
        <w:t>均为合同的有效组成部分，与本合同具有同等法律效力。</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2.在执行本合同的过程中，所有经双方签署确认的文件（包括会议纪要、补充协议、往来信函）即成为本合同的有效组成部分。</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3.如一方地址、电话、传真号码有变更，应在变更当日内书面通知对方，否则，应承担相应责任。</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4.除甲方事先书面同意外，乙方不得部分或全部转让其应履行的合同项下的义务。</w:t>
      </w:r>
    </w:p>
    <w:p>
      <w:pPr>
        <w:tabs>
          <w:tab w:val="left" w:pos="992"/>
        </w:tabs>
        <w:snapToGrid w:val="0"/>
        <w:spacing w:line="520" w:lineRule="exact"/>
        <w:ind w:left="420" w:leftChars="20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十二、</w:t>
      </w:r>
      <w:r>
        <w:rPr>
          <w:rFonts w:hint="eastAsia" w:ascii="宋体" w:hAnsi="宋体" w:eastAsia="宋体" w:cs="宋体"/>
          <w:b/>
          <w:bCs w:val="0"/>
          <w:color w:val="auto"/>
          <w:sz w:val="24"/>
          <w:highlight w:val="none"/>
          <w:lang w:val="en-US" w:eastAsia="zh-CN"/>
        </w:rPr>
        <w:t>合同生效</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1.本合同在甲乙双方法人代表或其授权代表签字</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lang w:val="en-US" w:eastAsia="zh-CN"/>
        </w:rPr>
        <w:t>盖章后生效。</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本合同</w:t>
      </w:r>
      <w:r>
        <w:rPr>
          <w:rFonts w:hint="eastAsia" w:ascii="宋体" w:hAnsi="宋体" w:eastAsia="宋体" w:cs="宋体"/>
          <w:color w:val="auto"/>
          <w:sz w:val="24"/>
          <w:highlight w:val="none"/>
          <w:lang w:val="en-US" w:eastAsia="zh-CN"/>
        </w:rPr>
        <w:t>一式伍份，甲方持</w:t>
      </w:r>
      <w:r>
        <w:rPr>
          <w:rFonts w:hint="eastAsia" w:ascii="宋体" w:hAnsi="宋体" w:cs="宋体"/>
          <w:color w:val="auto"/>
          <w:sz w:val="24"/>
          <w:highlight w:val="none"/>
          <w:lang w:val="en-US" w:eastAsia="zh-CN"/>
        </w:rPr>
        <w:t>叁</w:t>
      </w:r>
      <w:r>
        <w:rPr>
          <w:rFonts w:hint="eastAsia" w:ascii="宋体" w:hAnsi="宋体" w:eastAsia="宋体" w:cs="宋体"/>
          <w:color w:val="auto"/>
          <w:sz w:val="24"/>
          <w:highlight w:val="none"/>
          <w:lang w:val="en-US" w:eastAsia="zh-CN"/>
        </w:rPr>
        <w:t>份，乙方持</w:t>
      </w:r>
      <w:r>
        <w:rPr>
          <w:rFonts w:hint="eastAsia" w:ascii="宋体" w:hAnsi="宋体" w:cs="宋体"/>
          <w:color w:val="auto"/>
          <w:sz w:val="24"/>
          <w:highlight w:val="none"/>
          <w:lang w:val="en-US" w:eastAsia="zh-CN"/>
        </w:rPr>
        <w:t>贰</w:t>
      </w:r>
      <w:r>
        <w:rPr>
          <w:rFonts w:hint="eastAsia" w:ascii="宋体" w:hAnsi="宋体" w:eastAsia="宋体" w:cs="宋体"/>
          <w:color w:val="auto"/>
          <w:sz w:val="24"/>
          <w:highlight w:val="none"/>
          <w:lang w:val="en-US" w:eastAsia="zh-CN"/>
        </w:rPr>
        <w:t>份。</w:t>
      </w:r>
    </w:p>
    <w:p>
      <w:pPr>
        <w:snapToGrid w:val="0"/>
        <w:spacing w:line="360" w:lineRule="auto"/>
        <w:ind w:left="5880" w:hanging="5880" w:hangingChars="2450"/>
        <w:rPr>
          <w:rFonts w:hint="eastAsia" w:ascii="宋体" w:hAnsi="宋体" w:eastAsia="宋体" w:cs="宋体"/>
          <w:color w:val="auto"/>
          <w:sz w:val="24"/>
          <w:highlight w:val="none"/>
        </w:rPr>
      </w:pPr>
    </w:p>
    <w:p>
      <w:pPr>
        <w:snapToGrid w:val="0"/>
        <w:spacing w:line="360" w:lineRule="auto"/>
        <w:ind w:left="5880" w:hanging="5880" w:hangingChars="2450"/>
        <w:rPr>
          <w:rFonts w:hint="eastAsia" w:ascii="宋体" w:hAnsi="宋体" w:eastAsia="宋体" w:cs="宋体"/>
          <w:color w:val="auto"/>
          <w:sz w:val="24"/>
          <w:highlight w:val="none"/>
        </w:rPr>
      </w:pPr>
    </w:p>
    <w:p>
      <w:pPr>
        <w:snapToGrid w:val="0"/>
        <w:spacing w:line="360" w:lineRule="auto"/>
        <w:ind w:left="5880" w:hanging="5880" w:hangingChars="2450"/>
        <w:rPr>
          <w:rFonts w:hint="eastAsia" w:ascii="宋体" w:hAnsi="宋体" w:eastAsia="宋体" w:cs="宋体"/>
          <w:color w:val="auto"/>
          <w:sz w:val="24"/>
          <w:highlight w:val="none"/>
        </w:rPr>
      </w:pPr>
    </w:p>
    <w:p>
      <w:pPr>
        <w:snapToGrid w:val="0"/>
        <w:spacing w:line="360" w:lineRule="auto"/>
        <w:ind w:left="5880" w:hanging="5880" w:hangingChars="24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eastAsia="zh-CN"/>
        </w:rPr>
        <w:t xml:space="preserve">惠州市第一妇幼保健院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乙方：</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授权代表</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或授权代表</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sz w:val="24"/>
          <w:highlight w:val="none"/>
        </w:rPr>
      </w:pPr>
    </w:p>
    <w:p>
      <w:pPr>
        <w:snapToGrid w:val="0"/>
        <w:spacing w:line="360" w:lineRule="auto"/>
        <w:ind w:left="5760" w:hanging="5760" w:hangingChars="24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地址： </w:t>
      </w:r>
      <w:r>
        <w:rPr>
          <w:rFonts w:hint="eastAsia" w:ascii="宋体" w:hAnsi="宋体" w:eastAsia="宋体" w:cs="宋体"/>
          <w:color w:val="auto"/>
          <w:sz w:val="24"/>
          <w:highlight w:val="none"/>
          <w:u w:val="none"/>
          <w:lang w:eastAsia="zh-CN"/>
        </w:rPr>
        <w:t>惠城区演达四路</w:t>
      </w:r>
      <w:r>
        <w:rPr>
          <w:rFonts w:hint="eastAsia" w:ascii="宋体" w:hAnsi="宋体" w:eastAsia="宋体" w:cs="宋体"/>
          <w:color w:val="auto"/>
          <w:sz w:val="24"/>
          <w:highlight w:val="none"/>
          <w:u w:val="none"/>
          <w:lang w:val="en-US" w:eastAsia="zh-CN"/>
        </w:rPr>
        <w:t>5号</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地址：       </w:t>
      </w:r>
    </w:p>
    <w:p>
      <w:pPr>
        <w:snapToGrid w:val="0"/>
        <w:spacing w:line="360" w:lineRule="auto"/>
        <w:ind w:left="5760" w:hanging="5760" w:hangingChars="24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 xml:space="preserve">电话： </w:t>
      </w:r>
      <w:r>
        <w:rPr>
          <w:rFonts w:hint="eastAsia" w:ascii="宋体" w:hAnsi="宋体" w:eastAsia="宋体" w:cs="宋体"/>
          <w:color w:val="auto"/>
          <w:sz w:val="24"/>
          <w:highlight w:val="none"/>
          <w:u w:val="none"/>
          <w:lang w:val="en-US" w:eastAsia="zh-CN"/>
        </w:rPr>
        <w:t>0752-7806068</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电话：       </w:t>
      </w:r>
      <w:r>
        <w:rPr>
          <w:rFonts w:hint="eastAsia" w:ascii="宋体" w:hAnsi="宋体" w:eastAsia="宋体" w:cs="宋体"/>
          <w:color w:val="auto"/>
          <w:sz w:val="24"/>
          <w:highlight w:val="none"/>
          <w:u w:val="none"/>
          <w:lang w:val="en-US" w:eastAsia="zh-CN"/>
        </w:rPr>
        <w:t xml:space="preserve">   </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仿宋" w:hAnsi="仿宋" w:eastAsia="宋体" w:cs="仿宋"/>
          <w:color w:val="auto"/>
          <w:sz w:val="36"/>
          <w:highlight w:val="none"/>
          <w:u w:val="single"/>
          <w:lang w:eastAsia="zh-CN"/>
        </w:rPr>
        <w:sectPr>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年    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p>
    <w:p>
      <w:pPr>
        <w:snapToGrid w:val="0"/>
        <w:spacing w:line="500" w:lineRule="exact"/>
        <w:jc w:val="center"/>
        <w:rPr>
          <w:rFonts w:hint="eastAsia" w:ascii="仿宋" w:hAnsi="仿宋" w:eastAsia="仿宋" w:cs="仿宋"/>
          <w:b/>
          <w:bCs/>
          <w:color w:val="auto"/>
          <w:sz w:val="48"/>
          <w:szCs w:val="48"/>
          <w:highlight w:val="none"/>
        </w:r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r>
        <w:rPr>
          <w:rFonts w:hint="eastAsia" w:ascii="仿宋" w:hAnsi="仿宋" w:eastAsia="仿宋" w:cs="仿宋"/>
          <w:b/>
          <w:color w:val="auto"/>
          <w:sz w:val="24"/>
          <w:highlight w:val="none"/>
          <w:u w:val="single"/>
          <w:lang w:eastAsia="zh-CN"/>
        </w:rPr>
        <w:t>；</w:t>
      </w:r>
      <w:r>
        <w:rPr>
          <w:rFonts w:hint="eastAsia" w:ascii="仿宋" w:hAnsi="仿宋" w:eastAsia="仿宋" w:cs="仿宋"/>
          <w:b/>
          <w:color w:val="auto"/>
          <w:sz w:val="24"/>
          <w:highlight w:val="none"/>
          <w:u w:val="single"/>
        </w:rPr>
        <w:t>《报价单》单独一份另外封装，注明产品名称。</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10" w:name="_Toc202816995"/>
      <w:bookmarkStart w:id="11" w:name="_Toc202251699"/>
      <w:bookmarkStart w:id="12" w:name="_Toc202252033"/>
      <w:bookmarkStart w:id="13" w:name="_Toc202819877"/>
      <w:bookmarkStart w:id="14" w:name="_Toc202254104"/>
      <w:bookmarkStart w:id="15" w:name="_Toc202820350"/>
      <w:bookmarkStart w:id="16" w:name="_Toc202251074"/>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88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8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16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（2）必须具有良好的商业信誉和健全的财务会计制度（提供 202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年至202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年度任意一年的年度财务报告（新成立公司提供成立至今的月或季度财务报表复印件)或银行出具的资信证明）；</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（3）比选截止时间前一年内任意一个月的依法缴纳税收证明材料（如依法免税，则须提供相应文件证明其依法免税）；</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（4）比选截止时间前一年内任意一个月的依法缴纳社会保险凭据（如依法不需要缴纳社保，则须提供相应文件证明其依法不需要缴纳）；</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4.为采购项目提供整体设计、规范编制或者项目管理、监理、检测等服务的供应商，不得再参加该采购项目的其他采购活动。(供应商出具声明函)</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5.本项目均不接受联合体参加</w:t>
            </w:r>
            <w:r>
              <w:rPr>
                <w:rFonts w:hint="eastAsia" w:ascii="仿宋" w:hAnsi="仿宋" w:eastAsia="仿宋" w:cs="仿宋"/>
                <w:color w:val="auto"/>
                <w:szCs w:val="21"/>
                <w:highlight w:val="none"/>
                <w:lang w:eastAsia="zh-CN"/>
              </w:rPr>
              <w:t>比选</w:t>
            </w:r>
            <w:r>
              <w:rPr>
                <w:rFonts w:hint="eastAsia" w:ascii="仿宋" w:hAnsi="仿宋" w:eastAsia="仿宋" w:cs="仿宋"/>
                <w:color w:val="auto"/>
                <w:szCs w:val="21"/>
                <w:highlight w:val="none"/>
              </w:rPr>
              <w:t>，不允许响应供应商对各招标项目包进行分包或转包。</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6.具有广东政府采购智慧云平台、国家住建部全国建筑市场监管公共服务平台、中正国标中易电子交易平台的注册或备案证明（提供查询或操作截图）</w:t>
            </w:r>
          </w:p>
          <w:p>
            <w:pPr>
              <w:autoSpaceDE w:val="0"/>
              <w:autoSpaceDN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7.本项目不接受联合体参加比选，不允许响应供应商对各比选项目进行分包或转包(供应商出具声明函)；</w:t>
            </w:r>
          </w:p>
          <w:p>
            <w:pPr>
              <w:autoSpaceDE w:val="0"/>
              <w:autoSpaceDN w:val="0"/>
              <w:jc w:val="left"/>
              <w:rPr>
                <w:rFonts w:hint="eastAsia"/>
                <w:color w:val="auto"/>
                <w:highlight w:val="none"/>
              </w:rPr>
            </w:pPr>
            <w:r>
              <w:rPr>
                <w:rFonts w:hint="eastAsia" w:ascii="仿宋" w:hAnsi="仿宋" w:eastAsia="仿宋" w:cs="仿宋"/>
                <w:color w:val="auto"/>
                <w:szCs w:val="21"/>
                <w:highlight w:val="none"/>
              </w:rPr>
              <w:t>8.已在招采办报名。</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服务要求评审</w:t>
            </w:r>
          </w:p>
        </w:tc>
        <w:tc>
          <w:tcPr>
            <w:tcW w:w="3787" w:type="dxa"/>
            <w:noWrap w:val="0"/>
            <w:vAlign w:val="center"/>
          </w:tcPr>
          <w:p>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实质性（“★”项）服务要求条款是否全部完全响应</w:t>
            </w:r>
          </w:p>
        </w:tc>
        <w:tc>
          <w:tcPr>
            <w:tcW w:w="1884"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c>
          <w:tcPr>
            <w:tcW w:w="1884"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69"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p>
      <w:pPr>
        <w:pStyle w:val="9"/>
        <w:adjustRightInd w:val="0"/>
        <w:snapToGrid w:val="0"/>
        <w:spacing w:line="440" w:lineRule="exact"/>
        <w:ind w:firstLine="1981" w:firstLineChars="700"/>
        <w:rPr>
          <w:rFonts w:hint="eastAsia" w:ascii="仿宋" w:hAnsi="仿宋" w:eastAsia="仿宋" w:cs="仿宋"/>
          <w:b/>
          <w:bCs/>
          <w:color w:val="auto"/>
          <w:sz w:val="28"/>
          <w:highlight w:val="none"/>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65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pPr>
              <w:pStyle w:val="16"/>
              <w:adjustRightInd/>
              <w:ind w:firstLine="213" w:firstLineChars="1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656"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2693" w:type="dxa"/>
            <w:noWrap w:val="0"/>
            <w:vAlign w:val="center"/>
          </w:tcPr>
          <w:p>
            <w:pPr>
              <w:pStyle w:val="16"/>
              <w:adjustRightInd/>
              <w:ind w:firstLine="422"/>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Merge w:val="restart"/>
            <w:noWrap w:val="0"/>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商务</w:t>
            </w:r>
          </w:p>
        </w:tc>
        <w:tc>
          <w:tcPr>
            <w:tcW w:w="4656" w:type="dxa"/>
            <w:noWrap w:val="0"/>
            <w:vAlign w:val="center"/>
          </w:tcPr>
          <w:p>
            <w:pPr>
              <w:widowControl/>
              <w:rPr>
                <w:rFonts w:hint="eastAsia" w:ascii="仿宋" w:hAnsi="仿宋" w:eastAsia="仿宋" w:cs="仿宋"/>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Merge w:val="continue"/>
            <w:noWrap w:val="0"/>
            <w:vAlign w:val="center"/>
          </w:tcPr>
          <w:p>
            <w:pPr>
              <w:widowControl/>
              <w:jc w:val="center"/>
              <w:rPr>
                <w:rFonts w:hint="eastAsia" w:ascii="仿宋" w:hAnsi="仿宋" w:eastAsia="仿宋" w:cs="仿宋"/>
                <w:color w:val="auto"/>
                <w:kern w:val="0"/>
                <w:sz w:val="24"/>
                <w:highlight w:val="none"/>
              </w:rPr>
            </w:pPr>
          </w:p>
        </w:tc>
        <w:tc>
          <w:tcPr>
            <w:tcW w:w="4656" w:type="dxa"/>
            <w:noWrap w:val="0"/>
            <w:vAlign w:val="center"/>
          </w:tcPr>
          <w:p>
            <w:pPr>
              <w:widowControl/>
              <w:rPr>
                <w:rFonts w:hint="eastAsia" w:ascii="仿宋" w:hAnsi="仿宋" w:eastAsia="仿宋" w:cs="仿宋"/>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vMerge w:val="continue"/>
            <w:noWrap w:val="0"/>
            <w:vAlign w:val="center"/>
          </w:tcPr>
          <w:p>
            <w:pPr>
              <w:jc w:val="center"/>
              <w:rPr>
                <w:rFonts w:hint="eastAsia" w:ascii="仿宋" w:hAnsi="仿宋" w:eastAsia="仿宋" w:cs="仿宋"/>
                <w:color w:val="auto"/>
                <w:kern w:val="0"/>
                <w:sz w:val="24"/>
                <w:highlight w:val="none"/>
                <w:lang w:val="en-US" w:eastAsia="zh-CN"/>
              </w:rPr>
            </w:pPr>
          </w:p>
        </w:tc>
        <w:tc>
          <w:tcPr>
            <w:tcW w:w="4656" w:type="dxa"/>
            <w:noWrap w:val="0"/>
            <w:vAlign w:val="center"/>
          </w:tcPr>
          <w:p>
            <w:pPr>
              <w:rPr>
                <w:rFonts w:hint="eastAsia" w:ascii="仿宋" w:hAnsi="仿宋" w:eastAsia="仿宋" w:cs="仿宋"/>
                <w:color w:val="auto"/>
                <w:kern w:val="0"/>
                <w:sz w:val="24"/>
                <w:highlight w:val="none"/>
              </w:rPr>
            </w:pPr>
          </w:p>
        </w:tc>
        <w:tc>
          <w:tcPr>
            <w:tcW w:w="2693"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Merge w:val="continue"/>
            <w:noWrap w:val="0"/>
            <w:vAlign w:val="center"/>
          </w:tcPr>
          <w:p>
            <w:pPr>
              <w:widowControl/>
              <w:jc w:val="center"/>
              <w:rPr>
                <w:rFonts w:hint="eastAsia" w:ascii="仿宋" w:hAnsi="仿宋" w:eastAsia="仿宋" w:cs="仿宋"/>
                <w:color w:val="auto"/>
                <w:kern w:val="0"/>
                <w:sz w:val="24"/>
                <w:highlight w:val="none"/>
              </w:rPr>
            </w:pPr>
          </w:p>
        </w:tc>
        <w:tc>
          <w:tcPr>
            <w:tcW w:w="4656" w:type="dxa"/>
            <w:noWrap w:val="0"/>
            <w:vAlign w:val="center"/>
          </w:tcPr>
          <w:p>
            <w:pPr>
              <w:widowControl/>
              <w:rPr>
                <w:rFonts w:hint="eastAsia" w:ascii="仿宋" w:hAnsi="仿宋" w:eastAsia="仿宋" w:cs="仿宋"/>
                <w:color w:val="auto"/>
                <w:sz w:val="24"/>
                <w:highlight w:val="none"/>
              </w:rPr>
            </w:pPr>
          </w:p>
        </w:tc>
        <w:tc>
          <w:tcPr>
            <w:tcW w:w="2693"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Merge w:val="continue"/>
            <w:noWrap w:val="0"/>
            <w:vAlign w:val="center"/>
          </w:tcPr>
          <w:p>
            <w:pPr>
              <w:widowControl/>
              <w:jc w:val="center"/>
              <w:rPr>
                <w:rFonts w:hint="eastAsia" w:ascii="仿宋" w:hAnsi="仿宋" w:eastAsia="仿宋" w:cs="仿宋"/>
                <w:color w:val="auto"/>
                <w:kern w:val="0"/>
                <w:sz w:val="24"/>
                <w:highlight w:val="none"/>
              </w:rPr>
            </w:pPr>
          </w:p>
        </w:tc>
        <w:tc>
          <w:tcPr>
            <w:tcW w:w="4656" w:type="dxa"/>
            <w:noWrap w:val="0"/>
            <w:vAlign w:val="center"/>
          </w:tcPr>
          <w:p>
            <w:pPr>
              <w:widowControl/>
              <w:rPr>
                <w:rFonts w:hint="eastAsia" w:ascii="仿宋" w:hAnsi="仿宋" w:eastAsia="仿宋" w:cs="仿宋"/>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548" w:type="dxa"/>
            <w:vMerge w:val="continue"/>
            <w:noWrap w:val="0"/>
            <w:vAlign w:val="center"/>
          </w:tcPr>
          <w:p>
            <w:pPr>
              <w:widowControl/>
              <w:jc w:val="center"/>
              <w:rPr>
                <w:rFonts w:hint="eastAsia" w:ascii="仿宋" w:hAnsi="仿宋" w:eastAsia="仿宋" w:cs="仿宋"/>
                <w:color w:val="auto"/>
                <w:kern w:val="0"/>
                <w:sz w:val="24"/>
                <w:highlight w:val="none"/>
              </w:rPr>
            </w:pPr>
          </w:p>
        </w:tc>
        <w:tc>
          <w:tcPr>
            <w:tcW w:w="4656" w:type="dxa"/>
            <w:noWrap w:val="0"/>
            <w:vAlign w:val="center"/>
          </w:tcPr>
          <w:p>
            <w:pPr>
              <w:widowControl/>
              <w:rPr>
                <w:rFonts w:hint="eastAsia" w:ascii="仿宋" w:hAnsi="仿宋" w:eastAsia="仿宋" w:cs="仿宋"/>
                <w:color w:val="auto"/>
                <w:kern w:val="0"/>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Merge w:val="restart"/>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技术</w:t>
            </w:r>
          </w:p>
        </w:tc>
        <w:tc>
          <w:tcPr>
            <w:tcW w:w="4656" w:type="dxa"/>
            <w:noWrap w:val="0"/>
            <w:vAlign w:val="center"/>
          </w:tcPr>
          <w:p>
            <w:pPr>
              <w:widowControl/>
              <w:rPr>
                <w:rFonts w:hint="eastAsia" w:ascii="仿宋" w:hAnsi="仿宋" w:eastAsia="仿宋" w:cs="仿宋"/>
                <w:b/>
                <w:bCs/>
                <w:i/>
                <w:iCs/>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Merge w:val="continue"/>
            <w:noWrap w:val="0"/>
            <w:vAlign w:val="center"/>
          </w:tcPr>
          <w:p>
            <w:pPr>
              <w:widowControl/>
              <w:jc w:val="center"/>
              <w:rPr>
                <w:rFonts w:hint="eastAsia" w:ascii="仿宋" w:hAnsi="仿宋" w:eastAsia="仿宋" w:cs="仿宋"/>
                <w:color w:val="auto"/>
                <w:kern w:val="0"/>
                <w:sz w:val="24"/>
                <w:highlight w:val="none"/>
                <w:lang w:val="en-US" w:eastAsia="zh-CN"/>
              </w:rPr>
            </w:pPr>
          </w:p>
        </w:tc>
        <w:tc>
          <w:tcPr>
            <w:tcW w:w="4656" w:type="dxa"/>
            <w:noWrap w:val="0"/>
            <w:vAlign w:val="center"/>
          </w:tcPr>
          <w:p>
            <w:pPr>
              <w:widowControl/>
              <w:rPr>
                <w:rFonts w:hint="eastAsia" w:ascii="仿宋" w:hAnsi="仿宋" w:eastAsia="仿宋" w:cs="仿宋"/>
                <w:b/>
                <w:bCs/>
                <w:i/>
                <w:iCs/>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48" w:type="dxa"/>
            <w:vMerge w:val="continue"/>
            <w:noWrap w:val="0"/>
            <w:vAlign w:val="center"/>
          </w:tcPr>
          <w:p>
            <w:pPr>
              <w:widowControl/>
              <w:jc w:val="center"/>
              <w:rPr>
                <w:rFonts w:hint="eastAsia" w:ascii="仿宋" w:hAnsi="仿宋" w:eastAsia="仿宋" w:cs="仿宋"/>
                <w:color w:val="auto"/>
                <w:sz w:val="24"/>
                <w:highlight w:val="none"/>
              </w:rPr>
            </w:pPr>
          </w:p>
        </w:tc>
        <w:tc>
          <w:tcPr>
            <w:tcW w:w="4656" w:type="dxa"/>
            <w:noWrap w:val="0"/>
            <w:vAlign w:val="center"/>
          </w:tcPr>
          <w:p>
            <w:pPr>
              <w:rPr>
                <w:rFonts w:hint="eastAsia" w:ascii="仿宋" w:hAnsi="仿宋" w:eastAsia="仿宋" w:cs="仿宋"/>
                <w:color w:val="auto"/>
                <w:sz w:val="24"/>
                <w:highlight w:val="none"/>
              </w:rPr>
            </w:pPr>
          </w:p>
        </w:tc>
        <w:tc>
          <w:tcPr>
            <w:tcW w:w="2693"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48" w:type="dxa"/>
            <w:vMerge w:val="continue"/>
            <w:noWrap w:val="0"/>
            <w:vAlign w:val="center"/>
          </w:tcPr>
          <w:p>
            <w:pPr>
              <w:widowControl/>
              <w:jc w:val="center"/>
              <w:rPr>
                <w:rFonts w:hint="eastAsia" w:ascii="仿宋" w:hAnsi="仿宋" w:eastAsia="仿宋" w:cs="仿宋"/>
                <w:color w:val="auto"/>
                <w:sz w:val="24"/>
                <w:highlight w:val="none"/>
              </w:rPr>
            </w:pPr>
          </w:p>
        </w:tc>
        <w:tc>
          <w:tcPr>
            <w:tcW w:w="4656" w:type="dxa"/>
            <w:noWrap w:val="0"/>
            <w:vAlign w:val="center"/>
          </w:tcPr>
          <w:p>
            <w:pPr>
              <w:rPr>
                <w:rFonts w:hint="eastAsia" w:ascii="仿宋" w:hAnsi="仿宋" w:eastAsia="仿宋" w:cs="仿宋"/>
                <w:color w:val="auto"/>
                <w:sz w:val="24"/>
                <w:highlight w:val="none"/>
              </w:rPr>
            </w:pPr>
          </w:p>
        </w:tc>
        <w:tc>
          <w:tcPr>
            <w:tcW w:w="2693"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48" w:type="dxa"/>
            <w:vMerge w:val="continue"/>
            <w:noWrap w:val="0"/>
            <w:vAlign w:val="center"/>
          </w:tcPr>
          <w:p>
            <w:pPr>
              <w:widowControl/>
              <w:jc w:val="center"/>
              <w:rPr>
                <w:rFonts w:hint="eastAsia" w:ascii="仿宋" w:hAnsi="仿宋" w:eastAsia="仿宋" w:cs="仿宋"/>
                <w:color w:val="auto"/>
                <w:sz w:val="24"/>
                <w:highlight w:val="none"/>
              </w:rPr>
            </w:pPr>
          </w:p>
        </w:tc>
        <w:tc>
          <w:tcPr>
            <w:tcW w:w="4656" w:type="dxa"/>
            <w:noWrap w:val="0"/>
            <w:vAlign w:val="center"/>
          </w:tcPr>
          <w:p>
            <w:pPr>
              <w:rPr>
                <w:rFonts w:hint="eastAsia" w:ascii="仿宋" w:hAnsi="仿宋" w:eastAsia="仿宋" w:cs="仿宋"/>
                <w:color w:val="auto"/>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48" w:type="dxa"/>
            <w:vMerge w:val="continue"/>
            <w:noWrap w:val="0"/>
            <w:vAlign w:val="center"/>
          </w:tcPr>
          <w:p>
            <w:pPr>
              <w:widowControl/>
              <w:jc w:val="center"/>
              <w:rPr>
                <w:rFonts w:hint="eastAsia" w:ascii="仿宋" w:hAnsi="仿宋" w:eastAsia="仿宋" w:cs="仿宋"/>
                <w:color w:val="auto"/>
                <w:sz w:val="24"/>
                <w:highlight w:val="none"/>
              </w:rPr>
            </w:pPr>
          </w:p>
        </w:tc>
        <w:tc>
          <w:tcPr>
            <w:tcW w:w="4656" w:type="dxa"/>
            <w:noWrap w:val="0"/>
            <w:vAlign w:val="center"/>
          </w:tcPr>
          <w:p>
            <w:pPr>
              <w:rPr>
                <w:rFonts w:hint="eastAsia" w:ascii="仿宋" w:hAnsi="仿宋" w:eastAsia="仿宋" w:cs="仿宋"/>
                <w:color w:val="auto"/>
                <w:kern w:val="0"/>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48" w:type="dxa"/>
            <w:vMerge w:val="continue"/>
            <w:noWrap w:val="0"/>
            <w:vAlign w:val="center"/>
          </w:tcPr>
          <w:p>
            <w:pPr>
              <w:widowControl/>
              <w:jc w:val="center"/>
              <w:rPr>
                <w:rFonts w:hint="eastAsia" w:ascii="仿宋" w:hAnsi="仿宋" w:eastAsia="仿宋" w:cs="仿宋"/>
                <w:color w:val="auto"/>
                <w:sz w:val="24"/>
                <w:highlight w:val="none"/>
              </w:rPr>
            </w:pPr>
          </w:p>
        </w:tc>
        <w:tc>
          <w:tcPr>
            <w:tcW w:w="4656" w:type="dxa"/>
            <w:noWrap w:val="0"/>
            <w:vAlign w:val="center"/>
          </w:tcPr>
          <w:p>
            <w:pPr>
              <w:widowControl/>
              <w:rPr>
                <w:rFonts w:hint="eastAsia" w:ascii="仿宋" w:hAnsi="仿宋" w:eastAsia="仿宋" w:cs="仿宋"/>
                <w:color w:val="auto"/>
                <w:kern w:val="0"/>
                <w:sz w:val="24"/>
                <w:highlight w:val="none"/>
              </w:rPr>
            </w:pPr>
          </w:p>
        </w:tc>
        <w:tc>
          <w:tcPr>
            <w:tcW w:w="2693" w:type="dxa"/>
            <w:noWrap w:val="0"/>
            <w:vAlign w:val="center"/>
          </w:tcPr>
          <w:p>
            <w:pPr>
              <w:pStyle w:val="12"/>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820351"/>
      <w:bookmarkStart w:id="18" w:name="_Toc202251700"/>
      <w:bookmarkStart w:id="19" w:name="_Toc202819878"/>
      <w:bookmarkStart w:id="20" w:name="_Toc202254105"/>
      <w:bookmarkStart w:id="21" w:name="_Toc202252034"/>
      <w:bookmarkStart w:id="22" w:name="_Toc202816996"/>
      <w:bookmarkStart w:id="23" w:name="_Toc202251075"/>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pPr>
        <w:pStyle w:val="3"/>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2336;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APkSLpDAIAAAIEAAAOAAAAZHJzL2Uyb0RvYy54bWytU0uO&#10;EzEQ3SNxB8t70vmOhlY6IzQhbBBEGjhApW13W/JPtifd2cEKIRYcgAuwY8UWTjN8bkHZCZkZYIEQ&#10;vXBXuVzPr16V52e9VmTLfZDWVHQ0GFLCTW2ZNE1Fnz9b3TulJEQwDJQ1vKI7HujZ4u6deedKPrat&#10;VYx7giAmlJ2raBujK4si1C3XEAbWcYNBYb2GiK5vCuahQ3StivFweFJ01jPnbc1DwN3lPkgXGV8I&#10;XsenQgQeiaoocot59XndpLVYzKFsPLhW1gca8A8sNEiDlx6hlhCBXHr5G5SWtbfBijiorS6sELLm&#10;uQasZjT8pZqLFhzPtaA4wR1lCv8Ptn6yXXsiWUWnlBjQ2KIvH19+ff/m6t2nkly9/fD9xetvn1/h&#10;BpkmsToXSsy5cGt/8AKaqfJeeJ3+WBPps8C7o8C8j6TGzfFkMjkZzyipMTaanU4n6CBOcZ3ufIiP&#10;uNUkGRUVynbnLfj4QEXuDUS+3jc7qw3bxyHu83/mJQrBKslWUqns+GZzrjzZAo7AKn+HK28dU4Z0&#10;Fb0/y+wAJ1EoiEhUO9QmmCbfdysj3AQe5u9PwInYEkK7J5AR0jEotcSKstVyYA8NI3HnUH+DD4Um&#10;MpozShTHd5WsfDKCVH9zEgVVBnVN7do3KFmx3/QIk8yNZTts/KXzsmlR51GmniI4aLkhh0eRJvmm&#10;n0Gvn+7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lT5Q3XAAAACAEAAA8AAAAAAAAAAQAgAAAA&#10;IgAAAGRycy9kb3ducmV2LnhtbFBLAQIUABQAAAAIAIdO4kAPkSLpDAIAAAIEAAAOAAAAAAAAAAEA&#10;IAAAACY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0288;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G3pNQMNAgAAAgQAAA4AAABkcnMvZTJvRG9jLnhtbK1TzW4T&#10;MRC+I/EOlu9k80OqdpVNhRrCBUGkwgNM1vauJf/JdrObG5wQ4sAD8AK9ceJKn6b8vAVjJ6QtcECI&#10;PXhnbM8333wznp32WpEN90FaU9HRYEgJN7Vl0jQVffli+eCYkhDBMFDW8IpueaCn8/v3Zp0r+di2&#10;VjHuCYKYUHauom2MriyKULdcQxhYxw0eCus1RHR9UzAPHaJrVYyHw6Ois545b2seAu4udod0nvGF&#10;4HV8LkTgkaiKIreYV5/XdVqL+QzKxoNrZb2nAf/AQoM0mPQAtYAI5MLL36C0rL0NVsRBbXVhhZA1&#10;zzVgNaPhL9Wct+B4rgXFCe4gU/h/sPWzzcoTySo6pcSAxhZ9+fT66+W76w+fS3L9/uP3V2+/Xb3B&#10;DTJNYnUulBhz7lZ+7wU0U+W98Dr9sSbSZ4G3B4F5H0mNm+PJZHI0xkw1no2mxw8n6CBOcRPufIhP&#10;uNUkGRUVynZnLfj4SEXuDUS+2jU7qw2bpyHu4n/GJQrBKsmWUqns+GZ9pjzZAI7AMn/7lHeuKUO6&#10;ip5MMzvASRQKIhLVDrUJpsn57kSE28DD/P0JOBFbQGh3BDJCugalllhRtloO7LFhJG4d6m/wodBE&#10;RnNGieL4rpKVb0aQ6m9uoqDKoK6pXbsGJSv26x5hkrm2bIuNv3BeNi3qPMrU0wkOWm7I/lGkSb7t&#10;Z9Cbpz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L7AHWAAAACAEAAA8AAAAAAAAAAQAgAAAA&#10;IgAAAGRycy9kb3ducmV2LnhtbFBLAQIUABQAAAAIAIdO4kBt6TUDDQIAAAI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45"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5.有效期限：必须超出响应文件中标注的响应有效期，自本单位盖公章之日起生效。</w:t>
      </w:r>
    </w:p>
    <w:p>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1312;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f8yJ1wAAAAkBAAAPAAAAAAAAAAEAIAAA&#10;ACIAAABkcnMvZG93bnJldi54bWxQSwECFAAUAAAACACHTuJA4vLVEg0CAAACBAAADgAAAAAAAAAB&#10;ACAAAAAm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4384;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faXXAAAACQEAAA8AAAAAAAAAAQAgAAAA&#10;IgAAAGRycy9kb3ducmV2LnhtbFBLAQIUABQAAAAIAIdO4kBnBIodDAIAAAIEAAAOAAAAAAAAAAEA&#10;IAAAACY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3360;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ICKwvgNAgAAAgQAAA4AAABkcnMvZTJvRG9jLnhtbK1T&#10;zW4TMRC+I/EOlu9kkw2pyiqbCjWEC4JKhQeY2N5dS/6T7WY3NzghxIEH4AV648QVnqb8vAVjJ6Qt&#10;cECIPXhnPJ7P33wznp8MWpGN8EFaU9PJaEyJMMxyadqavni+undMSYhgOChrRE23ItCTxd07895V&#10;orSdVVx4giAmVL2raRejq4oisE5oCCPrhMFgY72GiK5vC+6hR3StinI8Pip667nzlokQcHe5C9JF&#10;xm8aweKzpgkiElVT5Bbz6vO6TmuxmEPVenCdZHsa8A8sNEiDlx6glhCBXHj5G5SWzNtgmzhiVhe2&#10;aSQTuQasZjL+pZrzDpzItaA4wR1kCv8Plj3dnHkieU1LSgxobNGXj6++Xr69ev+pIlfvPnx/+ebb&#10;59e4QcokVu9ChTnn7szvvYBmqnxovE5/rIkMWeDtQWAxRMJws5xOp0fljBKGscns+P4UHcQprtOd&#10;D/GxsJoko6aNsv1pBz4+VFF4A1Gc7Zqd1YbNkxB3+T/zEoVgleQrqVR2fLs+VZ5sAEdglb/9lbeO&#10;KUP6mj6YZXaAk9goiEhUO9QmmDbfdysj3AQe5+9PwInYEkK3I5AR0jGotMSKstUJ4I8MJ3HrUH+D&#10;D4UmMlpwSpTAd5WsfDKCVH9zEgVVBnVN7do1KFlxWA8Ik8y15Vts/IXzsu1Q50mmniI4aLkh+0eR&#10;Jvmmn0Gvn+7i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1wyx7ZAAAADQEAAA8AAAAAAAAAAQAg&#10;AAAAIgAAAGRycy9kb3ducmV2LnhtbFBLAQIUABQAAAAIAIdO4kCAisL4DQIAAAIEAAAOAAAAAAAA&#10;AAEAIAAAACgBAABkcnMvZTJvRG9jLnhtbFBLBQYAAAAABgAGAFkBAACn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（2）必须具有良好的商业信誉和健全的财务会计制度（提供 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年至202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年度任意一年的年度财务报告（新成立公司提供成立至今的月或季度财务报表复印件)或银行出具的资信证明）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5.本项目均不接受联合体参加</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，不允许响应供应商对各招标项目包进行分包或转包。</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6.具有广东政府采购智慧云平台、国家住建部全国建筑市场监管公共服务平台、中正国标中易电子交易平台的注册或备案证明（提供查询或操作截图）</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819879"/>
      <w:bookmarkStart w:id="25" w:name="_Toc202820352"/>
      <w:bookmarkStart w:id="26" w:name="_Toc202251701"/>
      <w:bookmarkStart w:id="27" w:name="_Toc202816997"/>
      <w:bookmarkStart w:id="28" w:name="_Toc202254106"/>
      <w:bookmarkStart w:id="29" w:name="_Toc202252035"/>
      <w:bookmarkStart w:id="30" w:name="_Toc202251076"/>
    </w:p>
    <w:p>
      <w:pPr>
        <w:pStyle w:val="2"/>
        <w:rPr>
          <w:rFonts w:hint="eastAsia"/>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pPr>
        <w:pStyle w:val="3"/>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8017"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8017"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240"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87"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649"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79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649"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240"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87"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649"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79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649"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240"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87"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649"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79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649"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8017"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8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8017"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60"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62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697"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60"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62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697"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6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620"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697"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6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620"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697"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60"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620"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6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57"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6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2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6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0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57"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6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2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6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0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57"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4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60"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2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6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0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57"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bl>
    <w:p>
      <w:pPr>
        <w:pStyle w:val="17"/>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7"/>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7"/>
        <w:rPr>
          <w:rFonts w:hint="eastAsia" w:ascii="仿宋" w:hAnsi="仿宋" w:eastAsia="仿宋" w:cs="仿宋"/>
          <w:color w:val="auto"/>
          <w:kern w:val="2"/>
          <w:szCs w:val="24"/>
          <w:highlight w:val="none"/>
          <w:lang w:val="en-GB"/>
        </w:rPr>
      </w:pPr>
    </w:p>
    <w:p>
      <w:pPr>
        <w:pStyle w:val="17"/>
        <w:ind w:firstLine="526"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7"/>
        <w:ind w:firstLine="526" w:firstLineChars="200"/>
        <w:rPr>
          <w:rFonts w:hint="eastAsia" w:ascii="仿宋" w:hAnsi="仿宋" w:eastAsia="仿宋" w:cs="仿宋"/>
          <w:color w:val="auto"/>
          <w:kern w:val="2"/>
          <w:szCs w:val="24"/>
          <w:highlight w:val="none"/>
          <w:lang w:val="en-GB"/>
        </w:rPr>
      </w:pPr>
    </w:p>
    <w:p>
      <w:pPr>
        <w:pStyle w:val="17"/>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收费标准</w:t>
            </w:r>
          </w:p>
        </w:tc>
        <w:tc>
          <w:tcPr>
            <w:tcW w:w="3651" w:type="dxa"/>
            <w:noWrap w:val="0"/>
            <w:vAlign w:val="center"/>
          </w:tcPr>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代理服务费：参照《招标代理服务收费管理暂行办法》（计价格[2002]1980号）和《国家发展改革委关于降低部分建设项目收费标准规范收费行为等有关问题的通知》（发改价格[2011]534号）标准乘以(1-成交下浮率)向中标/成交供应商收取服务费；在项目中标/成交金额较小或较大的情况下允许市场调节，代理服务费用低于3000元时按3000元收费；代理服务费用高于10万元时按10万元收费。代理服务费用涵盖提供采购项目采购代理全过程服务中发生的一切费用(包括采购文件、评审文件等所有资料的打印、复印、装订，评（含评审）定标专家劳务费用等)。</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（2）专家论证服务费：单次论证（包括但不限于需求参数论证、进口设备论证等）按该论证项目预算金额1‰乘以(1-成交下浮率)收取论证服务费，最高不得超10000元/次。论证服务费小于4000元时允许按4000元收费。</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（3）如遇特殊情况，经双方协商一致后根据协商结果进行收费。</w:t>
            </w:r>
          </w:p>
        </w:tc>
        <w:tc>
          <w:tcPr>
            <w:tcW w:w="736" w:type="dxa"/>
            <w:noWrap w:val="0"/>
            <w:vAlign w:val="center"/>
          </w:tcPr>
          <w:p>
            <w:pPr>
              <w:rPr>
                <w:rFonts w:hint="eastAsia" w:ascii="仿宋" w:hAnsi="仿宋" w:eastAsia="仿宋" w:cs="仿宋"/>
                <w:color w:val="auto"/>
                <w:szCs w:val="21"/>
                <w:highlight w:val="none"/>
              </w:rPr>
            </w:pPr>
          </w:p>
        </w:tc>
        <w:tc>
          <w:tcPr>
            <w:tcW w:w="1430" w:type="dxa"/>
            <w:noWrap w:val="0"/>
            <w:vAlign w:val="center"/>
          </w:tcPr>
          <w:p>
            <w:pPr>
              <w:rPr>
                <w:rFonts w:hint="eastAsia" w:ascii="仿宋" w:hAnsi="仿宋" w:eastAsia="仿宋" w:cs="仿宋"/>
                <w:color w:val="auto"/>
                <w:szCs w:val="21"/>
                <w:highlight w:val="none"/>
              </w:rPr>
            </w:pPr>
          </w:p>
        </w:tc>
        <w:tc>
          <w:tcPr>
            <w:tcW w:w="1030" w:type="dxa"/>
            <w:noWrap w:val="0"/>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报价要求</w:t>
            </w:r>
          </w:p>
        </w:tc>
        <w:tc>
          <w:tcPr>
            <w:tcW w:w="3651" w:type="dxa"/>
            <w:noWrap w:val="0"/>
            <w:vAlign w:val="center"/>
          </w:tcPr>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代理服务费：按《招标代理服务收费管理暂行办法》（计价格[2002]1980号）和《国家发展改革委关于降低部分建设项目收费标准规范收费行为等有关问题的通知》（发改价格[2011]534号）标准在≥20%基础上进行下浮报价。报价具体格式见响应文件报价表。</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（2）专家论证服务费：单次论证按项目预算金额1‰收取论证服务费，响应供应商在此基础上进行下浮报价。报价具体格式见响应文件报价表。</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（3）响应供应商应考虑自身实际情况进行响应报价；响应供应商报价中应包含完成服务所产生的人工费、场地费、材料费、管理费、利润、税金以及合同包含的所有风险、责任等各项应有费用。</w:t>
            </w:r>
          </w:p>
        </w:tc>
        <w:tc>
          <w:tcPr>
            <w:tcW w:w="736" w:type="dxa"/>
            <w:noWrap w:val="0"/>
            <w:vAlign w:val="center"/>
          </w:tcPr>
          <w:p>
            <w:pPr>
              <w:rPr>
                <w:rFonts w:hint="eastAsia" w:ascii="仿宋" w:hAnsi="仿宋" w:eastAsia="仿宋" w:cs="仿宋"/>
                <w:color w:val="auto"/>
                <w:szCs w:val="21"/>
                <w:highlight w:val="none"/>
              </w:rPr>
            </w:pPr>
          </w:p>
        </w:tc>
        <w:tc>
          <w:tcPr>
            <w:tcW w:w="1430" w:type="dxa"/>
            <w:noWrap w:val="0"/>
            <w:vAlign w:val="center"/>
          </w:tcPr>
          <w:p>
            <w:pPr>
              <w:rPr>
                <w:rFonts w:hint="eastAsia" w:ascii="仿宋" w:hAnsi="仿宋" w:eastAsia="仿宋" w:cs="仿宋"/>
                <w:color w:val="auto"/>
                <w:szCs w:val="21"/>
                <w:highlight w:val="none"/>
              </w:rPr>
            </w:pPr>
          </w:p>
        </w:tc>
        <w:tc>
          <w:tcPr>
            <w:tcW w:w="1030" w:type="dxa"/>
            <w:noWrap w:val="0"/>
            <w:vAlign w:val="center"/>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3"/>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157"/>
        <w:gridCol w:w="1140"/>
        <w:gridCol w:w="146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15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140"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64"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20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5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140"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464" w:type="dxa"/>
            <w:noWrap w:val="0"/>
            <w:vAlign w:val="center"/>
          </w:tcPr>
          <w:p>
            <w:pPr>
              <w:jc w:val="center"/>
              <w:rPr>
                <w:rFonts w:hint="eastAsia" w:ascii="仿宋" w:hAnsi="仿宋" w:eastAsia="仿宋" w:cs="仿宋"/>
                <w:color w:val="auto"/>
                <w:szCs w:val="21"/>
                <w:highlight w:val="none"/>
              </w:rPr>
            </w:pPr>
          </w:p>
        </w:tc>
        <w:tc>
          <w:tcPr>
            <w:tcW w:w="120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5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140"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464" w:type="dxa"/>
            <w:noWrap w:val="0"/>
            <w:vAlign w:val="center"/>
          </w:tcPr>
          <w:p>
            <w:pPr>
              <w:jc w:val="center"/>
              <w:rPr>
                <w:rFonts w:hint="eastAsia" w:ascii="仿宋" w:hAnsi="仿宋" w:eastAsia="仿宋" w:cs="仿宋"/>
                <w:color w:val="auto"/>
                <w:szCs w:val="21"/>
                <w:highlight w:val="none"/>
              </w:rPr>
            </w:pPr>
          </w:p>
        </w:tc>
        <w:tc>
          <w:tcPr>
            <w:tcW w:w="120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1"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5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ind w:right="-35"/>
              <w:jc w:val="center"/>
              <w:rPr>
                <w:rFonts w:hint="eastAsia" w:ascii="仿宋" w:hAnsi="仿宋" w:eastAsia="仿宋" w:cs="仿宋"/>
                <w:color w:val="auto"/>
                <w:szCs w:val="21"/>
                <w:highlight w:val="none"/>
              </w:rPr>
            </w:pPr>
          </w:p>
        </w:tc>
        <w:tc>
          <w:tcPr>
            <w:tcW w:w="120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1"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615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ind w:right="-35"/>
              <w:jc w:val="center"/>
              <w:rPr>
                <w:rFonts w:hint="eastAsia" w:ascii="仿宋" w:hAnsi="仿宋" w:eastAsia="仿宋" w:cs="仿宋"/>
                <w:color w:val="auto"/>
                <w:szCs w:val="21"/>
                <w:highlight w:val="none"/>
              </w:rPr>
            </w:pPr>
          </w:p>
        </w:tc>
        <w:tc>
          <w:tcPr>
            <w:tcW w:w="120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1"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5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ind w:right="-35"/>
              <w:jc w:val="center"/>
              <w:rPr>
                <w:rFonts w:hint="eastAsia" w:ascii="仿宋" w:hAnsi="仿宋" w:eastAsia="仿宋" w:cs="仿宋"/>
                <w:color w:val="auto"/>
                <w:szCs w:val="21"/>
                <w:highlight w:val="none"/>
              </w:rPr>
            </w:pPr>
          </w:p>
        </w:tc>
        <w:tc>
          <w:tcPr>
            <w:tcW w:w="120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1"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15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ind w:right="-35"/>
              <w:jc w:val="center"/>
              <w:rPr>
                <w:rFonts w:hint="eastAsia" w:ascii="仿宋" w:hAnsi="仿宋" w:eastAsia="仿宋" w:cs="仿宋"/>
                <w:color w:val="auto"/>
                <w:szCs w:val="21"/>
                <w:highlight w:val="none"/>
              </w:rPr>
            </w:pPr>
          </w:p>
        </w:tc>
        <w:tc>
          <w:tcPr>
            <w:tcW w:w="120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1"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15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付款及结算方式：</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（1）代理服务费：由成交供应商根据招标/采购文件规定向项目中标/成交供应商收取代理服务费。</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（2）专家论证服务费：论证结束后，根据成交供应商出具项目论证报告等相关文件及相应金额发票，采购人在10个工作日内以银行转账方式支付。</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（3）如遇特殊情况，由采购人与成交供应商另行协商付款及结算方式。</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20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1"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157" w:type="dxa"/>
            <w:noWrap w:val="0"/>
            <w:vAlign w:val="center"/>
          </w:tcPr>
          <w:p>
            <w:pP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rPr>
              <w:t>违约责任</w:t>
            </w:r>
            <w:r>
              <w:rPr>
                <w:rFonts w:hint="eastAsia" w:ascii="仿宋" w:hAnsi="仿宋" w:eastAsia="仿宋" w:cs="仿宋"/>
                <w:color w:val="auto"/>
                <w:szCs w:val="21"/>
                <w:highlight w:val="none"/>
                <w:lang w:val="en-GB" w:eastAsia="zh-CN"/>
              </w:rPr>
              <w:t>：</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（1）成交供应商提供的服务不符合比选文件、报价文件或合同规定的，采购人有权拒绝其服务且不支付任何相关费用；</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2）本项目要求严格按照国家有关规范、技术标准进行实施。成交供应商在服务中如果服务质量不符合要求和有关规定，采购人要求停止实施和重新实施时，成交供应商必须立即执行，并承担由此产生的各种费用。</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20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1"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5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其他要求</w:t>
            </w:r>
          </w:p>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如因国家、省、市或相关主管部门等政策变动导致协议无法实施，采购人可单方终止本项目协议，协议双方均不承担违约责任。</w:t>
            </w:r>
          </w:p>
        </w:tc>
        <w:tc>
          <w:tcPr>
            <w:tcW w:w="1140" w:type="dxa"/>
            <w:noWrap w:val="0"/>
            <w:vAlign w:val="center"/>
          </w:tcPr>
          <w:p>
            <w:pPr>
              <w:jc w:val="center"/>
              <w:rPr>
                <w:rFonts w:hint="eastAsia" w:ascii="仿宋" w:hAnsi="仿宋" w:eastAsia="仿宋" w:cs="仿宋"/>
                <w:color w:val="auto"/>
                <w:szCs w:val="21"/>
                <w:highlight w:val="none"/>
              </w:rPr>
            </w:pPr>
          </w:p>
        </w:tc>
        <w:tc>
          <w:tcPr>
            <w:tcW w:w="1464"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20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1" w:type="dxa"/>
            <w:noWrap w:val="0"/>
            <w:vAlign w:val="center"/>
          </w:tcPr>
          <w:p>
            <w:pPr>
              <w:jc w:val="center"/>
              <w:rPr>
                <w:rFonts w:hint="eastAsia" w:ascii="仿宋" w:hAnsi="仿宋" w:eastAsia="仿宋" w:cs="仿宋"/>
                <w:color w:val="auto"/>
                <w:szCs w:val="21"/>
                <w:highlight w:val="none"/>
              </w:rPr>
            </w:pPr>
          </w:p>
        </w:tc>
        <w:tc>
          <w:tcPr>
            <w:tcW w:w="8761"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20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252036"/>
      <w:bookmarkStart w:id="32" w:name="_Toc202816998"/>
      <w:bookmarkStart w:id="33" w:name="_Toc202251077"/>
      <w:bookmarkStart w:id="34" w:name="_Toc202819880"/>
      <w:bookmarkStart w:id="35" w:name="_Toc202254107"/>
      <w:bookmarkStart w:id="36" w:name="_Toc202820353"/>
      <w:bookmarkStart w:id="37" w:name="_Toc202251702"/>
      <w:r>
        <w:rPr>
          <w:rFonts w:hint="eastAsia"/>
          <w:color w:val="auto"/>
          <w:highlight w:val="none"/>
        </w:rPr>
        <w:br w:type="page"/>
      </w:r>
      <w:r>
        <w:rPr>
          <w:rFonts w:hint="eastAsia" w:ascii="仿宋" w:hAnsi="仿宋" w:eastAsia="仿宋" w:cs="仿宋"/>
          <w:color w:val="auto"/>
          <w:sz w:val="24"/>
          <w:highlight w:val="none"/>
        </w:rPr>
        <w:t>5 服务部分</w:t>
      </w:r>
      <w:bookmarkEnd w:id="31"/>
      <w:bookmarkEnd w:id="32"/>
      <w:bookmarkEnd w:id="33"/>
      <w:bookmarkEnd w:id="34"/>
      <w:bookmarkEnd w:id="35"/>
      <w:bookmarkEnd w:id="36"/>
      <w:bookmarkEnd w:id="37"/>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10116"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8"/>
        <w:gridCol w:w="1422"/>
        <w:gridCol w:w="1926"/>
        <w:gridCol w:w="775"/>
        <w:gridCol w:w="1138"/>
        <w:gridCol w:w="100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6"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36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422"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9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7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13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100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77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widowControl/>
              <w:jc w:val="center"/>
              <w:textAlignment w:val="bottom"/>
              <w:rPr>
                <w:rFonts w:hint="eastAsia" w:ascii="仿宋" w:hAnsi="仿宋" w:eastAsia="仿宋" w:cs="仿宋"/>
                <w:color w:val="auto"/>
                <w:sz w:val="24"/>
                <w:highlight w:val="none"/>
              </w:rPr>
            </w:pPr>
          </w:p>
        </w:tc>
        <w:tc>
          <w:tcPr>
            <w:tcW w:w="1368" w:type="dxa"/>
            <w:noWrap w:val="0"/>
            <w:vAlign w:val="center"/>
          </w:tcPr>
          <w:p>
            <w:pPr>
              <w:rPr>
                <w:rFonts w:hint="eastAsia" w:ascii="仿宋" w:hAnsi="仿宋" w:eastAsia="仿宋" w:cs="仿宋"/>
                <w:color w:val="auto"/>
                <w:sz w:val="24"/>
                <w:highlight w:val="none"/>
              </w:rPr>
            </w:pPr>
          </w:p>
        </w:tc>
        <w:tc>
          <w:tcPr>
            <w:tcW w:w="1422" w:type="dxa"/>
            <w:noWrap w:val="0"/>
            <w:vAlign w:val="center"/>
          </w:tcPr>
          <w:p>
            <w:pPr>
              <w:rPr>
                <w:rFonts w:hint="eastAsia" w:ascii="仿宋" w:hAnsi="仿宋" w:eastAsia="仿宋" w:cs="仿宋"/>
                <w:color w:val="auto"/>
                <w:sz w:val="24"/>
                <w:highlight w:val="none"/>
              </w:rPr>
            </w:pPr>
          </w:p>
        </w:tc>
        <w:tc>
          <w:tcPr>
            <w:tcW w:w="1926"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38" w:type="dxa"/>
            <w:noWrap w:val="0"/>
            <w:vAlign w:val="top"/>
          </w:tcPr>
          <w:p>
            <w:pPr>
              <w:spacing w:line="20" w:lineRule="atLeast"/>
              <w:rPr>
                <w:rFonts w:hint="eastAsia" w:ascii="仿宋" w:hAnsi="仿宋" w:eastAsia="仿宋" w:cs="仿宋"/>
                <w:color w:val="auto"/>
                <w:sz w:val="24"/>
                <w:highlight w:val="none"/>
              </w:rPr>
            </w:pPr>
          </w:p>
        </w:tc>
        <w:tc>
          <w:tcPr>
            <w:tcW w:w="1004" w:type="dxa"/>
            <w:noWrap w:val="0"/>
            <w:vAlign w:val="top"/>
          </w:tcPr>
          <w:p>
            <w:pPr>
              <w:spacing w:line="20" w:lineRule="atLeast"/>
              <w:rPr>
                <w:rFonts w:hint="eastAsia" w:ascii="仿宋" w:hAnsi="仿宋" w:eastAsia="仿宋" w:cs="仿宋"/>
                <w:color w:val="auto"/>
                <w:sz w:val="24"/>
                <w:highlight w:val="none"/>
              </w:rPr>
            </w:pPr>
          </w:p>
        </w:tc>
        <w:tc>
          <w:tcPr>
            <w:tcW w:w="177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spacing w:line="20" w:lineRule="atLeast"/>
              <w:rPr>
                <w:rFonts w:hint="eastAsia" w:ascii="仿宋" w:hAnsi="仿宋" w:eastAsia="仿宋" w:cs="仿宋"/>
                <w:color w:val="auto"/>
                <w:sz w:val="24"/>
                <w:highlight w:val="none"/>
              </w:rPr>
            </w:pPr>
          </w:p>
        </w:tc>
        <w:tc>
          <w:tcPr>
            <w:tcW w:w="1368" w:type="dxa"/>
            <w:noWrap w:val="0"/>
            <w:vAlign w:val="top"/>
          </w:tcPr>
          <w:p>
            <w:pPr>
              <w:spacing w:line="20" w:lineRule="atLeast"/>
              <w:rPr>
                <w:rFonts w:hint="eastAsia" w:ascii="仿宋" w:hAnsi="仿宋" w:eastAsia="仿宋" w:cs="仿宋"/>
                <w:color w:val="auto"/>
                <w:sz w:val="24"/>
                <w:highlight w:val="none"/>
              </w:rPr>
            </w:pPr>
          </w:p>
        </w:tc>
        <w:tc>
          <w:tcPr>
            <w:tcW w:w="1422" w:type="dxa"/>
            <w:noWrap w:val="0"/>
            <w:vAlign w:val="top"/>
          </w:tcPr>
          <w:p>
            <w:pPr>
              <w:spacing w:line="20" w:lineRule="atLeast"/>
              <w:rPr>
                <w:rFonts w:hint="eastAsia" w:ascii="仿宋" w:hAnsi="仿宋" w:eastAsia="仿宋" w:cs="仿宋"/>
                <w:color w:val="auto"/>
                <w:sz w:val="24"/>
                <w:highlight w:val="none"/>
              </w:rPr>
            </w:pPr>
          </w:p>
        </w:tc>
        <w:tc>
          <w:tcPr>
            <w:tcW w:w="1926"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38" w:type="dxa"/>
            <w:noWrap w:val="0"/>
            <w:vAlign w:val="top"/>
          </w:tcPr>
          <w:p>
            <w:pPr>
              <w:spacing w:line="20" w:lineRule="atLeast"/>
              <w:rPr>
                <w:rFonts w:hint="eastAsia" w:ascii="仿宋" w:hAnsi="仿宋" w:eastAsia="仿宋" w:cs="仿宋"/>
                <w:color w:val="auto"/>
                <w:sz w:val="24"/>
                <w:highlight w:val="none"/>
              </w:rPr>
            </w:pPr>
          </w:p>
        </w:tc>
        <w:tc>
          <w:tcPr>
            <w:tcW w:w="1004" w:type="dxa"/>
            <w:noWrap w:val="0"/>
            <w:vAlign w:val="top"/>
          </w:tcPr>
          <w:p>
            <w:pPr>
              <w:spacing w:line="20" w:lineRule="atLeast"/>
              <w:rPr>
                <w:rFonts w:hint="eastAsia" w:ascii="仿宋" w:hAnsi="仿宋" w:eastAsia="仿宋" w:cs="仿宋"/>
                <w:color w:val="auto"/>
                <w:sz w:val="24"/>
                <w:highlight w:val="none"/>
              </w:rPr>
            </w:pPr>
          </w:p>
        </w:tc>
        <w:tc>
          <w:tcPr>
            <w:tcW w:w="177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spacing w:line="20" w:lineRule="atLeast"/>
              <w:rPr>
                <w:rFonts w:hint="eastAsia" w:ascii="仿宋" w:hAnsi="仿宋" w:eastAsia="仿宋" w:cs="仿宋"/>
                <w:color w:val="auto"/>
                <w:sz w:val="24"/>
                <w:highlight w:val="none"/>
              </w:rPr>
            </w:pPr>
          </w:p>
        </w:tc>
        <w:tc>
          <w:tcPr>
            <w:tcW w:w="1368" w:type="dxa"/>
            <w:noWrap w:val="0"/>
            <w:vAlign w:val="top"/>
          </w:tcPr>
          <w:p>
            <w:pPr>
              <w:spacing w:line="20" w:lineRule="atLeast"/>
              <w:rPr>
                <w:rFonts w:hint="eastAsia" w:ascii="仿宋" w:hAnsi="仿宋" w:eastAsia="仿宋" w:cs="仿宋"/>
                <w:color w:val="auto"/>
                <w:sz w:val="24"/>
                <w:highlight w:val="none"/>
              </w:rPr>
            </w:pPr>
          </w:p>
        </w:tc>
        <w:tc>
          <w:tcPr>
            <w:tcW w:w="1422" w:type="dxa"/>
            <w:noWrap w:val="0"/>
            <w:vAlign w:val="top"/>
          </w:tcPr>
          <w:p>
            <w:pPr>
              <w:spacing w:line="20" w:lineRule="atLeast"/>
              <w:rPr>
                <w:rFonts w:hint="eastAsia" w:ascii="仿宋" w:hAnsi="仿宋" w:eastAsia="仿宋" w:cs="仿宋"/>
                <w:color w:val="auto"/>
                <w:sz w:val="24"/>
                <w:highlight w:val="none"/>
              </w:rPr>
            </w:pPr>
          </w:p>
        </w:tc>
        <w:tc>
          <w:tcPr>
            <w:tcW w:w="1926"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38" w:type="dxa"/>
            <w:noWrap w:val="0"/>
            <w:vAlign w:val="top"/>
          </w:tcPr>
          <w:p>
            <w:pPr>
              <w:spacing w:line="20" w:lineRule="atLeast"/>
              <w:rPr>
                <w:rFonts w:hint="eastAsia" w:ascii="仿宋" w:hAnsi="仿宋" w:eastAsia="仿宋" w:cs="仿宋"/>
                <w:color w:val="auto"/>
                <w:sz w:val="24"/>
                <w:highlight w:val="none"/>
              </w:rPr>
            </w:pPr>
          </w:p>
        </w:tc>
        <w:tc>
          <w:tcPr>
            <w:tcW w:w="1004" w:type="dxa"/>
            <w:noWrap w:val="0"/>
            <w:vAlign w:val="top"/>
          </w:tcPr>
          <w:p>
            <w:pPr>
              <w:spacing w:line="20" w:lineRule="atLeast"/>
              <w:rPr>
                <w:rFonts w:hint="eastAsia" w:ascii="仿宋" w:hAnsi="仿宋" w:eastAsia="仿宋" w:cs="仿宋"/>
                <w:color w:val="auto"/>
                <w:sz w:val="24"/>
                <w:highlight w:val="none"/>
              </w:rPr>
            </w:pPr>
          </w:p>
        </w:tc>
        <w:tc>
          <w:tcPr>
            <w:tcW w:w="177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spacing w:line="20" w:lineRule="atLeast"/>
              <w:rPr>
                <w:rFonts w:hint="eastAsia" w:ascii="仿宋" w:hAnsi="仿宋" w:eastAsia="仿宋" w:cs="仿宋"/>
                <w:color w:val="auto"/>
                <w:sz w:val="24"/>
                <w:highlight w:val="none"/>
              </w:rPr>
            </w:pPr>
          </w:p>
        </w:tc>
        <w:tc>
          <w:tcPr>
            <w:tcW w:w="1368" w:type="dxa"/>
            <w:noWrap w:val="0"/>
            <w:vAlign w:val="top"/>
          </w:tcPr>
          <w:p>
            <w:pPr>
              <w:spacing w:line="20" w:lineRule="atLeast"/>
              <w:rPr>
                <w:rFonts w:hint="eastAsia" w:ascii="仿宋" w:hAnsi="仿宋" w:eastAsia="仿宋" w:cs="仿宋"/>
                <w:color w:val="auto"/>
                <w:sz w:val="24"/>
                <w:highlight w:val="none"/>
              </w:rPr>
            </w:pPr>
          </w:p>
        </w:tc>
        <w:tc>
          <w:tcPr>
            <w:tcW w:w="1422" w:type="dxa"/>
            <w:noWrap w:val="0"/>
            <w:vAlign w:val="top"/>
          </w:tcPr>
          <w:p>
            <w:pPr>
              <w:spacing w:line="20" w:lineRule="atLeast"/>
              <w:rPr>
                <w:rFonts w:hint="eastAsia" w:ascii="仿宋" w:hAnsi="仿宋" w:eastAsia="仿宋" w:cs="仿宋"/>
                <w:color w:val="auto"/>
                <w:sz w:val="24"/>
                <w:highlight w:val="none"/>
              </w:rPr>
            </w:pPr>
          </w:p>
        </w:tc>
        <w:tc>
          <w:tcPr>
            <w:tcW w:w="1926"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38" w:type="dxa"/>
            <w:noWrap w:val="0"/>
            <w:vAlign w:val="top"/>
          </w:tcPr>
          <w:p>
            <w:pPr>
              <w:spacing w:line="20" w:lineRule="atLeast"/>
              <w:rPr>
                <w:rFonts w:hint="eastAsia" w:ascii="仿宋" w:hAnsi="仿宋" w:eastAsia="仿宋" w:cs="仿宋"/>
                <w:color w:val="auto"/>
                <w:sz w:val="24"/>
                <w:highlight w:val="none"/>
              </w:rPr>
            </w:pPr>
          </w:p>
        </w:tc>
        <w:tc>
          <w:tcPr>
            <w:tcW w:w="1004" w:type="dxa"/>
            <w:noWrap w:val="0"/>
            <w:vAlign w:val="top"/>
          </w:tcPr>
          <w:p>
            <w:pPr>
              <w:spacing w:line="20" w:lineRule="atLeast"/>
              <w:rPr>
                <w:rFonts w:hint="eastAsia" w:ascii="仿宋" w:hAnsi="仿宋" w:eastAsia="仿宋" w:cs="仿宋"/>
                <w:color w:val="auto"/>
                <w:sz w:val="24"/>
                <w:highlight w:val="none"/>
              </w:rPr>
            </w:pPr>
          </w:p>
        </w:tc>
        <w:tc>
          <w:tcPr>
            <w:tcW w:w="1775"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3"/>
        <w:tblW w:w="11221"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90"/>
        <w:gridCol w:w="3060"/>
        <w:gridCol w:w="1620"/>
        <w:gridCol w:w="744"/>
        <w:gridCol w:w="1164"/>
        <w:gridCol w:w="71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1" w:type="dxa"/>
            <w:gridSpan w:val="8"/>
            <w:noWrap w:val="0"/>
            <w:vAlign w:val="top"/>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9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16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713"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701"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49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基本要求</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（1）成交供应商需提供政府采购代理服务，具体工作按照国家和省、市有关政府采购的法律法规、政策文件的规定及采购人要求执行。</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（2）双方签订合同且成交供应商提供完整的招标采购必备资料后，每项招标采购工作应在20天内完成（法律、法规对招标时间有特殊要求的除外）。</w:t>
            </w:r>
          </w:p>
          <w:p>
            <w:pPr>
              <w:spacing w:line="2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（3）如出现成交供应商在代理服务过程中出现违规行为，采购人有权取消其成交资格并按相关法规依法处理。</w:t>
            </w: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1164" w:type="dxa"/>
            <w:noWrap w:val="0"/>
            <w:vAlign w:val="top"/>
          </w:tcPr>
          <w:p>
            <w:pPr>
              <w:spacing w:line="20" w:lineRule="atLeast"/>
              <w:rPr>
                <w:rFonts w:hint="eastAsia" w:ascii="仿宋" w:hAnsi="仿宋" w:eastAsia="仿宋" w:cs="仿宋"/>
                <w:color w:val="auto"/>
                <w:sz w:val="24"/>
                <w:highlight w:val="none"/>
              </w:rPr>
            </w:pPr>
          </w:p>
        </w:tc>
        <w:tc>
          <w:tcPr>
            <w:tcW w:w="713"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49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招标采购代理服务范围：</w:t>
            </w:r>
          </w:p>
        </w:tc>
        <w:tc>
          <w:tcPr>
            <w:tcW w:w="3060" w:type="dxa"/>
            <w:noWrap w:val="0"/>
            <w:vAlign w:val="center"/>
          </w:tcPr>
          <w:p>
            <w:pPr>
              <w:spacing w:line="2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①惠州市第一妇幼保健院政府采购项目；</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②医院内控制度规定需委托的招标采购项目和产权交易等项目。</w:t>
            </w: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1164" w:type="dxa"/>
            <w:noWrap w:val="0"/>
            <w:vAlign w:val="top"/>
          </w:tcPr>
          <w:p>
            <w:pPr>
              <w:spacing w:line="20" w:lineRule="atLeast"/>
              <w:rPr>
                <w:rFonts w:hint="eastAsia" w:ascii="仿宋" w:hAnsi="仿宋" w:eastAsia="仿宋" w:cs="仿宋"/>
                <w:color w:val="auto"/>
                <w:sz w:val="24"/>
                <w:highlight w:val="none"/>
              </w:rPr>
            </w:pPr>
          </w:p>
        </w:tc>
        <w:tc>
          <w:tcPr>
            <w:tcW w:w="713"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49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第三方论证服务：</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根据有关法律法规和要求及人员组成组织开展论证工作，按要求提供论证报告。</w:t>
            </w: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1164" w:type="dxa"/>
            <w:noWrap w:val="0"/>
            <w:vAlign w:val="top"/>
          </w:tcPr>
          <w:p>
            <w:pPr>
              <w:spacing w:line="20" w:lineRule="atLeast"/>
              <w:rPr>
                <w:rFonts w:hint="eastAsia" w:ascii="仿宋" w:hAnsi="仿宋" w:eastAsia="仿宋" w:cs="仿宋"/>
                <w:color w:val="auto"/>
                <w:sz w:val="24"/>
                <w:highlight w:val="none"/>
              </w:rPr>
            </w:pPr>
          </w:p>
        </w:tc>
        <w:tc>
          <w:tcPr>
            <w:tcW w:w="713"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49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技术咨询：</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提供服务期内的采购业务咨询服务。</w:t>
            </w: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1164" w:type="dxa"/>
            <w:noWrap w:val="0"/>
            <w:vAlign w:val="top"/>
          </w:tcPr>
          <w:p>
            <w:pPr>
              <w:spacing w:line="20" w:lineRule="atLeast"/>
              <w:rPr>
                <w:rFonts w:hint="eastAsia" w:ascii="仿宋" w:hAnsi="仿宋" w:eastAsia="仿宋" w:cs="仿宋"/>
                <w:color w:val="auto"/>
                <w:sz w:val="24"/>
                <w:highlight w:val="none"/>
              </w:rPr>
            </w:pPr>
          </w:p>
        </w:tc>
        <w:tc>
          <w:tcPr>
            <w:tcW w:w="713"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49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委托招标采购代理时间：</w:t>
            </w: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1164" w:type="dxa"/>
            <w:noWrap w:val="0"/>
            <w:vAlign w:val="top"/>
          </w:tcPr>
          <w:p>
            <w:pPr>
              <w:spacing w:line="20" w:lineRule="atLeast"/>
              <w:rPr>
                <w:rFonts w:hint="eastAsia" w:ascii="仿宋" w:hAnsi="仿宋" w:eastAsia="仿宋" w:cs="仿宋"/>
                <w:color w:val="auto"/>
                <w:sz w:val="24"/>
                <w:highlight w:val="none"/>
              </w:rPr>
            </w:pPr>
          </w:p>
        </w:tc>
        <w:tc>
          <w:tcPr>
            <w:tcW w:w="713"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委托项目分配：</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按照“一事一选”原则通过院内摇珠随机方式抽取</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委托工作内容（包括但不限于）：</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（1）编制、发售、解释招标采购文件；</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（2）在指定媒体上发布招标采购信息公告；</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（3）供应商资格预审（邀请招标等方式时采用）；</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（4）制定招标/评审方法、步骤、标准；</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（5）依法抽取专家组建评标/评审委员会；</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（6）落实评标/评审地点，组织评标/评审工作，主持评标/评审活动，并做好评标/评审记录；协助采购人完成自主采购项目定标相关活动。</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（7）整理评标/评审报告送采购人及有关部门；</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（8）在定媒体上发布中标（成交）公告，编制、发放中标（成交）通知书；</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（9）受理并答复供应商的询问和质疑；</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（10）负责招标采购活动有关文件到主管部门审批/备案及存档；</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（11）根据采购人需求组织验收事项；</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（12）完成法律法规规定的事项及代理协议中明确的其它事项；</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（13）办理采购项目投标保证金的收取、查询、退还工作；</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（14）根据采购人委托，组织并完成进口医疗设备论证、项目需求论证（含技术参数论证）等论证工作。</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（15）每年至少一次派出讲师协助医院进行一次有关政府采购及招投标相关政策法规的培训（响应供应商需提供培训计划，包括但不限于培训讲师名单、培训时间、培训形式及培训内容等）。</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回避要求：</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严格执行预算编制、预算审核、结算编制、结算审核、竣工财务决算编制、竣工财务决算审核、招标采购代理等分离制度，若成为其中某一个环节的承接单位，在其余环节分配的任务中必须回避，不能再成为该项目其他环节的项目承接人。若承接单位在接收到任务时，发现自身知道或应当知道属于回避情况之一而不主动提出回避的，该次服务作无效处理，不支付该次服务费用。如分配审核任务时出现上述回避事项，采购人有权另行选取供应商分配审核任务。</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人员要求：</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（1）招标采购主管1人：整体负责医院委托的招标采购范围内的所有项目事宜。</w:t>
            </w:r>
          </w:p>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（2）其他专职人员：要求拟派出专职人员，承担医院委托的招标采购范围内各项目文件制作、整理、配合执行项目具体事务工作。</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档案管理要求：</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成交供应商需具有完整的档案管理制度、专门场地、设施设备，提供纸质、电子、影音资料存档，每个代理招标采购的项目档案按政府采购档案管理相关规定至少保存15年。如采购人需要可随时提供电子资料，纸质资料可在2个工作日内供采购人借阅。</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20" w:lineRule="atLeas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49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电子化采购要求：</w:t>
            </w:r>
          </w:p>
        </w:tc>
        <w:tc>
          <w:tcPr>
            <w:tcW w:w="3060" w:type="dxa"/>
            <w:noWrap w:val="0"/>
            <w:vAlign w:val="center"/>
          </w:tcPr>
          <w:p>
            <w:pPr>
              <w:spacing w:line="2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成交供应商需具备采购全流程电子化能力，可通过电子化采购平台实现线上报名、投标、开标、评标、评标/评审等采购全过程电子化。</w:t>
            </w:r>
          </w:p>
        </w:tc>
        <w:tc>
          <w:tcPr>
            <w:tcW w:w="1620"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4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164" w:type="dxa"/>
            <w:noWrap w:val="0"/>
            <w:vAlign w:val="top"/>
          </w:tcPr>
          <w:p>
            <w:pPr>
              <w:spacing w:line="20" w:lineRule="atLeast"/>
              <w:rPr>
                <w:rFonts w:hint="eastAsia" w:ascii="仿宋" w:hAnsi="仿宋" w:eastAsia="仿宋" w:cs="仿宋"/>
                <w:color w:val="auto"/>
                <w:szCs w:val="21"/>
                <w:highlight w:val="none"/>
                <w:lang w:val="en-US" w:eastAsia="zh-CN"/>
              </w:rPr>
            </w:pPr>
          </w:p>
        </w:tc>
        <w:tc>
          <w:tcPr>
            <w:tcW w:w="713" w:type="dxa"/>
            <w:noWrap w:val="0"/>
            <w:vAlign w:val="top"/>
          </w:tcPr>
          <w:p>
            <w:pPr>
              <w:spacing w:line="20" w:lineRule="atLeast"/>
              <w:rPr>
                <w:rFonts w:hint="eastAsia" w:ascii="仿宋" w:hAnsi="仿宋" w:eastAsia="仿宋" w:cs="仿宋"/>
                <w:color w:val="auto"/>
                <w:szCs w:val="21"/>
                <w:highlight w:val="none"/>
                <w:lang w:val="en-US" w:eastAsia="zh-CN"/>
              </w:rPr>
            </w:pPr>
          </w:p>
        </w:tc>
        <w:tc>
          <w:tcPr>
            <w:tcW w:w="1701" w:type="dxa"/>
            <w:noWrap w:val="0"/>
            <w:vAlign w:val="top"/>
          </w:tcPr>
          <w:p>
            <w:pPr>
              <w:spacing w:line="20" w:lineRule="atLeast"/>
              <w:rPr>
                <w:rFonts w:hint="eastAsia" w:ascii="仿宋" w:hAnsi="仿宋" w:eastAsia="仿宋" w:cs="仿宋"/>
                <w:color w:val="auto"/>
                <w:szCs w:val="21"/>
                <w:highlight w:val="none"/>
                <w:lang w:val="en-US" w:eastAsia="zh-CN"/>
              </w:rPr>
            </w:pPr>
          </w:p>
        </w:tc>
      </w:tr>
    </w:tbl>
    <w:p>
      <w:pPr>
        <w:spacing w:line="20" w:lineRule="atLeas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US" w:eastAsia="zh-CN"/>
        </w:rPr>
        <w:t>注：1.响应供应商必须对应比选文件</w:t>
      </w:r>
      <w:r>
        <w:rPr>
          <w:rFonts w:hint="eastAsia" w:ascii="仿宋" w:hAnsi="仿宋" w:eastAsia="仿宋" w:cs="仿宋"/>
          <w:color w:val="auto"/>
          <w:sz w:val="24"/>
          <w:highlight w:val="none"/>
        </w:rPr>
        <w:t>中的服务要求的内容逐条响应。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bookmarkStart w:id="39" w:name="_Toc202820355"/>
      <w:bookmarkStart w:id="40" w:name="_Toc202819882"/>
      <w:bookmarkStart w:id="41" w:name="_Toc202817000"/>
      <w:bookmarkStart w:id="42" w:name="_Toc202254108"/>
      <w:bookmarkStart w:id="43" w:name="_Toc202252037"/>
      <w:bookmarkStart w:id="44" w:name="_Toc202251078"/>
      <w:bookmarkStart w:id="45" w:name="_Toc202251703"/>
    </w:p>
    <w:p>
      <w:pPr>
        <w:pStyle w:val="2"/>
        <w:rPr>
          <w:rFonts w:hint="eastAsia"/>
          <w:color w:val="auto"/>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价格部分</w:t>
      </w:r>
      <w:bookmarkEnd w:id="39"/>
      <w:bookmarkEnd w:id="40"/>
      <w:bookmarkEnd w:id="41"/>
      <w:bookmarkEnd w:id="42"/>
      <w:bookmarkEnd w:id="43"/>
      <w:bookmarkEnd w:id="44"/>
      <w:bookmarkEnd w:id="45"/>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tbl>
      <w:tblPr>
        <w:tblStyle w:val="13"/>
        <w:tblW w:w="995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6"/>
        <w:gridCol w:w="2823"/>
        <w:gridCol w:w="1478"/>
        <w:gridCol w:w="3402"/>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76"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序号</w:t>
            </w:r>
          </w:p>
        </w:tc>
        <w:tc>
          <w:tcPr>
            <w:tcW w:w="2823" w:type="dxa"/>
            <w:tcBorders>
              <w:right w:val="single" w:color="auto" w:sz="4" w:space="0"/>
            </w:tcBorders>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项目名称</w:t>
            </w:r>
          </w:p>
        </w:tc>
        <w:tc>
          <w:tcPr>
            <w:tcW w:w="1478" w:type="dxa"/>
            <w:tcBorders>
              <w:left w:val="single" w:color="auto" w:sz="4" w:space="0"/>
            </w:tcBorders>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服务期</w:t>
            </w:r>
          </w:p>
        </w:tc>
        <w:tc>
          <w:tcPr>
            <w:tcW w:w="3402"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报价下浮率</w:t>
            </w:r>
          </w:p>
        </w:tc>
        <w:tc>
          <w:tcPr>
            <w:tcW w:w="1276"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976"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2823" w:type="dxa"/>
            <w:tcBorders>
              <w:right w:val="single" w:color="auto" w:sz="4" w:space="0"/>
            </w:tcBorders>
            <w:noWrap w:val="0"/>
            <w:vAlign w:val="center"/>
          </w:tcPr>
          <w:p>
            <w:pP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代理服务费</w:t>
            </w:r>
          </w:p>
        </w:tc>
        <w:tc>
          <w:tcPr>
            <w:tcW w:w="1478" w:type="dxa"/>
            <w:tcBorders>
              <w:left w:val="single" w:color="auto" w:sz="4" w:space="0"/>
            </w:tcBorders>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2年</w:t>
            </w:r>
          </w:p>
        </w:tc>
        <w:tc>
          <w:tcPr>
            <w:tcW w:w="3402"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w:t>
            </w:r>
          </w:p>
        </w:tc>
        <w:tc>
          <w:tcPr>
            <w:tcW w:w="1276" w:type="dxa"/>
            <w:noWrap w:val="0"/>
            <w:vAlign w:val="center"/>
          </w:tcPr>
          <w:p>
            <w:pP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976"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2</w:t>
            </w:r>
          </w:p>
        </w:tc>
        <w:tc>
          <w:tcPr>
            <w:tcW w:w="2823" w:type="dxa"/>
            <w:tcBorders>
              <w:right w:val="single" w:color="auto" w:sz="4" w:space="0"/>
            </w:tcBorders>
            <w:noWrap w:val="0"/>
            <w:vAlign w:val="center"/>
          </w:tcPr>
          <w:p>
            <w:pP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专家论证服务费</w:t>
            </w:r>
          </w:p>
        </w:tc>
        <w:tc>
          <w:tcPr>
            <w:tcW w:w="1478" w:type="dxa"/>
            <w:tcBorders>
              <w:left w:val="single" w:color="auto" w:sz="4" w:space="0"/>
            </w:tcBorders>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2年</w:t>
            </w:r>
          </w:p>
        </w:tc>
        <w:tc>
          <w:tcPr>
            <w:tcW w:w="3402" w:type="dxa"/>
            <w:noWrap w:val="0"/>
            <w:vAlign w:val="center"/>
          </w:tcPr>
          <w:p>
            <w:pPr>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w:t>
            </w:r>
          </w:p>
        </w:tc>
        <w:tc>
          <w:tcPr>
            <w:tcW w:w="1276" w:type="dxa"/>
            <w:noWrap w:val="0"/>
            <w:vAlign w:val="center"/>
          </w:tcPr>
          <w:p>
            <w:pP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76" w:type="dxa"/>
            <w:noWrap w:val="0"/>
            <w:vAlign w:val="center"/>
          </w:tcPr>
          <w:p>
            <w:pPr>
              <w:rPr>
                <w:rFonts w:hint="eastAsia" w:ascii="仿宋" w:hAnsi="仿宋" w:eastAsia="仿宋" w:cs="仿宋"/>
                <w:color w:val="auto"/>
                <w:spacing w:val="20"/>
                <w:szCs w:val="21"/>
                <w:highlight w:val="none"/>
              </w:rPr>
            </w:pPr>
          </w:p>
        </w:tc>
        <w:tc>
          <w:tcPr>
            <w:tcW w:w="8979" w:type="dxa"/>
            <w:gridSpan w:val="4"/>
            <w:noWrap w:val="0"/>
            <w:vAlign w:val="center"/>
          </w:tcPr>
          <w:p>
            <w:pPr>
              <w:rPr>
                <w:rFonts w:hint="eastAsia" w:ascii="仿宋" w:hAnsi="仿宋" w:eastAsia="仿宋" w:cs="仿宋"/>
                <w:color w:val="auto"/>
                <w:spacing w:val="20"/>
                <w:szCs w:val="21"/>
                <w:highlight w:val="none"/>
              </w:rPr>
            </w:pPr>
          </w:p>
        </w:tc>
      </w:tr>
    </w:tbl>
    <w:p>
      <w:pPr>
        <w:rPr>
          <w:rFonts w:hint="eastAsia" w:ascii="仿宋" w:hAnsi="仿宋" w:eastAsia="仿宋" w:cs="仿宋"/>
          <w:color w:val="auto"/>
          <w:spacing w:val="20"/>
          <w:szCs w:val="21"/>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备注：以上报价含人工费、场地费、材料费、管理费、利润、税金以及合同包含的所有风险、责任等各项应有费用。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2"/>
        <w:rPr>
          <w:rFonts w:hint="eastAsia"/>
          <w:color w:val="auto"/>
          <w:highlight w:val="none"/>
        </w:rPr>
      </w:pPr>
    </w:p>
    <w:sectPr>
      <w:footerReference r:id="rId5"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9BD00"/>
    <w:multiLevelType w:val="singleLevel"/>
    <w:tmpl w:val="BE39BD00"/>
    <w:lvl w:ilvl="0" w:tentative="0">
      <w:start w:val="1"/>
      <w:numFmt w:val="decimal"/>
      <w:lvlText w:val="%1."/>
      <w:lvlJc w:val="left"/>
      <w:pPr>
        <w:tabs>
          <w:tab w:val="left" w:pos="312"/>
        </w:tabs>
      </w:pPr>
    </w:lvl>
  </w:abstractNum>
  <w:abstractNum w:abstractNumId="1">
    <w:nsid w:val="EAB18A66"/>
    <w:multiLevelType w:val="singleLevel"/>
    <w:tmpl w:val="EAB18A66"/>
    <w:lvl w:ilvl="0" w:tentative="0">
      <w:start w:val="1"/>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MmJmZjFkZjZkOGY3ODBmODI0N2NlMTQ0MWRhNjIifQ=="/>
  </w:docVars>
  <w:rsids>
    <w:rsidRoot w:val="449F6876"/>
    <w:rsid w:val="0718185F"/>
    <w:rsid w:val="078B5EF9"/>
    <w:rsid w:val="08EF1015"/>
    <w:rsid w:val="099E252A"/>
    <w:rsid w:val="0A6845A4"/>
    <w:rsid w:val="0AC205B2"/>
    <w:rsid w:val="0DFE786B"/>
    <w:rsid w:val="0F261946"/>
    <w:rsid w:val="0F4F34AD"/>
    <w:rsid w:val="0FFF6B0C"/>
    <w:rsid w:val="10EE6D80"/>
    <w:rsid w:val="11E40B43"/>
    <w:rsid w:val="13B54DA6"/>
    <w:rsid w:val="14612340"/>
    <w:rsid w:val="16C82828"/>
    <w:rsid w:val="19151B6E"/>
    <w:rsid w:val="1A2D037C"/>
    <w:rsid w:val="1E41072F"/>
    <w:rsid w:val="1EA27C15"/>
    <w:rsid w:val="1FED5642"/>
    <w:rsid w:val="222C5CBD"/>
    <w:rsid w:val="23052BAC"/>
    <w:rsid w:val="238E17C4"/>
    <w:rsid w:val="248F7BB2"/>
    <w:rsid w:val="25391734"/>
    <w:rsid w:val="253A7A5F"/>
    <w:rsid w:val="260312FD"/>
    <w:rsid w:val="271909D4"/>
    <w:rsid w:val="28B82AAC"/>
    <w:rsid w:val="2C954FA0"/>
    <w:rsid w:val="2EE73701"/>
    <w:rsid w:val="2FFA169A"/>
    <w:rsid w:val="30474334"/>
    <w:rsid w:val="307A3688"/>
    <w:rsid w:val="31C22C9A"/>
    <w:rsid w:val="337B5F22"/>
    <w:rsid w:val="37F35CB8"/>
    <w:rsid w:val="381625A9"/>
    <w:rsid w:val="390B7E6F"/>
    <w:rsid w:val="39DA5CFF"/>
    <w:rsid w:val="3F4A39C9"/>
    <w:rsid w:val="401C18D8"/>
    <w:rsid w:val="40594A4D"/>
    <w:rsid w:val="40D432B0"/>
    <w:rsid w:val="41093F35"/>
    <w:rsid w:val="424F4345"/>
    <w:rsid w:val="43FC5637"/>
    <w:rsid w:val="445350CD"/>
    <w:rsid w:val="4491763B"/>
    <w:rsid w:val="449F6876"/>
    <w:rsid w:val="45B222C8"/>
    <w:rsid w:val="483E2A55"/>
    <w:rsid w:val="48623B4F"/>
    <w:rsid w:val="4C9F6783"/>
    <w:rsid w:val="4D166BA1"/>
    <w:rsid w:val="4DF0007C"/>
    <w:rsid w:val="4E2673A0"/>
    <w:rsid w:val="4E3B35EF"/>
    <w:rsid w:val="4FBC6DBE"/>
    <w:rsid w:val="524F4ADF"/>
    <w:rsid w:val="533569B5"/>
    <w:rsid w:val="54496EAF"/>
    <w:rsid w:val="54ED4AD3"/>
    <w:rsid w:val="55BC3DB6"/>
    <w:rsid w:val="59A920AE"/>
    <w:rsid w:val="5B675224"/>
    <w:rsid w:val="5C7B0139"/>
    <w:rsid w:val="5C974C50"/>
    <w:rsid w:val="5CC3532D"/>
    <w:rsid w:val="5EAF43A2"/>
    <w:rsid w:val="5F8B67C1"/>
    <w:rsid w:val="5FBE63DC"/>
    <w:rsid w:val="602F7491"/>
    <w:rsid w:val="616429B0"/>
    <w:rsid w:val="61E46992"/>
    <w:rsid w:val="6264221D"/>
    <w:rsid w:val="63C9105B"/>
    <w:rsid w:val="644C5C91"/>
    <w:rsid w:val="66853297"/>
    <w:rsid w:val="69E00CE0"/>
    <w:rsid w:val="6A463319"/>
    <w:rsid w:val="6B32518D"/>
    <w:rsid w:val="6EE0020C"/>
    <w:rsid w:val="70AE4CB7"/>
    <w:rsid w:val="70CB230C"/>
    <w:rsid w:val="711D41EA"/>
    <w:rsid w:val="71D208DB"/>
    <w:rsid w:val="745368A0"/>
    <w:rsid w:val="74E40C2F"/>
    <w:rsid w:val="74EC2316"/>
    <w:rsid w:val="775C1F10"/>
    <w:rsid w:val="78962F61"/>
    <w:rsid w:val="7B334809"/>
    <w:rsid w:val="7C6D4A29"/>
    <w:rsid w:val="7D9760C0"/>
    <w:rsid w:val="7E4A68BE"/>
    <w:rsid w:val="7E7B3FC7"/>
    <w:rsid w:val="7EC5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qFormat/>
    <w:uiPriority w:val="0"/>
    <w:pPr>
      <w:keepNext/>
      <w:keepLines/>
      <w:spacing w:before="240" w:beforeLines="0" w:after="64" w:afterLines="0" w:line="317" w:lineRule="auto"/>
      <w:outlineLvl w:val="5"/>
    </w:pPr>
    <w:rPr>
      <w:rFonts w:ascii="Arial" w:hAnsi="Arial" w:eastAsia="黑体"/>
      <w:b/>
      <w:bC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无间隔1"/>
    <w:qFormat/>
    <w:uiPriority w:val="0"/>
    <w:rPr>
      <w:rFonts w:ascii="Times New Roman" w:hAnsi="Times New Roman" w:eastAsia="宋体" w:cs="Times New Roman"/>
      <w:sz w:val="22"/>
      <w:szCs w:val="22"/>
      <w:lang w:val="en-US" w:eastAsia="zh-CN" w:bidi="ar-SA"/>
    </w:rPr>
  </w:style>
  <w:style w:type="paragraph" w:customStyle="1" w:styleId="16">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24272</Words>
  <Characters>24806</Characters>
  <Lines>0</Lines>
  <Paragraphs>0</Paragraphs>
  <TotalTime>41</TotalTime>
  <ScaleCrop>false</ScaleCrop>
  <LinksUpToDate>false</LinksUpToDate>
  <CharactersWithSpaces>26666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2023-01-29T01:46:00Z</dcterms:created>
  <dc:creator>Mao</dc:creator>
  <cp:lastModifiedBy>Mao</cp:lastModifiedBy>
  <cp:lastPrinted>2023-02-16T00:46:00Z</cp:lastPrinted>
  <dcterms:modified xsi:type="dcterms:W3CDTF">2024-01-23T06:37:38Z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D3E479135CD34CF1AC0C732B67095F05</vt:lpwstr>
  </property>
</Properties>
</file>