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 xml:space="preserve">  </w:t>
      </w:r>
    </w:p>
    <w:p>
      <w:pPr>
        <w:tabs>
          <w:tab w:val="left" w:pos="420"/>
          <w:tab w:val="left" w:pos="6660"/>
        </w:tabs>
        <w:spacing w:line="1600" w:lineRule="atLeast"/>
        <w:jc w:val="center"/>
        <w:rPr>
          <w:rFonts w:hint="eastAsia" w:ascii="仿宋" w:hAnsi="仿宋" w:eastAsia="仿宋" w:cs="仿宋"/>
          <w:b/>
          <w:color w:val="auto"/>
          <w:sz w:val="72"/>
          <w:szCs w:val="72"/>
          <w:highlight w:val="none"/>
          <w:lang w:eastAsia="zh-CN"/>
        </w:rPr>
      </w:pPr>
      <w:r>
        <w:rPr>
          <w:rFonts w:hint="eastAsia" w:ascii="仿宋" w:hAnsi="仿宋" w:eastAsia="仿宋" w:cs="仿宋"/>
          <w:b/>
          <w:color w:val="auto"/>
          <w:sz w:val="72"/>
          <w:szCs w:val="72"/>
          <w:highlight w:val="none"/>
          <w:lang w:eastAsia="zh-CN"/>
        </w:rPr>
        <w:t>惠州市第一妇幼保健院</w:t>
      </w:r>
    </w:p>
    <w:p>
      <w:pPr>
        <w:tabs>
          <w:tab w:val="left" w:pos="420"/>
          <w:tab w:val="left" w:pos="6660"/>
        </w:tabs>
        <w:spacing w:line="1600" w:lineRule="atLeast"/>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 xml:space="preserve"> 院内比选文件</w:t>
      </w: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eastAsia" w:ascii="仿宋" w:hAnsi="仿宋" w:eastAsia="仿宋" w:cs="仿宋"/>
          <w:bCs/>
          <w:color w:val="auto"/>
          <w:sz w:val="28"/>
          <w:szCs w:val="28"/>
          <w:highlight w:val="none"/>
        </w:rPr>
      </w:pPr>
    </w:p>
    <w:p>
      <w:pPr>
        <w:pStyle w:val="3"/>
        <w:rPr>
          <w:rFonts w:hint="eastAsia"/>
        </w:rPr>
      </w:pPr>
    </w:p>
    <w:p>
      <w:pPr>
        <w:spacing w:line="500" w:lineRule="exact"/>
        <w:jc w:val="center"/>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项目编号：</w:t>
      </w:r>
      <w:r>
        <w:rPr>
          <w:rFonts w:hint="eastAsia" w:ascii="仿宋" w:hAnsi="仿宋" w:eastAsia="仿宋" w:cs="仿宋"/>
          <w:b/>
          <w:color w:val="auto"/>
          <w:sz w:val="28"/>
          <w:szCs w:val="28"/>
          <w:highlight w:val="none"/>
          <w:lang w:val="en-US" w:eastAsia="zh-CN"/>
        </w:rPr>
        <w:t>ZCB-YN-2026001</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28"/>
          <w:szCs w:val="28"/>
          <w:highlight w:val="none"/>
        </w:rPr>
        <w:t>项目名称</w:t>
      </w:r>
      <w:r>
        <w:rPr>
          <w:rFonts w:hint="eastAsia" w:ascii="仿宋" w:hAnsi="仿宋" w:eastAsia="仿宋" w:cs="仿宋"/>
          <w:b/>
          <w:color w:val="auto"/>
          <w:sz w:val="28"/>
          <w:szCs w:val="28"/>
          <w:highlight w:val="none"/>
          <w:lang w:eastAsia="zh-CN"/>
        </w:rPr>
        <w:t>：医院</w:t>
      </w:r>
      <w:r>
        <w:rPr>
          <w:rFonts w:hint="eastAsia" w:ascii="仿宋" w:hAnsi="仿宋" w:eastAsia="仿宋" w:cs="仿宋"/>
          <w:b/>
          <w:color w:val="auto"/>
          <w:sz w:val="28"/>
          <w:szCs w:val="28"/>
          <w:highlight w:val="none"/>
          <w:lang w:val="en-US" w:eastAsia="zh-CN"/>
        </w:rPr>
        <w:t>招标代理机构服务采购项目</w:t>
      </w:r>
    </w:p>
    <w:p>
      <w:pPr>
        <w:jc w:val="cente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pStyle w:val="3"/>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惠州市第一妇幼保健院</w:t>
      </w:r>
      <w:r>
        <w:rPr>
          <w:rFonts w:hint="eastAsia" w:ascii="仿宋" w:hAnsi="仿宋" w:eastAsia="仿宋" w:cs="仿宋"/>
          <w:b/>
          <w:color w:val="auto"/>
          <w:sz w:val="32"/>
          <w:szCs w:val="32"/>
          <w:highlight w:val="none"/>
        </w:rPr>
        <w:t>编制</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2026</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月</w:t>
      </w:r>
    </w:p>
    <w:p>
      <w:pPr>
        <w:jc w:val="center"/>
        <w:rPr>
          <w:rFonts w:hint="eastAsia" w:ascii="仿宋" w:hAnsi="仿宋" w:eastAsia="仿宋" w:cs="仿宋"/>
          <w:b/>
          <w:color w:val="auto"/>
          <w:sz w:val="32"/>
          <w:szCs w:val="32"/>
          <w:highlight w:val="none"/>
        </w:rPr>
      </w:pPr>
    </w:p>
    <w:p>
      <w:pPr>
        <w:pStyle w:val="2"/>
        <w:rPr>
          <w:rFonts w:hint="eastAsia"/>
        </w:rPr>
      </w:pPr>
    </w:p>
    <w:p>
      <w:pPr>
        <w:jc w:val="center"/>
        <w:rPr>
          <w:rFonts w:hint="eastAsia" w:ascii="仿宋" w:hAnsi="仿宋" w:eastAsia="仿宋" w:cs="仿宋"/>
          <w:b/>
          <w:bCs/>
          <w:caps/>
          <w:color w:val="auto"/>
          <w:sz w:val="28"/>
          <w:szCs w:val="28"/>
          <w:highlight w:val="none"/>
        </w:rPr>
      </w:pPr>
      <w:r>
        <w:rPr>
          <w:rFonts w:hint="eastAsia" w:ascii="仿宋" w:hAnsi="仿宋" w:eastAsia="仿宋" w:cs="仿宋"/>
          <w:b/>
          <w:bCs/>
          <w:color w:val="auto"/>
          <w:sz w:val="52"/>
          <w:szCs w:val="52"/>
          <w:highlight w:val="none"/>
        </w:rPr>
        <w:t>目      录</w:t>
      </w:r>
      <w:r>
        <w:rPr>
          <w:rFonts w:hint="eastAsia" w:ascii="仿宋" w:hAnsi="仿宋" w:eastAsia="仿宋" w:cs="仿宋"/>
          <w:b/>
          <w:bCs/>
          <w:caps/>
          <w:color w:val="auto"/>
          <w:sz w:val="52"/>
          <w:szCs w:val="52"/>
          <w:highlight w:val="none"/>
        </w:rPr>
        <w:br w:type="textWrapping"/>
      </w:r>
    </w:p>
    <w:p>
      <w:pPr>
        <w:pStyle w:val="13"/>
        <w:tabs>
          <w:tab w:val="right" w:leader="dot" w:pos="9174"/>
        </w:tabs>
        <w:spacing w:line="360" w:lineRule="auto"/>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第一部分  比选邀请函</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第二部分  采购项目内容</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第三部分  响应供应商须知</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第四部分  合同书格式</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第五部分  响应文件格式</w:t>
      </w:r>
    </w:p>
    <w:p>
      <w:pPr>
        <w:spacing w:line="360" w:lineRule="auto"/>
        <w:rPr>
          <w:rFonts w:hint="eastAsia" w:ascii="仿宋" w:hAnsi="仿宋" w:eastAsia="仿宋" w:cs="仿宋"/>
          <w:b/>
          <w:color w:val="auto"/>
          <w:kern w:val="0"/>
          <w:sz w:val="28"/>
          <w:szCs w:val="28"/>
          <w:highlight w:val="none"/>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p>
    <w:p>
      <w:pPr>
        <w:spacing w:line="42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第一部分 比选邀请函</w:t>
      </w:r>
    </w:p>
    <w:p>
      <w:pPr>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各（潜在）供应商</w:t>
      </w:r>
      <w:r>
        <w:rPr>
          <w:rFonts w:hint="eastAsia" w:ascii="仿宋" w:hAnsi="仿宋" w:eastAsia="仿宋" w:cs="仿宋"/>
          <w:color w:val="auto"/>
          <w:kern w:val="0"/>
          <w:sz w:val="24"/>
          <w:highlight w:val="none"/>
          <w:lang w:eastAsia="zh-CN"/>
        </w:rPr>
        <w:t>：</w:t>
      </w:r>
    </w:p>
    <w:p>
      <w:pPr>
        <w:spacing w:line="42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医院招标代理机构服务采购项目</w:t>
      </w:r>
      <w:r>
        <w:rPr>
          <w:rFonts w:hint="eastAsia" w:ascii="仿宋" w:hAnsi="仿宋" w:eastAsia="仿宋" w:cs="仿宋"/>
          <w:color w:val="auto"/>
          <w:sz w:val="24"/>
          <w:highlight w:val="none"/>
        </w:rPr>
        <w:t>将进行院内比选采购，</w:t>
      </w:r>
      <w:r>
        <w:rPr>
          <w:rFonts w:hint="eastAsia" w:ascii="仿宋" w:hAnsi="仿宋" w:eastAsia="仿宋" w:cs="仿宋"/>
          <w:color w:val="auto"/>
          <w:sz w:val="24"/>
          <w:highlight w:val="none"/>
          <w:lang w:val="zh-CN"/>
        </w:rPr>
        <w:t>欢迎符合资格条件</w:t>
      </w:r>
      <w:r>
        <w:rPr>
          <w:rFonts w:hint="eastAsia" w:ascii="仿宋" w:hAnsi="仿宋" w:eastAsia="仿宋" w:cs="仿宋"/>
          <w:color w:val="auto"/>
          <w:sz w:val="24"/>
          <w:highlight w:val="none"/>
        </w:rPr>
        <w:t>的供应商响应。</w:t>
      </w:r>
    </w:p>
    <w:p>
      <w:pPr>
        <w:autoSpaceDE w:val="0"/>
        <w:autoSpaceDN w:val="0"/>
        <w:spacing w:line="4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一、项目</w:t>
      </w:r>
      <w:r>
        <w:rPr>
          <w:rFonts w:hint="eastAsia" w:ascii="仿宋" w:hAnsi="仿宋" w:eastAsia="仿宋" w:cs="仿宋"/>
          <w:color w:val="auto"/>
          <w:sz w:val="24"/>
          <w:highlight w:val="none"/>
          <w:lang w:val="zh-CN"/>
        </w:rPr>
        <w:t>编号：</w:t>
      </w:r>
      <w:r>
        <w:rPr>
          <w:rFonts w:hint="eastAsia" w:ascii="仿宋" w:hAnsi="仿宋" w:eastAsia="仿宋" w:cs="仿宋"/>
          <w:color w:val="auto"/>
          <w:sz w:val="24"/>
          <w:highlight w:val="none"/>
          <w:lang w:eastAsia="zh-CN"/>
        </w:rPr>
        <w:t>ZCB-YN-202</w:t>
      </w:r>
      <w:r>
        <w:rPr>
          <w:rFonts w:hint="eastAsia" w:ascii="仿宋" w:hAnsi="仿宋" w:eastAsia="仿宋" w:cs="仿宋"/>
          <w:color w:val="auto"/>
          <w:sz w:val="24"/>
          <w:highlight w:val="none"/>
          <w:lang w:val="en-US" w:eastAsia="zh-CN"/>
        </w:rPr>
        <w:t>6001</w:t>
      </w:r>
    </w:p>
    <w:p>
      <w:pPr>
        <w:autoSpaceDE w:val="0"/>
        <w:autoSpaceDN w:val="0"/>
        <w:spacing w:line="420" w:lineRule="exact"/>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二、项目名称：</w:t>
      </w:r>
      <w:r>
        <w:rPr>
          <w:rFonts w:hint="eastAsia" w:ascii="仿宋" w:hAnsi="仿宋" w:eastAsia="仿宋" w:cs="仿宋"/>
          <w:color w:val="auto"/>
          <w:sz w:val="24"/>
          <w:highlight w:val="none"/>
          <w:lang w:eastAsia="zh-CN"/>
        </w:rPr>
        <w:t>医院招标代理机构服务采购项目</w:t>
      </w:r>
    </w:p>
    <w:p>
      <w:pPr>
        <w:spacing w:line="420" w:lineRule="exact"/>
        <w:ind w:firstLine="504" w:firstLineChars="210"/>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三、项目内容：选取</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val="zh-CN"/>
        </w:rPr>
        <w:t>家招标采购代理机构（服务期为</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rPr>
        <w:t>年）</w:t>
      </w:r>
    </w:p>
    <w:p>
      <w:pPr>
        <w:spacing w:line="420" w:lineRule="exact"/>
        <w:ind w:firstLine="504" w:firstLineChars="21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zh-CN"/>
        </w:rPr>
        <w:t>四、拟参加</w:t>
      </w:r>
      <w:r>
        <w:rPr>
          <w:rFonts w:hint="eastAsia" w:ascii="仿宋" w:hAnsi="仿宋" w:eastAsia="仿宋" w:cs="仿宋"/>
          <w:color w:val="auto"/>
          <w:sz w:val="24"/>
          <w:highlight w:val="none"/>
        </w:rPr>
        <w:t>响应的供应商应当在</w:t>
      </w: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日起至</w:t>
      </w: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（08:00-12:00，14:30-17:30，法定节假日除外）</w:t>
      </w:r>
      <w:r>
        <w:rPr>
          <w:rFonts w:hint="eastAsia" w:ascii="仿宋" w:hAnsi="仿宋" w:eastAsia="仿宋" w:cs="仿宋"/>
          <w:color w:val="auto"/>
          <w:kern w:val="0"/>
          <w:sz w:val="24"/>
          <w:highlight w:val="none"/>
        </w:rPr>
        <w:t>通过惠州市第一妇幼保健院</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邮箱报名</w:t>
      </w:r>
      <w:r>
        <w:rPr>
          <w:rFonts w:hint="eastAsia" w:ascii="仿宋" w:hAnsi="仿宋" w:eastAsia="仿宋" w:cs="仿宋"/>
          <w:color w:val="auto"/>
          <w:kern w:val="0"/>
          <w:sz w:val="24"/>
          <w:highlight w:val="none"/>
          <w:lang w:eastAsia="zh-CN"/>
        </w:rPr>
        <w:t>或现场报名</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邮箱：dyfyzcb@huizhou.gov.cn</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五、响应文件递交截止时间：</w:t>
      </w: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分（北京时间）</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六、响应文件送达地点：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七、比选时间：</w:t>
      </w: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30分</w:t>
      </w:r>
      <w:r>
        <w:rPr>
          <w:rFonts w:hint="eastAsia" w:ascii="仿宋" w:hAnsi="仿宋" w:eastAsia="仿宋" w:cs="仿宋"/>
          <w:color w:val="auto"/>
          <w:sz w:val="24"/>
          <w:highlight w:val="none"/>
        </w:rPr>
        <w:t>（北京时间）</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八、比选地点：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r>
        <w:rPr>
          <w:rFonts w:hint="eastAsia" w:ascii="仿宋" w:hAnsi="仿宋" w:eastAsia="仿宋" w:cs="仿宋"/>
          <w:color w:val="auto"/>
          <w:sz w:val="24"/>
          <w:highlight w:val="none"/>
        </w:rPr>
        <w:t>。</w:t>
      </w:r>
    </w:p>
    <w:p>
      <w:pPr>
        <w:spacing w:line="420" w:lineRule="exact"/>
        <w:rPr>
          <w:rFonts w:hint="eastAsia" w:ascii="仿宋" w:hAnsi="仿宋" w:eastAsia="仿宋" w:cs="仿宋"/>
          <w:color w:val="auto"/>
          <w:sz w:val="24"/>
          <w:highlight w:val="none"/>
        </w:rPr>
      </w:pPr>
    </w:p>
    <w:p>
      <w:pPr>
        <w:spacing w:line="42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惠州市第一妇幼保健院</w:t>
      </w:r>
    </w:p>
    <w:p>
      <w:pPr>
        <w:spacing w:line="4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李工</w:t>
      </w:r>
      <w:r>
        <w:rPr>
          <w:rFonts w:hint="eastAsia" w:ascii="仿宋" w:hAnsi="仿宋" w:eastAsia="仿宋" w:cs="仿宋"/>
          <w:color w:val="auto"/>
          <w:sz w:val="24"/>
          <w:highlight w:val="none"/>
        </w:rPr>
        <w:t xml:space="preserve">                         电话：</w:t>
      </w:r>
      <w:r>
        <w:rPr>
          <w:rFonts w:ascii="仿宋" w:hAnsi="仿宋" w:eastAsia="仿宋" w:cs="仿宋"/>
          <w:color w:val="auto"/>
          <w:sz w:val="24"/>
          <w:highlight w:val="none"/>
        </w:rPr>
        <w:t>0752-</w:t>
      </w:r>
      <w:r>
        <w:rPr>
          <w:rFonts w:hint="eastAsia" w:ascii="仿宋" w:hAnsi="仿宋" w:eastAsia="仿宋" w:cs="仿宋"/>
          <w:color w:val="auto"/>
          <w:sz w:val="24"/>
          <w:highlight w:val="none"/>
          <w:lang w:val="en-US" w:eastAsia="zh-CN"/>
        </w:rPr>
        <w:t>7806068</w:t>
      </w:r>
    </w:p>
    <w:p>
      <w:pPr>
        <w:spacing w:line="42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联系地址：惠州市演达四路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邮编：516001</w:t>
      </w:r>
    </w:p>
    <w:p>
      <w:pPr>
        <w:spacing w:line="420" w:lineRule="exact"/>
        <w:ind w:firstLine="3720" w:firstLineChars="15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pStyle w:val="3"/>
        <w:rPr>
          <w:rFonts w:hint="eastAsia" w:ascii="仿宋" w:hAnsi="仿宋" w:eastAsia="仿宋" w:cs="仿宋"/>
          <w:color w:val="auto"/>
          <w:sz w:val="24"/>
          <w:highlight w:val="none"/>
        </w:rPr>
      </w:pPr>
    </w:p>
    <w:p>
      <w:pPr>
        <w:rPr>
          <w:rFonts w:hint="eastAsia"/>
          <w:color w:val="auto"/>
          <w:highlight w:val="none"/>
        </w:rPr>
      </w:pPr>
    </w:p>
    <w:p>
      <w:pPr>
        <w:spacing w:line="420" w:lineRule="exact"/>
        <w:ind w:firstLine="3720" w:firstLineChars="1550"/>
        <w:jc w:val="righ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惠州市第一妇幼保健院</w:t>
      </w:r>
    </w:p>
    <w:p>
      <w:pPr>
        <w:spacing w:line="420" w:lineRule="exact"/>
        <w:ind w:firstLine="4800" w:firstLineChars="20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日</w:t>
      </w:r>
    </w:p>
    <w:p>
      <w:pPr>
        <w:spacing w:line="360" w:lineRule="auto"/>
        <w:jc w:val="center"/>
        <w:rPr>
          <w:rFonts w:hint="eastAsia" w:ascii="仿宋" w:hAnsi="仿宋" w:eastAsia="仿宋" w:cs="仿宋"/>
          <w:b/>
          <w:color w:val="auto"/>
          <w:sz w:val="28"/>
          <w:szCs w:val="28"/>
          <w:highlight w:val="none"/>
        </w:rPr>
      </w:pPr>
      <w:r>
        <w:rPr>
          <w:rFonts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第二部分　采购项目内容</w:t>
      </w:r>
    </w:p>
    <w:p>
      <w:pPr>
        <w:numPr>
          <w:ilvl w:val="0"/>
          <w:numId w:val="2"/>
        </w:num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响应供应商</w:t>
      </w:r>
      <w:r>
        <w:rPr>
          <w:rFonts w:hint="eastAsia" w:ascii="仿宋" w:hAnsi="仿宋" w:eastAsia="仿宋" w:cs="仿宋"/>
          <w:b/>
          <w:bCs/>
          <w:color w:val="auto"/>
          <w:sz w:val="24"/>
          <w:highlight w:val="none"/>
        </w:rPr>
        <w:t>资格</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w:t>
      </w:r>
      <w:r>
        <w:rPr>
          <w:rFonts w:hint="eastAsia" w:ascii="仿宋" w:hAnsi="仿宋" w:eastAsia="仿宋" w:cs="仿宋"/>
          <w:color w:val="auto"/>
          <w:sz w:val="24"/>
          <w:highlight w:val="none"/>
          <w:lang w:eastAsia="zh-CN"/>
        </w:rPr>
        <w:t>《政府采购法》</w:t>
      </w:r>
      <w:r>
        <w:rPr>
          <w:rFonts w:hint="eastAsia" w:ascii="仿宋" w:hAnsi="仿宋" w:eastAsia="仿宋" w:cs="仿宋"/>
          <w:color w:val="auto"/>
          <w:sz w:val="24"/>
          <w:highlight w:val="none"/>
        </w:rPr>
        <w:t>第二十二条规定的条件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且提供以下证明文件：</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w:t>
      </w:r>
      <w:r>
        <w:rPr>
          <w:rFonts w:hint="eastAsia" w:ascii="仿宋" w:hAnsi="仿宋" w:eastAsia="仿宋" w:cs="仿宋"/>
          <w:b/>
          <w:bCs/>
          <w:color w:val="000000" w:themeColor="text1"/>
          <w:sz w:val="24"/>
          <w:highlight w:val="none"/>
          <w14:textFill>
            <w14:solidFill>
              <w14:schemeClr w14:val="tx1"/>
            </w14:solidFill>
          </w14:textFill>
        </w:rPr>
        <w:t>（提供营业执照等证明文件）</w:t>
      </w:r>
      <w:r>
        <w:rPr>
          <w:rFonts w:hint="eastAsia" w:ascii="仿宋" w:hAnsi="仿宋" w:eastAsia="仿宋" w:cs="仿宋"/>
          <w:color w:val="auto"/>
          <w:sz w:val="24"/>
          <w:highlight w:val="none"/>
        </w:rPr>
        <w:t>；</w:t>
      </w:r>
    </w:p>
    <w:p>
      <w:pPr>
        <w:tabs>
          <w:tab w:val="left" w:pos="0"/>
        </w:tabs>
        <w:wordWrap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szCs w:val="24"/>
          <w:highlight w:val="none"/>
        </w:rPr>
        <w:t>供应商必须具有良好的商业信誉和健全的财务会计制度。</w:t>
      </w:r>
      <w:r>
        <w:rPr>
          <w:rFonts w:hint="eastAsia" w:ascii="仿宋" w:hAnsi="仿宋" w:eastAsia="仿宋" w:cs="仿宋"/>
          <w:b/>
          <w:bCs/>
          <w:color w:val="auto"/>
          <w:sz w:val="24"/>
          <w:szCs w:val="24"/>
          <w:highlight w:val="none"/>
        </w:rPr>
        <w:t>可提供：①</w:t>
      </w:r>
      <w:r>
        <w:rPr>
          <w:rFonts w:hint="eastAsia" w:ascii="仿宋" w:hAnsi="仿宋" w:eastAsia="仿宋" w:cs="仿宋"/>
          <w:b/>
          <w:bCs/>
          <w:color w:val="auto"/>
          <w:sz w:val="24"/>
          <w:szCs w:val="24"/>
          <w:highlight w:val="none"/>
          <w:lang w:eastAsia="zh-CN"/>
        </w:rPr>
        <w:t>2022</w:t>
      </w:r>
      <w:r>
        <w:rPr>
          <w:rFonts w:hint="eastAsia" w:ascii="仿宋" w:hAnsi="仿宋" w:eastAsia="仿宋" w:cs="仿宋"/>
          <w:b/>
          <w:bCs/>
          <w:color w:val="auto"/>
          <w:sz w:val="24"/>
          <w:szCs w:val="24"/>
          <w:highlight w:val="none"/>
        </w:rPr>
        <w:t>年至今任意一年经审计的审计报告复印件（包含审计报告中所涉及的财务报表和报表附注）；或②</w:t>
      </w:r>
      <w:r>
        <w:rPr>
          <w:rFonts w:hint="eastAsia" w:ascii="仿宋" w:hAnsi="仿宋" w:eastAsia="仿宋" w:cs="仿宋"/>
          <w:b/>
          <w:bCs/>
          <w:color w:val="auto"/>
          <w:sz w:val="24"/>
          <w:szCs w:val="24"/>
          <w:highlight w:val="none"/>
          <w:lang w:eastAsia="zh-CN"/>
        </w:rPr>
        <w:t>2022</w:t>
      </w:r>
      <w:r>
        <w:rPr>
          <w:rFonts w:hint="eastAsia" w:ascii="仿宋" w:hAnsi="仿宋" w:eastAsia="仿宋" w:cs="仿宋"/>
          <w:b/>
          <w:bCs/>
          <w:color w:val="auto"/>
          <w:sz w:val="24"/>
          <w:szCs w:val="24"/>
          <w:highlight w:val="none"/>
        </w:rPr>
        <w:t>年度至今任意一年</w:t>
      </w:r>
      <w:r>
        <w:rPr>
          <w:rFonts w:hint="eastAsia" w:ascii="仿宋" w:hAnsi="仿宋" w:eastAsia="仿宋" w:cs="仿宋"/>
          <w:b/>
          <w:bCs/>
          <w:color w:val="auto"/>
          <w:sz w:val="24"/>
          <w:szCs w:val="24"/>
          <w:highlight w:val="none"/>
          <w:lang w:eastAsia="zh-CN"/>
        </w:rPr>
        <w:t>响应供应商</w:t>
      </w:r>
      <w:r>
        <w:rPr>
          <w:rFonts w:hint="eastAsia" w:ascii="仿宋" w:hAnsi="仿宋" w:eastAsia="仿宋" w:cs="仿宋"/>
          <w:b/>
          <w:bCs/>
          <w:color w:val="auto"/>
          <w:sz w:val="24"/>
          <w:szCs w:val="24"/>
          <w:highlight w:val="none"/>
        </w:rPr>
        <w:t>内部的财务报表复印件（新成立公司提供成立至今的月或季度财务报表复印件）；或③截至</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文件递交截止日</w:t>
      </w:r>
      <w:r>
        <w:rPr>
          <w:rFonts w:hint="eastAsia" w:ascii="仿宋" w:hAnsi="仿宋" w:eastAsia="仿宋" w:cs="仿宋"/>
          <w:b/>
          <w:bCs/>
          <w:color w:val="auto"/>
          <w:sz w:val="24"/>
          <w:szCs w:val="24"/>
          <w:highlight w:val="none"/>
          <w:lang w:eastAsia="zh-CN"/>
        </w:rPr>
        <w:t>12个月内银行</w:t>
      </w:r>
      <w:r>
        <w:rPr>
          <w:rFonts w:hint="eastAsia" w:ascii="仿宋" w:hAnsi="仿宋" w:eastAsia="仿宋" w:cs="仿宋"/>
          <w:b/>
          <w:bCs/>
          <w:color w:val="auto"/>
          <w:sz w:val="24"/>
          <w:szCs w:val="24"/>
          <w:highlight w:val="none"/>
        </w:rPr>
        <w:t>出具的资信证明（复印件）</w:t>
      </w:r>
      <w:r>
        <w:rPr>
          <w:rFonts w:hint="eastAsia" w:ascii="仿宋" w:hAnsi="仿宋" w:eastAsia="仿宋" w:cs="仿宋"/>
          <w:color w:val="auto"/>
          <w:sz w:val="24"/>
          <w:szCs w:val="24"/>
          <w:highlight w:val="none"/>
        </w:rPr>
        <w:t>；</w:t>
      </w:r>
    </w:p>
    <w:p>
      <w:pPr>
        <w:tabs>
          <w:tab w:val="left" w:pos="0"/>
        </w:tabs>
        <w:wordWrap w:val="0"/>
        <w:spacing w:line="360" w:lineRule="auto"/>
        <w:ind w:firstLine="480" w:firstLineChars="200"/>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（3）比选截止时间近12个月内任意一个月的依法缴纳税收证明材料</w:t>
      </w:r>
      <w:r>
        <w:rPr>
          <w:rFonts w:hint="eastAsia" w:ascii="仿宋" w:hAnsi="仿宋" w:eastAsia="仿宋" w:cs="仿宋"/>
          <w:b/>
          <w:bCs/>
          <w:color w:val="auto"/>
          <w:sz w:val="24"/>
          <w:highlight w:val="none"/>
        </w:rPr>
        <w:t>（如依法免税，则须提供相应文件证明其依法免税）</w:t>
      </w:r>
      <w:r>
        <w:rPr>
          <w:rFonts w:hint="eastAsia" w:ascii="仿宋" w:hAnsi="仿宋" w:eastAsia="仿宋" w:cs="仿宋"/>
          <w:color w:val="auto"/>
          <w:sz w:val="24"/>
          <w:highlight w:val="none"/>
          <w:lang w:eastAsia="zh-CN"/>
        </w:rPr>
        <w:t>或书面声明</w:t>
      </w:r>
      <w:r>
        <w:rPr>
          <w:rFonts w:hint="eastAsia" w:ascii="仿宋" w:hAnsi="仿宋" w:eastAsia="仿宋" w:cs="仿宋"/>
          <w:b/>
          <w:bCs/>
          <w:color w:val="auto"/>
          <w:sz w:val="24"/>
          <w:highlight w:val="none"/>
        </w:rPr>
        <w:t>；</w:t>
      </w:r>
    </w:p>
    <w:p>
      <w:pPr>
        <w:tabs>
          <w:tab w:val="left" w:pos="0"/>
        </w:tabs>
        <w:wordWrap w:val="0"/>
        <w:spacing w:line="360" w:lineRule="auto"/>
        <w:ind w:firstLine="480" w:firstLineChars="200"/>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（4）比选截止时间近12个月内任意一个月的依法缴纳社会保险凭据</w:t>
      </w:r>
      <w:r>
        <w:rPr>
          <w:rFonts w:hint="eastAsia" w:ascii="仿宋" w:hAnsi="仿宋" w:eastAsia="仿宋" w:cs="仿宋"/>
          <w:b/>
          <w:bCs/>
          <w:color w:val="auto"/>
          <w:sz w:val="24"/>
          <w:highlight w:val="none"/>
        </w:rPr>
        <w:t>（如依法不需要缴纳社保，则须提供相应文件证明其依法不需要缴纳）</w:t>
      </w:r>
      <w:r>
        <w:rPr>
          <w:rFonts w:hint="eastAsia" w:ascii="仿宋" w:hAnsi="仿宋" w:eastAsia="仿宋" w:cs="仿宋"/>
          <w:color w:val="auto"/>
          <w:sz w:val="24"/>
          <w:highlight w:val="none"/>
          <w:lang w:eastAsia="zh-CN"/>
        </w:rPr>
        <w:t>或书面声明。</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w:t>
      </w:r>
      <w:r>
        <w:rPr>
          <w:rFonts w:hint="eastAsia" w:ascii="仿宋" w:hAnsi="仿宋" w:eastAsia="仿宋" w:cs="仿宋"/>
          <w:b/>
          <w:bCs/>
          <w:color w:val="auto"/>
          <w:sz w:val="24"/>
          <w:highlight w:val="none"/>
        </w:rPr>
        <w:t>证明材料或书面声明</w:t>
      </w:r>
      <w:r>
        <w:rPr>
          <w:rFonts w:hint="eastAsia" w:ascii="仿宋" w:hAnsi="仿宋" w:eastAsia="仿宋" w:cs="仿宋"/>
          <w:color w:val="auto"/>
          <w:sz w:val="24"/>
          <w:highlight w:val="none"/>
        </w:rPr>
        <w:t>；</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w:t>
      </w:r>
      <w:r>
        <w:rPr>
          <w:rFonts w:hint="eastAsia" w:ascii="仿宋" w:hAnsi="仿宋" w:eastAsia="仿宋" w:cs="仿宋"/>
          <w:b/>
          <w:bCs/>
          <w:color w:val="auto"/>
          <w:sz w:val="24"/>
          <w:highlight w:val="none"/>
        </w:rPr>
        <w:t>书面声明</w:t>
      </w:r>
      <w:r>
        <w:rPr>
          <w:rFonts w:hint="eastAsia" w:ascii="仿宋" w:hAnsi="仿宋" w:eastAsia="仿宋" w:cs="仿宋"/>
          <w:color w:val="auto"/>
          <w:sz w:val="24"/>
          <w:highlight w:val="none"/>
        </w:rPr>
        <w:t>。</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3.单位负责人为同一人或者存在直接控股、管理关系的不同供应商，不得参加同一包号</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lang w:val="zh-CN"/>
        </w:rPr>
        <w:t>或者未划分包号的同一采购项目。</w:t>
      </w:r>
      <w:r>
        <w:rPr>
          <w:rFonts w:hint="eastAsia" w:ascii="仿宋" w:hAnsi="仿宋" w:eastAsia="仿宋" w:cs="仿宋"/>
          <w:b/>
          <w:bCs/>
          <w:color w:val="auto"/>
          <w:sz w:val="24"/>
          <w:highlight w:val="none"/>
          <w:lang w:val="zh-CN"/>
        </w:rPr>
        <w:t>(</w:t>
      </w:r>
      <w:r>
        <w:rPr>
          <w:rFonts w:hint="eastAsia" w:ascii="仿宋" w:hAnsi="仿宋" w:eastAsia="仿宋" w:cs="仿宋"/>
          <w:b/>
          <w:bCs/>
          <w:color w:val="auto"/>
          <w:kern w:val="0"/>
          <w:sz w:val="24"/>
          <w:szCs w:val="24"/>
          <w:highlight w:val="none"/>
          <w:lang w:val="en-US" w:eastAsia="zh-CN" w:bidi="ar"/>
        </w:rPr>
        <w:t>代理机构</w:t>
      </w:r>
      <w:r>
        <w:rPr>
          <w:rFonts w:hint="eastAsia" w:ascii="仿宋" w:hAnsi="仿宋" w:eastAsia="仿宋" w:cs="仿宋"/>
          <w:b/>
          <w:bCs/>
          <w:color w:val="auto"/>
          <w:sz w:val="24"/>
          <w:highlight w:val="none"/>
          <w:lang w:val="zh-CN"/>
        </w:rPr>
        <w:t>出具声明函)</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4.为本采购项目提供整体设计、规范编制或者项目管理、监理、检测等服务的供应商，不得再参加本采购项目的采购活动。</w:t>
      </w:r>
      <w:r>
        <w:rPr>
          <w:rFonts w:hint="eastAsia" w:ascii="仿宋" w:hAnsi="仿宋" w:eastAsia="仿宋" w:cs="仿宋"/>
          <w:b/>
          <w:bCs/>
          <w:color w:val="auto"/>
          <w:sz w:val="24"/>
          <w:highlight w:val="none"/>
          <w:lang w:val="zh-CN"/>
        </w:rPr>
        <w:t>(</w:t>
      </w:r>
      <w:r>
        <w:rPr>
          <w:rFonts w:hint="eastAsia" w:ascii="仿宋" w:hAnsi="仿宋" w:eastAsia="仿宋" w:cs="仿宋"/>
          <w:b/>
          <w:bCs/>
          <w:color w:val="auto"/>
          <w:kern w:val="0"/>
          <w:sz w:val="24"/>
          <w:szCs w:val="24"/>
          <w:highlight w:val="none"/>
          <w:lang w:val="en-US" w:eastAsia="zh-CN" w:bidi="ar"/>
        </w:rPr>
        <w:t>代理机构</w:t>
      </w:r>
      <w:r>
        <w:rPr>
          <w:rFonts w:hint="eastAsia" w:ascii="仿宋" w:hAnsi="仿宋" w:eastAsia="仿宋" w:cs="仿宋"/>
          <w:b/>
          <w:bCs/>
          <w:color w:val="auto"/>
          <w:sz w:val="24"/>
          <w:highlight w:val="none"/>
          <w:lang w:val="zh-CN"/>
        </w:rPr>
        <w:t>出具声明函)</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rPr>
        <w:t>5.</w:t>
      </w:r>
      <w:r>
        <w:rPr>
          <w:rFonts w:hint="eastAsia" w:ascii="仿宋" w:hAnsi="仿宋" w:eastAsia="仿宋" w:cs="仿宋"/>
          <w:color w:val="auto"/>
          <w:sz w:val="24"/>
          <w:highlight w:val="none"/>
        </w:rPr>
        <w:t>本项目不接受联合体参加比选，不允许响应供应商对各比选项目进行分包或转包</w:t>
      </w:r>
      <w:r>
        <w:rPr>
          <w:rFonts w:hint="eastAsia" w:ascii="仿宋" w:hAnsi="仿宋" w:eastAsia="仿宋" w:cs="仿宋"/>
          <w:b/>
          <w:bCs/>
          <w:color w:val="auto"/>
          <w:sz w:val="24"/>
          <w:highlight w:val="none"/>
        </w:rPr>
        <w:t>(</w:t>
      </w:r>
      <w:r>
        <w:rPr>
          <w:rFonts w:hint="eastAsia" w:ascii="仿宋" w:hAnsi="仿宋" w:eastAsia="仿宋" w:cs="仿宋"/>
          <w:b/>
          <w:bCs/>
          <w:color w:val="auto"/>
          <w:kern w:val="0"/>
          <w:sz w:val="24"/>
          <w:szCs w:val="24"/>
          <w:highlight w:val="none"/>
          <w:lang w:val="en-US" w:eastAsia="zh-CN" w:bidi="ar"/>
        </w:rPr>
        <w:t>代理机构</w:t>
      </w:r>
      <w:r>
        <w:rPr>
          <w:rFonts w:hint="eastAsia" w:ascii="仿宋" w:hAnsi="仿宋" w:eastAsia="仿宋" w:cs="仿宋"/>
          <w:b/>
          <w:bCs/>
          <w:color w:val="auto"/>
          <w:sz w:val="24"/>
          <w:highlight w:val="none"/>
        </w:rPr>
        <w:t>出具声明函)</w:t>
      </w:r>
      <w:r>
        <w:rPr>
          <w:rFonts w:hint="eastAsia" w:ascii="仿宋" w:hAnsi="仿宋" w:eastAsia="仿宋" w:cs="仿宋"/>
          <w:color w:val="auto"/>
          <w:sz w:val="24"/>
          <w:highlight w:val="none"/>
          <w:lang w:eastAsia="zh-CN"/>
        </w:rPr>
        <w:t>。</w:t>
      </w:r>
    </w:p>
    <w:p>
      <w:pPr>
        <w:tabs>
          <w:tab w:val="left" w:pos="0"/>
        </w:tabs>
        <w:wordWrap w:val="0"/>
        <w:spacing w:line="360" w:lineRule="auto"/>
        <w:ind w:firstLine="480" w:firstLineChars="200"/>
        <w:jc w:val="left"/>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strike w:val="0"/>
          <w:color w:val="auto"/>
          <w:sz w:val="24"/>
          <w:highlight w:val="none"/>
          <w:lang w:val="en-US" w:eastAsia="zh-CN"/>
        </w:rPr>
        <w:t>6.</w:t>
      </w:r>
      <w:r>
        <w:rPr>
          <w:rFonts w:hint="eastAsia" w:ascii="仿宋" w:hAnsi="仿宋" w:eastAsia="仿宋" w:cs="仿宋"/>
          <w:color w:val="auto"/>
          <w:kern w:val="0"/>
          <w:sz w:val="24"/>
          <w:szCs w:val="24"/>
          <w:highlight w:val="none"/>
          <w:lang w:val="en-US" w:eastAsia="zh-CN" w:bidi="ar"/>
        </w:rPr>
        <w:t>在省级及以上政府采购网站备案。</w:t>
      </w:r>
      <w:r>
        <w:rPr>
          <w:rFonts w:hint="eastAsia" w:ascii="仿宋" w:hAnsi="仿宋" w:eastAsia="仿宋" w:cs="仿宋"/>
          <w:b/>
          <w:bCs/>
          <w:color w:val="auto"/>
          <w:kern w:val="0"/>
          <w:sz w:val="24"/>
          <w:szCs w:val="24"/>
          <w:highlight w:val="none"/>
          <w:lang w:val="en-US" w:eastAsia="zh-CN" w:bidi="ar"/>
        </w:rPr>
        <w:t>（代理机构提供“广东省政府采购网”或“中国政府采购网”的备案信息截图。）</w:t>
      </w:r>
    </w:p>
    <w:p>
      <w:pPr>
        <w:tabs>
          <w:tab w:val="left" w:pos="0"/>
        </w:tabs>
        <w:wordWrap w:val="0"/>
        <w:spacing w:line="360" w:lineRule="auto"/>
        <w:ind w:firstLine="480" w:firstLineChars="200"/>
        <w:jc w:val="left"/>
        <w:rPr>
          <w:rFonts w:hint="eastAsia" w:ascii="仿宋" w:hAnsi="仿宋" w:eastAsia="仿宋" w:cs="仿宋"/>
          <w:b/>
          <w:bCs/>
          <w:strike w:val="0"/>
          <w:color w:val="auto"/>
          <w:sz w:val="24"/>
          <w:highlight w:val="none"/>
          <w:lang w:val="en-US" w:eastAsia="zh-CN"/>
        </w:rPr>
      </w:pPr>
      <w:r>
        <w:rPr>
          <w:rFonts w:hint="eastAsia" w:ascii="仿宋" w:hAnsi="仿宋" w:eastAsia="仿宋" w:cs="仿宋"/>
          <w:strike w:val="0"/>
          <w:color w:val="auto"/>
          <w:sz w:val="24"/>
          <w:highlight w:val="none"/>
          <w:lang w:val="en-US" w:eastAsia="zh-CN"/>
        </w:rPr>
        <w:t>7.在惠州市内有固定经营场所，具备招标采购工作必须的开评标场地和</w:t>
      </w:r>
      <w:r>
        <w:rPr>
          <w:rFonts w:hint="eastAsia" w:ascii="仿宋" w:hAnsi="仿宋" w:eastAsia="仿宋" w:cs="仿宋"/>
          <w:strike w:val="0"/>
          <w:color w:val="auto"/>
          <w:sz w:val="24"/>
          <w:highlight w:val="none"/>
          <w:lang w:val="en-GB" w:eastAsia="zh-CN"/>
        </w:rPr>
        <w:t>录音录像等监控设备设施。</w:t>
      </w:r>
      <w:r>
        <w:rPr>
          <w:rFonts w:hint="eastAsia" w:ascii="仿宋" w:hAnsi="仿宋" w:eastAsia="仿宋" w:cs="仿宋"/>
          <w:b/>
          <w:bCs/>
          <w:strike w:val="0"/>
          <w:color w:val="auto"/>
          <w:sz w:val="24"/>
          <w:highlight w:val="none"/>
          <w:lang w:val="en-US" w:eastAsia="zh-CN"/>
        </w:rPr>
        <w:t>（提供：①房屋产权证明资料或租赁合同复印件②开标室、评标室及录音录像监控设备设施等照片，</w:t>
      </w:r>
      <w:r>
        <w:rPr>
          <w:rFonts w:hint="eastAsia" w:ascii="仿宋" w:hAnsi="仿宋" w:eastAsia="仿宋" w:cs="仿宋"/>
          <w:b/>
          <w:bCs/>
          <w:color w:val="auto"/>
          <w:sz w:val="24"/>
          <w:highlight w:val="none"/>
          <w:lang w:eastAsia="zh-CN"/>
        </w:rPr>
        <w:t>提供的照片需明确标注开标室、评标室、监控设备设施</w:t>
      </w:r>
      <w:r>
        <w:rPr>
          <w:rFonts w:hint="eastAsia" w:ascii="仿宋" w:hAnsi="仿宋" w:eastAsia="仿宋" w:cs="仿宋"/>
          <w:b/>
          <w:bCs/>
          <w:strike w:val="0"/>
          <w:color w:val="auto"/>
          <w:sz w:val="24"/>
          <w:highlight w:val="none"/>
          <w:lang w:val="en-US" w:eastAsia="zh-CN"/>
        </w:rPr>
        <w:t>）</w:t>
      </w:r>
      <w:r>
        <w:rPr>
          <w:rFonts w:hint="eastAsia" w:ascii="仿宋" w:hAnsi="仿宋" w:eastAsia="仿宋" w:cs="仿宋"/>
          <w:b/>
          <w:bCs/>
          <w:strike w:val="0"/>
          <w:color w:val="auto"/>
          <w:sz w:val="24"/>
          <w:highlight w:val="none"/>
          <w:lang w:val="en-GB" w:eastAsia="zh-CN"/>
        </w:rPr>
        <w:t>。</w:t>
      </w:r>
    </w:p>
    <w:p>
      <w:pPr>
        <w:tabs>
          <w:tab w:val="left" w:pos="0"/>
        </w:tabs>
        <w:wordWrap w:val="0"/>
        <w:spacing w:line="360" w:lineRule="auto"/>
        <w:ind w:firstLine="480" w:firstLineChars="200"/>
        <w:jc w:val="left"/>
        <w:rPr>
          <w:rFonts w:hint="eastAsia" w:ascii="仿宋" w:hAnsi="仿宋" w:eastAsia="仿宋" w:cs="仿宋"/>
          <w:b/>
          <w:bCs/>
          <w:strike w:val="0"/>
          <w:color w:val="auto"/>
          <w:sz w:val="24"/>
          <w:highlight w:val="none"/>
          <w:lang w:val="en-US" w:eastAsia="zh-CN"/>
        </w:rPr>
      </w:pPr>
      <w:r>
        <w:rPr>
          <w:rFonts w:hint="eastAsia" w:ascii="仿宋" w:hAnsi="仿宋" w:eastAsia="仿宋" w:cs="仿宋"/>
          <w:strike w:val="0"/>
          <w:color w:val="auto"/>
          <w:sz w:val="24"/>
          <w:highlight w:val="none"/>
          <w:lang w:val="en-US" w:eastAsia="zh-CN"/>
        </w:rPr>
        <w:t>8.</w:t>
      </w:r>
      <w:r>
        <w:rPr>
          <w:rFonts w:hint="eastAsia" w:ascii="仿宋" w:hAnsi="仿宋" w:eastAsia="仿宋" w:cs="仿宋"/>
          <w:strike w:val="0"/>
          <w:color w:val="auto"/>
          <w:sz w:val="24"/>
          <w:highlight w:val="none"/>
          <w:lang w:val="en-GB" w:eastAsia="zh-CN"/>
        </w:rPr>
        <w:t>拥有</w:t>
      </w:r>
      <w:r>
        <w:rPr>
          <w:rFonts w:hint="eastAsia" w:ascii="仿宋" w:hAnsi="仿宋" w:eastAsia="仿宋" w:cs="仿宋"/>
          <w:strike w:val="0"/>
          <w:color w:val="auto"/>
          <w:sz w:val="24"/>
          <w:highlight w:val="none"/>
          <w:lang w:val="en-US" w:eastAsia="zh-CN"/>
        </w:rPr>
        <w:t>≥</w:t>
      </w:r>
      <w:r>
        <w:rPr>
          <w:rFonts w:hint="eastAsia" w:ascii="仿宋" w:hAnsi="仿宋" w:eastAsia="仿宋" w:cs="仿宋"/>
          <w:strike w:val="0"/>
          <w:color w:val="auto"/>
          <w:sz w:val="24"/>
          <w:highlight w:val="none"/>
          <w:lang w:val="en-GB" w:eastAsia="zh-CN"/>
        </w:rPr>
        <w:t>5名熟悉政府采购法律法规、具备编制采购文件和组织采购活动等相应能力的专职从业人员。</w:t>
      </w:r>
      <w:r>
        <w:rPr>
          <w:rFonts w:hint="eastAsia" w:ascii="仿宋" w:hAnsi="仿宋" w:eastAsia="仿宋" w:cs="仿宋"/>
          <w:b/>
          <w:bCs/>
          <w:strike w:val="0"/>
          <w:color w:val="auto"/>
          <w:sz w:val="24"/>
          <w:highlight w:val="none"/>
          <w:lang w:val="en-GB" w:eastAsia="zh-CN"/>
        </w:rPr>
        <w:t>（</w:t>
      </w:r>
      <w:r>
        <w:rPr>
          <w:rFonts w:hint="eastAsia" w:ascii="仿宋" w:hAnsi="仿宋" w:eastAsia="仿宋" w:cs="仿宋"/>
          <w:b/>
          <w:bCs/>
          <w:strike w:val="0"/>
          <w:color w:val="auto"/>
          <w:sz w:val="24"/>
          <w:highlight w:val="none"/>
          <w:lang w:val="en-US" w:eastAsia="zh-CN"/>
        </w:rPr>
        <w:t>提供专职从业人员名单、</w:t>
      </w:r>
      <w:r>
        <w:rPr>
          <w:rFonts w:hint="eastAsia" w:ascii="仿宋" w:hAnsi="仿宋" w:eastAsia="仿宋" w:cs="仿宋"/>
          <w:b/>
          <w:bCs/>
          <w:color w:val="auto"/>
          <w:kern w:val="0"/>
          <w:sz w:val="24"/>
          <w:szCs w:val="24"/>
          <w:highlight w:val="none"/>
          <w:lang w:val="en-US" w:eastAsia="zh-CN" w:bidi="ar"/>
        </w:rPr>
        <w:t>身份证复印</w:t>
      </w:r>
      <w:r>
        <w:rPr>
          <w:rFonts w:hint="eastAsia" w:ascii="仿宋" w:hAnsi="仿宋" w:eastAsia="仿宋" w:cs="仿宋"/>
          <w:b/>
          <w:bCs/>
          <w:strike w:val="0"/>
          <w:color w:val="auto"/>
          <w:sz w:val="24"/>
          <w:highlight w:val="none"/>
          <w:lang w:val="en-US" w:eastAsia="zh-CN"/>
        </w:rPr>
        <w:t>件及比选截止日前</w:t>
      </w:r>
      <w:r>
        <w:rPr>
          <w:rFonts w:hint="default" w:ascii="仿宋" w:hAnsi="仿宋" w:eastAsia="仿宋" w:cs="仿宋"/>
          <w:b/>
          <w:bCs/>
          <w:strike w:val="0"/>
          <w:color w:val="auto"/>
          <w:sz w:val="24"/>
          <w:highlight w:val="none"/>
          <w:lang w:val="en-US" w:eastAsia="zh-CN"/>
        </w:rPr>
        <w:t>近6个月内任意一个月由</w:t>
      </w:r>
      <w:r>
        <w:rPr>
          <w:rFonts w:hint="eastAsia" w:ascii="仿宋" w:hAnsi="仿宋" w:eastAsia="仿宋" w:cs="仿宋"/>
          <w:b/>
          <w:bCs/>
          <w:strike w:val="0"/>
          <w:color w:val="auto"/>
          <w:sz w:val="24"/>
          <w:highlight w:val="none"/>
          <w:lang w:val="en-US" w:eastAsia="zh-CN"/>
        </w:rPr>
        <w:t>代理机构</w:t>
      </w:r>
      <w:r>
        <w:rPr>
          <w:rFonts w:hint="default" w:ascii="仿宋" w:hAnsi="仿宋" w:eastAsia="仿宋" w:cs="仿宋"/>
          <w:b/>
          <w:bCs/>
          <w:strike w:val="0"/>
          <w:color w:val="auto"/>
          <w:sz w:val="24"/>
          <w:highlight w:val="none"/>
          <w:lang w:val="en-US" w:eastAsia="zh-CN"/>
        </w:rPr>
        <w:t>为其缴纳的社保证明材料。</w:t>
      </w:r>
      <w:r>
        <w:rPr>
          <w:rFonts w:hint="eastAsia" w:ascii="仿宋" w:hAnsi="仿宋" w:eastAsia="仿宋" w:cs="仿宋"/>
          <w:b/>
          <w:bCs/>
          <w:strike w:val="0"/>
          <w:color w:val="auto"/>
          <w:sz w:val="24"/>
          <w:highlight w:val="none"/>
          <w:lang w:val="en-GB" w:eastAsia="zh-CN"/>
        </w:rPr>
        <w:t>）</w:t>
      </w:r>
    </w:p>
    <w:p>
      <w:pPr>
        <w:tabs>
          <w:tab w:val="left" w:pos="0"/>
        </w:tabs>
        <w:wordWrap w:val="0"/>
        <w:spacing w:line="360" w:lineRule="auto"/>
        <w:ind w:firstLine="480" w:firstLineChars="200"/>
        <w:jc w:val="left"/>
        <w:rPr>
          <w:rFonts w:hint="eastAsia" w:ascii="仿宋" w:hAnsi="仿宋" w:eastAsia="仿宋" w:cs="仿宋"/>
          <w:strike w:val="0"/>
          <w:color w:val="auto"/>
          <w:sz w:val="24"/>
          <w:highlight w:val="none"/>
          <w:lang w:val="en-US" w:eastAsia="zh-CN"/>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eastAsia="zh-CN"/>
        </w:rPr>
        <w:t>.</w:t>
      </w:r>
      <w:r>
        <w:rPr>
          <w:rFonts w:hint="eastAsia" w:ascii="仿宋" w:hAnsi="仿宋" w:eastAsia="仿宋" w:cs="仿宋"/>
          <w:strike w:val="0"/>
          <w:color w:val="auto"/>
          <w:sz w:val="24"/>
          <w:highlight w:val="none"/>
        </w:rPr>
        <w:t>本项目</w:t>
      </w:r>
      <w:r>
        <w:rPr>
          <w:rFonts w:hint="eastAsia" w:ascii="仿宋" w:hAnsi="仿宋" w:eastAsia="仿宋" w:cs="仿宋"/>
          <w:strike w:val="0"/>
          <w:color w:val="auto"/>
          <w:sz w:val="24"/>
          <w:highlight w:val="none"/>
          <w:lang w:eastAsia="zh-CN"/>
        </w:rPr>
        <w:t>不属于</w:t>
      </w:r>
      <w:r>
        <w:rPr>
          <w:rFonts w:hint="eastAsia" w:ascii="仿宋" w:hAnsi="仿宋" w:eastAsia="仿宋" w:cs="仿宋"/>
          <w:strike w:val="0"/>
          <w:color w:val="auto"/>
          <w:sz w:val="24"/>
          <w:highlight w:val="none"/>
        </w:rPr>
        <w:t>专门面向中小企业采购的项目</w:t>
      </w:r>
      <w:r>
        <w:rPr>
          <w:rFonts w:hint="eastAsia" w:ascii="仿宋" w:hAnsi="仿宋" w:eastAsia="仿宋" w:cs="仿宋"/>
          <w:strike w:val="0"/>
          <w:color w:val="auto"/>
          <w:sz w:val="24"/>
          <w:highlight w:val="none"/>
          <w:lang w:eastAsia="zh-CN"/>
        </w:rPr>
        <w:t>，</w:t>
      </w:r>
      <w:r>
        <w:rPr>
          <w:rFonts w:hint="eastAsia" w:ascii="仿宋" w:hAnsi="仿宋" w:eastAsia="仿宋" w:cs="仿宋"/>
          <w:strike w:val="0"/>
          <w:color w:val="auto"/>
          <w:sz w:val="24"/>
          <w:highlight w:val="none"/>
        </w:rPr>
        <w:t>本项目中小企业划分标准所属行业为：未列明行业。</w:t>
      </w:r>
    </w:p>
    <w:p>
      <w:pPr>
        <w:spacing w:line="360" w:lineRule="auto"/>
        <w:ind w:firstLine="480" w:firstLineChars="200"/>
        <w:rPr>
          <w:rFonts w:hint="eastAsia"/>
          <w:color w:val="auto"/>
          <w:highlight w:val="none"/>
        </w:rPr>
      </w:pPr>
      <w:r>
        <w:rPr>
          <w:rFonts w:hint="eastAsia" w:ascii="仿宋" w:hAnsi="仿宋" w:eastAsia="仿宋" w:cs="仿宋"/>
          <w:color w:val="auto"/>
          <w:sz w:val="24"/>
          <w:highlight w:val="none"/>
          <w:lang w:val="en-US" w:eastAsia="zh-CN"/>
        </w:rPr>
        <w:t>10.已在医院办公室报名。</w:t>
      </w:r>
    </w:p>
    <w:p>
      <w:pPr>
        <w:autoSpaceDE w:val="0"/>
        <w:autoSpaceDN w:val="0"/>
        <w:spacing w:line="360" w:lineRule="auto"/>
        <w:ind w:firstLine="482" w:firstLineChars="200"/>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响应供应商必须满足以上资格要求，如出现对任意一条不满足的，资格性审查将不通过。</w:t>
      </w:r>
    </w:p>
    <w:p>
      <w:pPr>
        <w:autoSpaceDE w:val="0"/>
        <w:autoSpaceDN w:val="0"/>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color w:val="auto"/>
          <w:sz w:val="24"/>
          <w:highlight w:val="none"/>
        </w:rPr>
        <w:t>二、</w:t>
      </w:r>
      <w:r>
        <w:rPr>
          <w:rFonts w:hint="eastAsia" w:ascii="仿宋" w:hAnsi="仿宋" w:eastAsia="仿宋" w:cs="仿宋"/>
          <w:b/>
          <w:color w:val="auto"/>
          <w:sz w:val="24"/>
          <w:highlight w:val="none"/>
          <w:lang w:val="en-US" w:eastAsia="zh-CN"/>
        </w:rPr>
        <w:t>采购项目用户需求书</w:t>
      </w:r>
    </w:p>
    <w:p>
      <w:pPr>
        <w:numPr>
          <w:ilvl w:val="0"/>
          <w:numId w:val="0"/>
        </w:numPr>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en-US" w:eastAsia="zh-CN"/>
        </w:rPr>
        <w:t>（一）响应</w:t>
      </w:r>
      <w:r>
        <w:rPr>
          <w:rFonts w:hint="eastAsia" w:ascii="仿宋" w:hAnsi="仿宋" w:eastAsia="仿宋" w:cs="仿宋"/>
          <w:b/>
          <w:bCs/>
          <w:color w:val="auto"/>
          <w:sz w:val="24"/>
          <w:highlight w:val="none"/>
          <w:lang w:val="zh-CN" w:eastAsia="zh-CN"/>
        </w:rPr>
        <w:t>基本要求</w:t>
      </w:r>
    </w:p>
    <w:p>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u w:val="none" w:color="auto"/>
        </w:rPr>
        <w:t>1</w:t>
      </w:r>
      <w:r>
        <w:rPr>
          <w:rFonts w:hint="eastAsia" w:ascii="仿宋" w:hAnsi="仿宋" w:eastAsia="仿宋" w:cs="仿宋"/>
          <w:b/>
          <w:color w:val="auto"/>
          <w:sz w:val="24"/>
          <w:highlight w:val="none"/>
          <w:u w:val="none" w:color="auto"/>
          <w:lang w:val="en-US" w:eastAsia="zh-CN"/>
        </w:rPr>
        <w:t>.</w:t>
      </w:r>
      <w:r>
        <w:rPr>
          <w:rFonts w:hint="eastAsia" w:ascii="仿宋" w:hAnsi="仿宋" w:eastAsia="仿宋" w:cs="仿宋"/>
          <w:b/>
          <w:color w:val="auto"/>
          <w:sz w:val="24"/>
          <w:highlight w:val="none"/>
          <w:u w:val="none" w:color="auto"/>
        </w:rPr>
        <w:t>本项目要求中所出现的产品工艺、材料、设备或参照的型号、品牌仅作为参考建议，不作为限制性要求。“采购项目技术参数要求”中所列参数为最低要求，供应商可以提供相当于或优于</w:t>
      </w:r>
      <w:r>
        <w:rPr>
          <w:rFonts w:hint="eastAsia" w:ascii="仿宋" w:hAnsi="仿宋" w:eastAsia="仿宋" w:cs="仿宋"/>
          <w:b/>
          <w:color w:val="auto"/>
          <w:sz w:val="24"/>
          <w:highlight w:val="none"/>
          <w:u w:val="none" w:color="auto"/>
          <w:lang w:eastAsia="zh-CN"/>
        </w:rPr>
        <w:t>比选</w:t>
      </w:r>
      <w:r>
        <w:rPr>
          <w:rFonts w:hint="eastAsia" w:ascii="仿宋" w:hAnsi="仿宋" w:eastAsia="仿宋" w:cs="仿宋"/>
          <w:b/>
          <w:color w:val="auto"/>
          <w:sz w:val="24"/>
          <w:highlight w:val="none"/>
          <w:u w:val="none" w:color="auto"/>
        </w:rPr>
        <w:t>文件参数的货物</w:t>
      </w:r>
      <w:r>
        <w:rPr>
          <w:rFonts w:hint="eastAsia" w:ascii="仿宋" w:hAnsi="仿宋" w:eastAsia="仿宋" w:cs="仿宋"/>
          <w:b/>
          <w:color w:val="auto"/>
          <w:sz w:val="24"/>
          <w:highlight w:val="none"/>
          <w:u w:val="none" w:color="auto"/>
          <w:lang w:eastAsia="zh-CN"/>
        </w:rPr>
        <w:t>，</w:t>
      </w:r>
      <w:r>
        <w:rPr>
          <w:rFonts w:hint="eastAsia" w:ascii="仿宋" w:hAnsi="仿宋" w:eastAsia="仿宋" w:cs="仿宋"/>
          <w:color w:val="auto"/>
          <w:sz w:val="24"/>
          <w:highlight w:val="none"/>
        </w:rPr>
        <w:t>至少应提供对主要技术参数的响应证明材料。响应供应商所响应产品应当提供厂商说明材料，厂商说明材料包括但不限于下列文件：</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（1）响应产品的品牌、型号、详细配置参数；</w:t>
      </w:r>
    </w:p>
    <w:p>
      <w:pPr>
        <w:spacing w:line="360" w:lineRule="auto"/>
        <w:ind w:firstLine="480"/>
        <w:rPr>
          <w:rFonts w:hint="eastAsia" w:ascii="仿宋" w:hAnsi="仿宋" w:eastAsia="仿宋" w:cs="仿宋"/>
          <w:b/>
          <w:color w:val="auto"/>
          <w:sz w:val="24"/>
          <w:highlight w:val="none"/>
          <w:u w:val="none" w:color="auto"/>
          <w:lang w:eastAsia="zh-CN"/>
        </w:rPr>
      </w:pPr>
      <w:r>
        <w:rPr>
          <w:rFonts w:hint="eastAsia" w:ascii="仿宋" w:hAnsi="仿宋" w:eastAsia="仿宋" w:cs="仿宋"/>
          <w:color w:val="auto"/>
          <w:sz w:val="24"/>
          <w:highlight w:val="none"/>
        </w:rPr>
        <w:t>（2）能证实产品技术、配置参数的证明材料（包括：①能体现响应技术参数厂商的中文说明书或彩页或厂家主要技术参数说明函等；或②厂商针对本项目的产品详细配置响应表；或③厂商官方网站的技术白皮书打印稿，同时注明材料来源于官方网站的网址。以上文件均需加盖厂商或响应供应商公章）。</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2</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本采购项目中标注★号的内容为实质性要求和条件，如果响应供应商所比选货物、服务与具体要求存在不响应或者负偏离，在符合性审查时将不予通过，响应无效。</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kern w:val="0"/>
          <w:sz w:val="24"/>
          <w:highlight w:val="none"/>
          <w:u w:val="none" w:color="auto"/>
        </w:rPr>
        <w:t>3</w:t>
      </w:r>
      <w:r>
        <w:rPr>
          <w:rFonts w:hint="eastAsia" w:ascii="仿宋" w:hAnsi="仿宋" w:eastAsia="仿宋" w:cs="仿宋"/>
          <w:b/>
          <w:bCs/>
          <w:color w:val="auto"/>
          <w:kern w:val="0"/>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本采购项目中标注▲号的内容为择优要求和条件，负偏离或不响应▲号条款的响应供应商将影响综合得分。</w:t>
      </w:r>
    </w:p>
    <w:p>
      <w:pPr>
        <w:tabs>
          <w:tab w:val="left" w:pos="2880"/>
        </w:tabs>
        <w:spacing w:line="360" w:lineRule="auto"/>
        <w:ind w:left="40" w:leftChars="19" w:firstLine="480"/>
        <w:jc w:val="left"/>
        <w:rPr>
          <w:rFonts w:hint="eastAsia" w:ascii="仿宋" w:hAnsi="仿宋" w:eastAsia="仿宋" w:cs="仿宋"/>
          <w:b/>
          <w:bCs/>
          <w:color w:val="auto"/>
          <w:sz w:val="24"/>
          <w:highlight w:val="yellow"/>
          <w:u w:val="none" w:color="auto"/>
        </w:rPr>
      </w:pPr>
      <w:r>
        <w:rPr>
          <w:rFonts w:hint="eastAsia" w:ascii="仿宋" w:hAnsi="仿宋" w:eastAsia="仿宋" w:cs="仿宋"/>
          <w:b/>
          <w:bCs/>
          <w:color w:val="auto"/>
          <w:sz w:val="24"/>
          <w:highlight w:val="none"/>
          <w:u w:val="none" w:color="auto"/>
        </w:rPr>
        <w:t>4</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lang w:eastAsia="zh-CN"/>
        </w:rPr>
        <w:t>响应供应商</w:t>
      </w:r>
      <w:r>
        <w:rPr>
          <w:rFonts w:hint="eastAsia" w:ascii="仿宋" w:hAnsi="仿宋" w:eastAsia="仿宋" w:cs="仿宋"/>
          <w:b/>
          <w:bCs/>
          <w:color w:val="auto"/>
          <w:sz w:val="24"/>
          <w:highlight w:val="none"/>
          <w:u w:val="none" w:color="auto"/>
        </w:rPr>
        <w:t>须提供独立密封</w:t>
      </w:r>
      <w:r>
        <w:rPr>
          <w:rFonts w:hint="eastAsia" w:ascii="仿宋" w:hAnsi="仿宋" w:eastAsia="仿宋" w:cs="仿宋"/>
          <w:b/>
          <w:bCs/>
          <w:strike w:val="0"/>
          <w:dstrike w:val="0"/>
          <w:color w:val="auto"/>
          <w:sz w:val="24"/>
          <w:highlight w:val="none"/>
          <w:u w:val="none" w:color="auto"/>
        </w:rPr>
        <w:t>和</w:t>
      </w:r>
      <w:r>
        <w:rPr>
          <w:rFonts w:hint="eastAsia" w:ascii="仿宋" w:hAnsi="仿宋" w:eastAsia="仿宋" w:cs="仿宋"/>
          <w:b/>
          <w:bCs/>
          <w:color w:val="auto"/>
          <w:sz w:val="24"/>
          <w:highlight w:val="none"/>
          <w:u w:val="none" w:color="auto"/>
          <w:lang w:val="en-US" w:eastAsia="zh-CN"/>
        </w:rPr>
        <w:t>装订成册</w:t>
      </w:r>
      <w:r>
        <w:rPr>
          <w:rFonts w:hint="eastAsia" w:ascii="仿宋" w:hAnsi="仿宋" w:eastAsia="仿宋" w:cs="仿宋"/>
          <w:b/>
          <w:bCs/>
          <w:color w:val="auto"/>
          <w:sz w:val="24"/>
          <w:highlight w:val="none"/>
          <w:u w:val="none" w:color="auto"/>
        </w:rPr>
        <w:t>“</w:t>
      </w:r>
      <w:r>
        <w:rPr>
          <w:rFonts w:hint="eastAsia" w:ascii="仿宋" w:hAnsi="仿宋" w:eastAsia="仿宋" w:cs="仿宋"/>
          <w:b/>
          <w:bCs/>
          <w:color w:val="auto"/>
          <w:sz w:val="24"/>
          <w:highlight w:val="none"/>
          <w:u w:val="none" w:color="auto"/>
          <w:lang w:eastAsia="zh-CN"/>
        </w:rPr>
        <w:t>比选</w:t>
      </w:r>
      <w:r>
        <w:rPr>
          <w:rFonts w:hint="eastAsia" w:ascii="仿宋" w:hAnsi="仿宋" w:eastAsia="仿宋" w:cs="仿宋"/>
          <w:b/>
          <w:bCs/>
          <w:color w:val="auto"/>
          <w:sz w:val="24"/>
          <w:highlight w:val="none"/>
          <w:u w:val="none" w:color="auto"/>
        </w:rPr>
        <w:t>响应文件”</w:t>
      </w:r>
      <w:r>
        <w:rPr>
          <w:rFonts w:hint="eastAsia" w:ascii="仿宋" w:hAnsi="仿宋" w:eastAsia="仿宋" w:cs="仿宋"/>
          <w:b/>
          <w:bCs/>
          <w:color w:val="auto"/>
          <w:sz w:val="24"/>
          <w:highlight w:val="none"/>
          <w:u w:val="none" w:color="auto"/>
          <w:lang w:eastAsia="zh-CN"/>
        </w:rPr>
        <w:t>一式两份</w:t>
      </w:r>
      <w:r>
        <w:rPr>
          <w:rFonts w:hint="eastAsia" w:ascii="仿宋" w:hAnsi="仿宋" w:eastAsia="仿宋" w:cs="仿宋"/>
          <w:b/>
          <w:bCs/>
          <w:color w:val="auto"/>
          <w:sz w:val="24"/>
          <w:highlight w:val="none"/>
          <w:u w:val="none" w:color="auto"/>
        </w:rPr>
        <w:t>，</w:t>
      </w:r>
      <w:r>
        <w:rPr>
          <w:rFonts w:hint="eastAsia" w:ascii="仿宋" w:hAnsi="仿宋" w:eastAsia="仿宋" w:cs="仿宋"/>
          <w:b/>
          <w:color w:val="auto"/>
          <w:sz w:val="24"/>
        </w:rPr>
        <w:t>报价单一份</w:t>
      </w:r>
      <w:r>
        <w:rPr>
          <w:rFonts w:hint="eastAsia" w:ascii="仿宋" w:hAnsi="仿宋" w:eastAsia="仿宋" w:cs="仿宋"/>
          <w:b/>
          <w:color w:val="auto"/>
          <w:sz w:val="24"/>
          <w:lang w:eastAsia="zh-CN"/>
        </w:rPr>
        <w:t>另外</w:t>
      </w:r>
      <w:r>
        <w:rPr>
          <w:rFonts w:hint="eastAsia" w:ascii="仿宋" w:hAnsi="仿宋" w:eastAsia="仿宋" w:cs="仿宋"/>
          <w:b/>
          <w:color w:val="auto"/>
          <w:sz w:val="24"/>
        </w:rPr>
        <w:t>单独封装</w:t>
      </w:r>
      <w:r>
        <w:rPr>
          <w:rFonts w:hint="eastAsia" w:ascii="仿宋" w:hAnsi="仿宋" w:eastAsia="仿宋" w:cs="仿宋"/>
          <w:b/>
          <w:color w:val="auto"/>
          <w:sz w:val="24"/>
          <w:lang w:eastAsia="zh-CN"/>
        </w:rPr>
        <w:t>，</w:t>
      </w:r>
      <w:r>
        <w:rPr>
          <w:rFonts w:hint="eastAsia" w:ascii="仿宋" w:hAnsi="仿宋" w:eastAsia="仿宋" w:cs="仿宋"/>
          <w:b/>
          <w:bCs/>
          <w:color w:val="auto"/>
          <w:sz w:val="24"/>
          <w:highlight w:val="none"/>
          <w:u w:val="none" w:color="auto"/>
        </w:rPr>
        <w:t>否则其响应文件将被拒收</w:t>
      </w:r>
      <w:r>
        <w:rPr>
          <w:rFonts w:hint="eastAsia" w:ascii="仿宋" w:hAnsi="仿宋" w:eastAsia="仿宋" w:cs="仿宋"/>
          <w:b/>
          <w:bCs/>
          <w:color w:val="auto"/>
          <w:sz w:val="24"/>
          <w:highlight w:val="none"/>
          <w:u w:val="none" w:color="auto"/>
          <w:lang w:eastAsia="zh-CN"/>
        </w:rPr>
        <w:t>。</w:t>
      </w:r>
      <w:r>
        <w:rPr>
          <w:rFonts w:hint="eastAsia" w:ascii="仿宋" w:hAnsi="仿宋" w:eastAsia="仿宋" w:cs="仿宋"/>
          <w:b/>
          <w:color w:val="FF0000"/>
          <w:sz w:val="24"/>
          <w:highlight w:val="none"/>
        </w:rPr>
        <w:t>同时要求以U盘的形式提供</w:t>
      </w:r>
      <w:r>
        <w:rPr>
          <w:rFonts w:hint="eastAsia" w:ascii="仿宋" w:hAnsi="仿宋" w:eastAsia="仿宋" w:cs="仿宋"/>
          <w:b/>
          <w:color w:val="FF0000"/>
          <w:sz w:val="24"/>
          <w:highlight w:val="none"/>
          <w:lang w:eastAsia="zh-CN"/>
        </w:rPr>
        <w:t>响应文件</w:t>
      </w:r>
      <w:r>
        <w:rPr>
          <w:rFonts w:hint="eastAsia" w:ascii="仿宋" w:hAnsi="仿宋" w:eastAsia="仿宋" w:cs="仿宋"/>
          <w:b/>
          <w:color w:val="FF0000"/>
          <w:sz w:val="24"/>
          <w:highlight w:val="none"/>
        </w:rPr>
        <w:t>盖章件（红章）扫描版一份，跟</w:t>
      </w:r>
      <w:r>
        <w:rPr>
          <w:rFonts w:hint="eastAsia" w:ascii="仿宋" w:hAnsi="仿宋" w:eastAsia="仿宋" w:cs="仿宋"/>
          <w:b/>
          <w:color w:val="FF0000"/>
          <w:sz w:val="24"/>
          <w:highlight w:val="none"/>
          <w:lang w:eastAsia="zh-CN"/>
        </w:rPr>
        <w:t>响应文件</w:t>
      </w:r>
      <w:r>
        <w:rPr>
          <w:rFonts w:hint="eastAsia" w:ascii="仿宋" w:hAnsi="仿宋" w:eastAsia="仿宋" w:cs="仿宋"/>
          <w:b/>
          <w:color w:val="FF0000"/>
          <w:sz w:val="24"/>
          <w:highlight w:val="none"/>
        </w:rPr>
        <w:t>一起密封递交。必须确保纸质文件和电子</w:t>
      </w:r>
      <w:r>
        <w:rPr>
          <w:rFonts w:hint="eastAsia" w:ascii="仿宋" w:hAnsi="仿宋" w:eastAsia="仿宋" w:cs="仿宋"/>
          <w:b/>
          <w:color w:val="FF0000"/>
          <w:sz w:val="24"/>
          <w:highlight w:val="none"/>
          <w:lang w:eastAsia="zh-CN"/>
        </w:rPr>
        <w:t>响应文件</w:t>
      </w:r>
      <w:r>
        <w:rPr>
          <w:rFonts w:hint="eastAsia" w:ascii="仿宋" w:hAnsi="仿宋" w:eastAsia="仿宋" w:cs="仿宋"/>
          <w:b/>
          <w:color w:val="FF0000"/>
          <w:sz w:val="24"/>
          <w:highlight w:val="none"/>
        </w:rPr>
        <w:t>内容一致，如出现不一致的，以纸质版为准。</w:t>
      </w:r>
    </w:p>
    <w:p>
      <w:pPr>
        <w:autoSpaceDE w:val="0"/>
        <w:autoSpaceDN w:val="0"/>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（二）</w:t>
      </w:r>
      <w:r>
        <w:rPr>
          <w:rFonts w:hint="eastAsia" w:ascii="仿宋" w:hAnsi="仿宋" w:eastAsia="仿宋" w:cs="仿宋"/>
          <w:b/>
          <w:color w:val="auto"/>
          <w:sz w:val="24"/>
          <w:highlight w:val="none"/>
        </w:rPr>
        <w:t>项目概况</w:t>
      </w:r>
    </w:p>
    <w:p>
      <w:pPr>
        <w:autoSpaceDE w:val="0"/>
        <w:autoSpaceDN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采购</w:t>
      </w:r>
      <w:r>
        <w:rPr>
          <w:rFonts w:hint="eastAsia" w:ascii="仿宋" w:hAnsi="仿宋" w:eastAsia="仿宋" w:cs="仿宋"/>
          <w:color w:val="auto"/>
          <w:sz w:val="24"/>
          <w:highlight w:val="none"/>
          <w:lang w:eastAsia="zh-CN"/>
        </w:rPr>
        <w:t>内容</w:t>
      </w:r>
    </w:p>
    <w:p>
      <w:pPr>
        <w:autoSpaceDE w:val="0"/>
        <w:autoSpaceDN w:val="0"/>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为规范医院招标采购工作，采购人拟通过比选方式选取招标采购代理机构，承担医院货物、服务、工程项目等各类项目的招标采购代理服务、专家论证服务。</w:t>
      </w:r>
    </w:p>
    <w:p>
      <w:pPr>
        <w:autoSpaceDE w:val="0"/>
        <w:autoSpaceDN w:val="0"/>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项目需求</w:t>
      </w:r>
    </w:p>
    <w:p>
      <w:p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服务期内，采购人根据医院采购内控管理及项目情况，从本次中选的代理机构中，按照“一事一选”随机抽取的方式抽取代理机构，委托办理具体项目。</w:t>
      </w:r>
    </w:p>
    <w:p>
      <w:p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（1）委托项目类型（包括但不限于）：</w:t>
      </w:r>
    </w:p>
    <w:p>
      <w:p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①招标采购代理服务：货物、服务、工程采购项目，包括政府采购、医院内控制度规定需委托的招标采购项目和产权交易等项目等；</w:t>
      </w:r>
    </w:p>
    <w:p>
      <w:p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②</w:t>
      </w:r>
      <w:r>
        <w:rPr>
          <w:rFonts w:hint="default" w:ascii="仿宋" w:hAnsi="仿宋" w:eastAsia="仿宋" w:cs="仿宋"/>
          <w:color w:val="auto"/>
          <w:sz w:val="24"/>
          <w:highlight w:val="none"/>
          <w:lang w:val="en-US" w:eastAsia="zh-CN"/>
        </w:rPr>
        <w:t>专家论证服务</w:t>
      </w:r>
      <w:r>
        <w:rPr>
          <w:rFonts w:hint="eastAsia" w:ascii="仿宋" w:hAnsi="仿宋" w:eastAsia="仿宋" w:cs="仿宋"/>
          <w:color w:val="auto"/>
          <w:sz w:val="24"/>
          <w:highlight w:val="none"/>
          <w:lang w:val="en-US" w:eastAsia="zh-CN"/>
        </w:rPr>
        <w:t>项目；</w:t>
      </w:r>
    </w:p>
    <w:p>
      <w:p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（2）委托项目特点与实施要求</w:t>
      </w:r>
    </w:p>
    <w:p>
      <w:p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体委托项目的预算金额、采购规模及委托时间不固定，具有不确定性和不均衡性。同时，为确保服务质量与效率，中选的招标采购代理机构须充分理解本项目的上述特点，制定完善的内部管理机制及风险应对措施，以应对多项目并行的情形。包括但不限于建立针对本院服务的快速响应机制与专职服务团队人员安排，确保在接受随机委托后，能按约定时限高质量启动并完成各项代理工作，针对技术复杂、预算金额较高或情况特殊的项目委托，应主动提醒并协助采购人履行必要的论证工作，以降低项目实施风险。</w:t>
      </w:r>
    </w:p>
    <w:p>
      <w:p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（3）委托范围：主要为采购人预算金额≥20万元的自主采购项目、政府采购项目、依法必须招标的工程建设项目及产权交易项目等（须为上级政策法规文件允许采购人委托</w:t>
      </w:r>
      <w:r>
        <w:rPr>
          <w:rFonts w:hint="eastAsia" w:ascii="仿宋" w:hAnsi="仿宋" w:eastAsia="仿宋" w:cs="仿宋"/>
          <w:color w:val="auto"/>
          <w:sz w:val="24"/>
          <w:highlight w:val="none"/>
        </w:rPr>
        <w:t>招标采购</w:t>
      </w:r>
      <w:r>
        <w:rPr>
          <w:rFonts w:hint="eastAsia" w:ascii="仿宋" w:hAnsi="仿宋" w:eastAsia="仿宋" w:cs="仿宋"/>
          <w:color w:val="auto"/>
          <w:sz w:val="24"/>
          <w:highlight w:val="none"/>
          <w:lang w:val="en-US" w:eastAsia="zh-CN"/>
        </w:rPr>
        <w:t>代理机构执行的采购项目）；采购人如因工作需要，＜20万元的采购项目需委托时，代理机构不得拒绝接收。</w:t>
      </w:r>
    </w:p>
    <w:p>
      <w:p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3.采购数量：本项目选取5家招标采购代理机构。</w:t>
      </w:r>
    </w:p>
    <w:p>
      <w:p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4.委托项目分配方式：具体项目的委托，按照“一事一选”原则通过院内随机抽取方式确定招标采购代理机构。</w:t>
      </w:r>
    </w:p>
    <w:p>
      <w:pPr>
        <w:autoSpaceDE w:val="0"/>
        <w:autoSpaceDN w:val="0"/>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（三）项目内容</w:t>
      </w:r>
    </w:p>
    <w:p>
      <w:pPr>
        <w:autoSpaceDE w:val="0"/>
        <w:autoSpaceDN w:val="0"/>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服务范围</w:t>
      </w:r>
    </w:p>
    <w:p>
      <w:pPr>
        <w:autoSpaceDE w:val="0"/>
        <w:autoSpaceDN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招标</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代理</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范围：</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①</w:t>
      </w:r>
      <w:r>
        <w:rPr>
          <w:rFonts w:hint="eastAsia" w:ascii="仿宋" w:hAnsi="仿宋" w:eastAsia="仿宋" w:cs="仿宋"/>
          <w:color w:val="auto"/>
          <w:sz w:val="24"/>
          <w:highlight w:val="none"/>
        </w:rPr>
        <w:t>惠州市第一</w:t>
      </w:r>
      <w:r>
        <w:rPr>
          <w:rFonts w:hint="eastAsia" w:ascii="仿宋" w:hAnsi="仿宋" w:eastAsia="仿宋" w:cs="仿宋"/>
          <w:color w:val="auto"/>
          <w:sz w:val="24"/>
          <w:highlight w:val="none"/>
          <w:lang w:eastAsia="zh-CN"/>
        </w:rPr>
        <w:t>妇幼保健</w:t>
      </w:r>
      <w:r>
        <w:rPr>
          <w:rFonts w:hint="eastAsia" w:ascii="仿宋" w:hAnsi="仿宋" w:eastAsia="仿宋" w:cs="仿宋"/>
          <w:color w:val="auto"/>
          <w:sz w:val="24"/>
          <w:highlight w:val="none"/>
        </w:rPr>
        <w:t>院</w:t>
      </w:r>
      <w:r>
        <w:rPr>
          <w:rFonts w:hint="eastAsia" w:ascii="仿宋" w:hAnsi="仿宋" w:eastAsia="仿宋" w:cs="仿宋"/>
          <w:color w:val="auto"/>
          <w:sz w:val="24"/>
          <w:highlight w:val="none"/>
          <w:lang w:eastAsia="zh-CN"/>
        </w:rPr>
        <w:t>实施的</w:t>
      </w:r>
      <w:r>
        <w:rPr>
          <w:rFonts w:hint="eastAsia" w:ascii="仿宋" w:hAnsi="仿宋" w:eastAsia="仿宋" w:cs="仿宋"/>
          <w:color w:val="auto"/>
          <w:sz w:val="24"/>
          <w:highlight w:val="none"/>
        </w:rPr>
        <w:t>政府采购项目；</w:t>
      </w:r>
    </w:p>
    <w:p>
      <w:pPr>
        <w:numPr>
          <w:ilvl w:val="0"/>
          <w:numId w:val="0"/>
        </w:numPr>
        <w:autoSpaceDE w:val="0"/>
        <w:autoSpaceDN w:val="0"/>
        <w:spacing w:line="360" w:lineRule="auto"/>
        <w:ind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②医院内控制度规定</w:t>
      </w:r>
      <w:r>
        <w:rPr>
          <w:rFonts w:hint="eastAsia" w:ascii="仿宋" w:hAnsi="仿宋" w:eastAsia="仿宋" w:cs="仿宋"/>
          <w:color w:val="auto"/>
          <w:sz w:val="24"/>
          <w:highlight w:val="none"/>
        </w:rPr>
        <w:t>需委托的招标采购项目</w:t>
      </w:r>
      <w:r>
        <w:rPr>
          <w:rFonts w:hint="eastAsia" w:ascii="仿宋" w:hAnsi="仿宋" w:eastAsia="仿宋" w:cs="仿宋"/>
          <w:color w:val="auto"/>
          <w:sz w:val="24"/>
          <w:highlight w:val="none"/>
          <w:lang w:val="en-US" w:eastAsia="zh-CN"/>
        </w:rPr>
        <w:t>和产权交易等项目</w:t>
      </w:r>
      <w:r>
        <w:rPr>
          <w:rFonts w:hint="eastAsia" w:ascii="仿宋" w:hAnsi="仿宋" w:eastAsia="仿宋" w:cs="仿宋"/>
          <w:color w:val="auto"/>
          <w:sz w:val="24"/>
          <w:highlight w:val="none"/>
        </w:rPr>
        <w:t>。</w:t>
      </w:r>
    </w:p>
    <w:p>
      <w:pPr>
        <w:numPr>
          <w:ilvl w:val="0"/>
          <w:numId w:val="0"/>
        </w:numPr>
        <w:autoSpaceDE w:val="0"/>
        <w:autoSpaceDN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（2）专家论证服务：</w:t>
      </w:r>
      <w:r>
        <w:rPr>
          <w:rFonts w:hint="default" w:ascii="仿宋" w:hAnsi="仿宋" w:eastAsia="仿宋" w:cs="仿宋"/>
          <w:color w:val="auto"/>
          <w:sz w:val="24"/>
          <w:highlight w:val="none"/>
          <w:lang w:val="en-US" w:eastAsia="zh-CN"/>
        </w:rPr>
        <w:t>采购进口产品论证、招标/采购文件论证、采购需求论证等。</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（3）技术咨询服务：服务期内，向采购人提供专业的采购业务咨询服务。</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2.服务内容及要求</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委托项目内容（包括但不限于）：招标采购代理机构在接受具体项目委托后，应按时高效完成以下工作：</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413"/>
        <w:gridCol w:w="6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39" w:type="dxa"/>
            <w:vAlign w:val="center"/>
          </w:tcPr>
          <w:p>
            <w:pPr>
              <w:pStyle w:val="2"/>
              <w:spacing w:line="360" w:lineRule="auto"/>
              <w:jc w:val="center"/>
              <w:rPr>
                <w:rFonts w:hint="eastAsia" w:ascii="仿宋" w:hAnsi="仿宋" w:eastAsia="仿宋" w:cs="仿宋"/>
                <w:color w:val="auto"/>
                <w:sz w:val="24"/>
                <w:highlight w:val="none"/>
                <w:vertAlign w:val="baseline"/>
                <w:lang w:val="en-US" w:eastAsia="zh-CN"/>
              </w:rPr>
            </w:pPr>
            <w:r>
              <w:rPr>
                <w:rFonts w:hint="eastAsia" w:ascii="仿宋" w:hAnsi="仿宋" w:eastAsia="仿宋" w:cs="仿宋"/>
                <w:color w:val="auto"/>
                <w:sz w:val="24"/>
                <w:highlight w:val="none"/>
                <w:lang w:val="en-US" w:eastAsia="zh-CN"/>
              </w:rPr>
              <w:t>序号</w:t>
            </w:r>
          </w:p>
        </w:tc>
        <w:tc>
          <w:tcPr>
            <w:tcW w:w="1413" w:type="dxa"/>
            <w:vAlign w:val="center"/>
          </w:tcPr>
          <w:p>
            <w:pPr>
              <w:pStyle w:val="2"/>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vertAlign w:val="baseline"/>
                <w:lang w:val="en-US" w:eastAsia="zh-CN"/>
              </w:rPr>
              <w:t>内容、要求</w:t>
            </w:r>
          </w:p>
        </w:tc>
        <w:tc>
          <w:tcPr>
            <w:tcW w:w="6370" w:type="dxa"/>
            <w:vAlign w:val="center"/>
          </w:tcPr>
          <w:p>
            <w:pPr>
              <w:pStyle w:val="2"/>
              <w:numPr>
                <w:ilvl w:val="0"/>
                <w:numId w:val="0"/>
              </w:numPr>
              <w:spacing w:line="360" w:lineRule="auto"/>
              <w:jc w:val="center"/>
              <w:rPr>
                <w:rFonts w:hint="eastAsia" w:ascii="仿宋" w:hAnsi="仿宋" w:eastAsia="仿宋" w:cs="仿宋"/>
                <w:color w:val="auto"/>
                <w:sz w:val="24"/>
                <w:highlight w:val="none"/>
                <w:vertAlign w:val="baseline"/>
                <w:lang w:val="en-US" w:eastAsia="zh-CN"/>
              </w:rPr>
            </w:pPr>
            <w:r>
              <w:rPr>
                <w:rFonts w:hint="eastAsia" w:ascii="仿宋" w:hAnsi="仿宋" w:eastAsia="仿宋" w:cs="仿宋"/>
                <w:color w:val="auto"/>
                <w:sz w:val="24"/>
                <w:highlight w:val="none"/>
                <w:lang w:val="en-US" w:eastAsia="zh-CN"/>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pPr>
              <w:pStyle w:val="2"/>
              <w:numPr>
                <w:ilvl w:val="0"/>
                <w:numId w:val="0"/>
              </w:num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招标采购代理服务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restart"/>
            <w:vAlign w:val="center"/>
          </w:tcPr>
          <w:p>
            <w:pPr>
              <w:pStyle w:val="2"/>
              <w:jc w:val="center"/>
              <w:rPr>
                <w:rFonts w:hint="default" w:ascii="仿宋" w:hAnsi="仿宋" w:eastAsia="仿宋" w:cs="仿宋"/>
                <w:color w:val="auto"/>
                <w:sz w:val="24"/>
                <w:highlight w:val="none"/>
                <w:vertAlign w:val="baseline"/>
                <w:lang w:val="en-US" w:eastAsia="zh-CN"/>
              </w:rPr>
            </w:pPr>
            <w:r>
              <w:rPr>
                <w:rFonts w:hint="eastAsia" w:ascii="仿宋" w:hAnsi="仿宋" w:eastAsia="仿宋" w:cs="仿宋"/>
                <w:color w:val="auto"/>
                <w:sz w:val="24"/>
                <w:highlight w:val="none"/>
                <w:vertAlign w:val="baseline"/>
                <w:lang w:val="en-US" w:eastAsia="zh-CN"/>
              </w:rPr>
              <w:t>1</w:t>
            </w:r>
          </w:p>
        </w:tc>
        <w:tc>
          <w:tcPr>
            <w:tcW w:w="1413" w:type="dxa"/>
            <w:vAlign w:val="center"/>
          </w:tcPr>
          <w:p>
            <w:pPr>
              <w:pStyle w:val="2"/>
              <w:spacing w:line="360" w:lineRule="auto"/>
              <w:jc w:val="center"/>
              <w:rPr>
                <w:rFonts w:hint="eastAsia" w:ascii="仿宋" w:hAnsi="仿宋" w:eastAsia="仿宋" w:cs="仿宋"/>
                <w:color w:val="auto"/>
                <w:sz w:val="24"/>
                <w:highlight w:val="none"/>
                <w:vertAlign w:val="baseline"/>
                <w:lang w:val="en-US" w:eastAsia="zh-CN"/>
              </w:rPr>
            </w:pPr>
            <w:r>
              <w:rPr>
                <w:rFonts w:hint="eastAsia" w:ascii="仿宋" w:hAnsi="仿宋" w:eastAsia="仿宋" w:cs="仿宋"/>
                <w:color w:val="auto"/>
                <w:sz w:val="24"/>
                <w:highlight w:val="none"/>
                <w:lang w:val="en-US" w:eastAsia="zh-CN"/>
              </w:rPr>
              <w:t>服务内容</w:t>
            </w:r>
          </w:p>
        </w:tc>
        <w:tc>
          <w:tcPr>
            <w:tcW w:w="6370" w:type="dxa"/>
          </w:tcPr>
          <w:p>
            <w:pPr>
              <w:pStyle w:val="2"/>
              <w:numPr>
                <w:ilvl w:val="0"/>
                <w:numId w:val="0"/>
              </w:num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（1）提供：与采购业务相关的法律法规及政策文件咨询;采购项目代理服务及相关工作的咨询服务。</w:t>
            </w:r>
          </w:p>
          <w:p>
            <w:pPr>
              <w:pStyle w:val="2"/>
              <w:numPr>
                <w:ilvl w:val="0"/>
                <w:numId w:val="0"/>
              </w:num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（2）审核采购人需求，在不违反法律法规文件规定的前提下采纳采购人的意见，对不合法、不合规、不合理的需求提出修改建议。</w:t>
            </w:r>
          </w:p>
          <w:p>
            <w:pPr>
              <w:pStyle w:val="2"/>
              <w:numPr>
                <w:ilvl w:val="0"/>
                <w:numId w:val="0"/>
              </w:num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（3）编制、审核、印制、发售、澄清、解释采购文件；</w:t>
            </w:r>
          </w:p>
          <w:p>
            <w:pPr>
              <w:pStyle w:val="2"/>
              <w:numPr>
                <w:ilvl w:val="0"/>
                <w:numId w:val="0"/>
              </w:num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（4）制定招标/评审方法、步骤、标准；</w:t>
            </w:r>
          </w:p>
          <w:p>
            <w:pPr>
              <w:pStyle w:val="2"/>
              <w:numPr>
                <w:ilvl w:val="0"/>
                <w:numId w:val="0"/>
              </w:num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（5）政府采购项目，</w:t>
            </w:r>
            <w:r>
              <w:rPr>
                <w:rFonts w:hint="default" w:ascii="仿宋" w:hAnsi="仿宋" w:eastAsia="仿宋" w:cs="仿宋"/>
                <w:color w:val="auto"/>
                <w:sz w:val="24"/>
                <w:highlight w:val="none"/>
                <w:lang w:val="en-US" w:eastAsia="zh-CN"/>
              </w:rPr>
              <w:t>采购公告前负责组织专家对采购文件</w:t>
            </w:r>
            <w:r>
              <w:rPr>
                <w:rFonts w:hint="eastAsia" w:ascii="仿宋" w:hAnsi="仿宋" w:eastAsia="仿宋" w:cs="仿宋"/>
                <w:color w:val="auto"/>
                <w:sz w:val="24"/>
                <w:highlight w:val="none"/>
                <w:lang w:val="en-US" w:eastAsia="zh-CN"/>
              </w:rPr>
              <w:t>进行</w:t>
            </w:r>
            <w:r>
              <w:rPr>
                <w:rFonts w:hint="default" w:ascii="仿宋" w:hAnsi="仿宋" w:eastAsia="仿宋" w:cs="仿宋"/>
                <w:color w:val="auto"/>
                <w:sz w:val="24"/>
                <w:highlight w:val="none"/>
                <w:lang w:val="en-US" w:eastAsia="zh-CN"/>
              </w:rPr>
              <w:t>论证</w:t>
            </w:r>
            <w:r>
              <w:rPr>
                <w:rFonts w:hint="eastAsia" w:ascii="仿宋" w:hAnsi="仿宋" w:eastAsia="仿宋" w:cs="仿宋"/>
                <w:color w:val="auto"/>
                <w:sz w:val="24"/>
                <w:highlight w:val="none"/>
                <w:lang w:val="en-US" w:eastAsia="zh-CN"/>
              </w:rPr>
              <w:t>；</w:t>
            </w:r>
          </w:p>
          <w:p>
            <w:pPr>
              <w:pStyle w:val="2"/>
              <w:numPr>
                <w:ilvl w:val="0"/>
                <w:numId w:val="0"/>
              </w:num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（6）依法发布采购公告（在政府采购监督管理部门指定媒体上发布采购信息公告，须保持各媒体公告内容的一致性）和发售采购文件，组织接收投标人/供应商报名及接收申请资料，审查投标人/供应商报名资格；</w:t>
            </w:r>
          </w:p>
          <w:p>
            <w:pPr>
              <w:pStyle w:val="2"/>
              <w:numPr>
                <w:ilvl w:val="0"/>
                <w:numId w:val="0"/>
              </w:num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（7）供应商资格预审（如有）；</w:t>
            </w:r>
          </w:p>
          <w:p>
            <w:pPr>
              <w:pStyle w:val="2"/>
              <w:numPr>
                <w:ilvl w:val="0"/>
                <w:numId w:val="0"/>
              </w:num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（8）依法按程序随机抽取专家，组建评标/评审委员会，并严格执行回避制度（</w:t>
            </w:r>
            <w:r>
              <w:rPr>
                <w:rFonts w:hint="default" w:ascii="仿宋" w:hAnsi="仿宋" w:eastAsia="仿宋" w:cs="仿宋"/>
                <w:color w:val="auto"/>
                <w:sz w:val="24"/>
                <w:highlight w:val="none"/>
                <w:lang w:val="en-US" w:eastAsia="zh-CN"/>
              </w:rPr>
              <w:t>参与</w:t>
            </w:r>
            <w:r>
              <w:rPr>
                <w:rFonts w:hint="eastAsia" w:ascii="仿宋" w:hAnsi="仿宋" w:eastAsia="仿宋" w:cs="仿宋"/>
                <w:color w:val="auto"/>
                <w:sz w:val="24"/>
                <w:highlight w:val="none"/>
                <w:lang w:val="en-US" w:eastAsia="zh-CN"/>
              </w:rPr>
              <w:t>前期</w:t>
            </w:r>
            <w:r>
              <w:rPr>
                <w:rFonts w:hint="default" w:ascii="仿宋" w:hAnsi="仿宋" w:eastAsia="仿宋" w:cs="仿宋"/>
                <w:color w:val="auto"/>
                <w:sz w:val="24"/>
                <w:highlight w:val="none"/>
                <w:lang w:val="en-US" w:eastAsia="zh-CN"/>
              </w:rPr>
              <w:t>进口产品论证、</w:t>
            </w:r>
            <w:r>
              <w:rPr>
                <w:rFonts w:hint="eastAsia" w:ascii="仿宋" w:hAnsi="仿宋" w:eastAsia="仿宋" w:cs="仿宋"/>
                <w:color w:val="auto"/>
                <w:sz w:val="24"/>
                <w:highlight w:val="none"/>
                <w:lang w:val="en-US" w:eastAsia="zh-CN"/>
              </w:rPr>
              <w:t>需求</w:t>
            </w:r>
            <w:r>
              <w:rPr>
                <w:rFonts w:hint="default" w:ascii="仿宋" w:hAnsi="仿宋" w:eastAsia="仿宋" w:cs="仿宋"/>
                <w:color w:val="auto"/>
                <w:sz w:val="24"/>
                <w:highlight w:val="none"/>
                <w:lang w:val="en-US" w:eastAsia="zh-CN"/>
              </w:rPr>
              <w:t>论证、招标/采购文件论证的专家</w:t>
            </w:r>
            <w:r>
              <w:rPr>
                <w:rFonts w:hint="eastAsia" w:ascii="仿宋" w:hAnsi="仿宋" w:eastAsia="仿宋" w:cs="仿宋"/>
                <w:color w:val="auto"/>
                <w:sz w:val="24"/>
                <w:highlight w:val="none"/>
                <w:lang w:val="en-US" w:eastAsia="zh-CN"/>
              </w:rPr>
              <w:t>不得再担任同一个采购项目的评审专家）；</w:t>
            </w:r>
          </w:p>
          <w:p>
            <w:pPr>
              <w:pStyle w:val="2"/>
              <w:numPr>
                <w:ilvl w:val="0"/>
                <w:numId w:val="0"/>
              </w:num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w:t>
            </w:r>
            <w:r>
              <w:rPr>
                <w:rFonts w:hint="default" w:ascii="仿宋" w:hAnsi="仿宋" w:eastAsia="仿宋" w:cs="仿宋"/>
                <w:color w:val="auto"/>
                <w:sz w:val="24"/>
                <w:highlight w:val="none"/>
                <w:lang w:val="en-US" w:eastAsia="zh-CN"/>
              </w:rPr>
              <w:t>接收</w:t>
            </w:r>
            <w:r>
              <w:rPr>
                <w:rFonts w:hint="eastAsia" w:ascii="仿宋" w:hAnsi="仿宋" w:eastAsia="仿宋" w:cs="仿宋"/>
                <w:color w:val="auto"/>
                <w:sz w:val="24"/>
                <w:highlight w:val="none"/>
                <w:lang w:val="en-US" w:eastAsia="zh-CN"/>
              </w:rPr>
              <w:t>、</w:t>
            </w:r>
            <w:r>
              <w:rPr>
                <w:rFonts w:hint="default" w:ascii="仿宋" w:hAnsi="仿宋" w:eastAsia="仿宋" w:cs="仿宋"/>
                <w:color w:val="auto"/>
                <w:sz w:val="24"/>
                <w:highlight w:val="none"/>
                <w:lang w:val="en-US" w:eastAsia="zh-CN"/>
              </w:rPr>
              <w:t>保管投标人递交的投标/响应文件</w:t>
            </w:r>
            <w:r>
              <w:rPr>
                <w:rFonts w:hint="eastAsia" w:ascii="仿宋" w:hAnsi="仿宋" w:eastAsia="仿宋" w:cs="仿宋"/>
                <w:color w:val="auto"/>
                <w:sz w:val="24"/>
                <w:highlight w:val="none"/>
                <w:lang w:val="en-US" w:eastAsia="zh-CN"/>
              </w:rPr>
              <w:t>，</w:t>
            </w:r>
            <w:r>
              <w:rPr>
                <w:rFonts w:hint="default" w:ascii="仿宋" w:hAnsi="仿宋" w:eastAsia="仿宋" w:cs="仿宋"/>
                <w:color w:val="auto"/>
                <w:sz w:val="24"/>
                <w:highlight w:val="none"/>
                <w:lang w:val="en-US" w:eastAsia="zh-CN"/>
              </w:rPr>
              <w:t>落实评审地点，</w:t>
            </w:r>
            <w:r>
              <w:rPr>
                <w:rFonts w:hint="eastAsia" w:ascii="仿宋" w:hAnsi="仿宋" w:eastAsia="仿宋" w:cs="仿宋"/>
                <w:color w:val="auto"/>
                <w:sz w:val="24"/>
                <w:highlight w:val="none"/>
                <w:lang w:val="en-US" w:eastAsia="zh-CN"/>
              </w:rPr>
              <w:t>组织开标、评审活动，开评标现场按规定要求查询投标人征信情况，维护现场秩序，完整</w:t>
            </w:r>
            <w:r>
              <w:rPr>
                <w:rFonts w:hint="default" w:ascii="仿宋" w:hAnsi="仿宋" w:eastAsia="仿宋" w:cs="仿宋"/>
                <w:color w:val="auto"/>
                <w:sz w:val="24"/>
                <w:highlight w:val="none"/>
                <w:lang w:val="en-US" w:eastAsia="zh-CN"/>
              </w:rPr>
              <w:t>记录评审现场相关情况</w:t>
            </w:r>
            <w:r>
              <w:rPr>
                <w:rFonts w:hint="eastAsia" w:ascii="仿宋" w:hAnsi="仿宋" w:eastAsia="仿宋" w:cs="仿宋"/>
                <w:color w:val="auto"/>
                <w:sz w:val="24"/>
                <w:highlight w:val="none"/>
                <w:lang w:val="en-US" w:eastAsia="zh-CN"/>
              </w:rPr>
              <w:t>，</w:t>
            </w:r>
            <w:r>
              <w:rPr>
                <w:rFonts w:hint="default" w:ascii="仿宋" w:hAnsi="仿宋" w:eastAsia="仿宋" w:cs="仿宋"/>
                <w:color w:val="auto"/>
                <w:sz w:val="24"/>
                <w:highlight w:val="none"/>
                <w:lang w:val="en-US" w:eastAsia="zh-CN"/>
              </w:rPr>
              <w:t>并完整出具详细的评审报告</w:t>
            </w:r>
            <w:r>
              <w:rPr>
                <w:rFonts w:hint="eastAsia" w:ascii="仿宋" w:hAnsi="仿宋" w:eastAsia="仿宋" w:cs="仿宋"/>
                <w:color w:val="auto"/>
                <w:sz w:val="24"/>
                <w:highlight w:val="none"/>
                <w:lang w:val="en-US" w:eastAsia="zh-CN"/>
              </w:rPr>
              <w:t>；</w:t>
            </w:r>
          </w:p>
          <w:p>
            <w:pPr>
              <w:pStyle w:val="2"/>
              <w:numPr>
                <w:ilvl w:val="0"/>
                <w:numId w:val="0"/>
              </w:num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（10）协助采购人严格做好供应商资格审查工作，依据政府采购相关法律法规及政策要求，核查供应商之间是否存在控股、管理等利益关联关系，防范围标串标等非法违规行为。</w:t>
            </w:r>
          </w:p>
          <w:p>
            <w:pPr>
              <w:pStyle w:val="2"/>
              <w:numPr>
                <w:ilvl w:val="0"/>
                <w:numId w:val="0"/>
              </w:numPr>
              <w:spacing w:line="360" w:lineRule="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（11）依法在指定媒体上发布中标/成交公告，在规定时间内编制、发放中标/成交通知书；</w:t>
            </w:r>
          </w:p>
          <w:p>
            <w:pPr>
              <w:pStyle w:val="2"/>
              <w:numPr>
                <w:ilvl w:val="0"/>
                <w:numId w:val="0"/>
              </w:num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（12）受理并答复供应商的询问和质疑，</w:t>
            </w:r>
            <w:r>
              <w:rPr>
                <w:rFonts w:hint="default" w:ascii="仿宋" w:hAnsi="仿宋" w:eastAsia="仿宋" w:cs="仿宋"/>
                <w:color w:val="auto"/>
                <w:sz w:val="24"/>
                <w:highlight w:val="none"/>
                <w:lang w:val="en-US" w:eastAsia="zh-CN"/>
              </w:rPr>
              <w:t>协助</w:t>
            </w:r>
            <w:r>
              <w:rPr>
                <w:rFonts w:hint="eastAsia" w:ascii="仿宋" w:hAnsi="仿宋" w:eastAsia="仿宋" w:cs="仿宋"/>
                <w:color w:val="auto"/>
                <w:sz w:val="24"/>
                <w:highlight w:val="none"/>
                <w:lang w:val="en-US" w:eastAsia="zh-CN"/>
              </w:rPr>
              <w:t>采购人处理投诉及履约纠纷。配合上级主管部门</w:t>
            </w:r>
            <w:r>
              <w:rPr>
                <w:rFonts w:hint="default" w:ascii="仿宋" w:hAnsi="仿宋" w:eastAsia="仿宋" w:cs="仿宋"/>
                <w:color w:val="auto"/>
                <w:sz w:val="24"/>
                <w:highlight w:val="none"/>
                <w:lang w:val="en-US" w:eastAsia="zh-CN"/>
              </w:rPr>
              <w:t>处理投诉事宜，必要时依法组织原评标/评审委员会</w:t>
            </w:r>
            <w:r>
              <w:rPr>
                <w:rFonts w:hint="eastAsia" w:ascii="仿宋" w:hAnsi="仿宋" w:eastAsia="仿宋" w:cs="仿宋"/>
                <w:color w:val="auto"/>
                <w:sz w:val="24"/>
                <w:highlight w:val="none"/>
                <w:lang w:val="en-US" w:eastAsia="zh-CN"/>
              </w:rPr>
              <w:t>协助处理相关事项；</w:t>
            </w:r>
          </w:p>
          <w:p>
            <w:pPr>
              <w:pStyle w:val="2"/>
              <w:numPr>
                <w:ilvl w:val="0"/>
                <w:numId w:val="0"/>
              </w:num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（13）严格落实政府采购保证金管理相关要求，落实规范收取保证金的规定；</w:t>
            </w:r>
          </w:p>
          <w:p>
            <w:pPr>
              <w:pStyle w:val="2"/>
              <w:numPr>
                <w:ilvl w:val="0"/>
                <w:numId w:val="0"/>
              </w:num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（14）</w:t>
            </w:r>
            <w:r>
              <w:rPr>
                <w:rFonts w:hint="default" w:ascii="仿宋" w:hAnsi="仿宋" w:eastAsia="仿宋" w:cs="仿宋"/>
                <w:color w:val="auto"/>
                <w:sz w:val="24"/>
                <w:highlight w:val="none"/>
                <w:lang w:val="en-US" w:eastAsia="zh-CN"/>
              </w:rPr>
              <w:t>依法办理采购活动备案</w:t>
            </w:r>
            <w:r>
              <w:rPr>
                <w:rFonts w:hint="eastAsia" w:ascii="仿宋" w:hAnsi="仿宋" w:eastAsia="仿宋" w:cs="仿宋"/>
                <w:color w:val="auto"/>
                <w:sz w:val="24"/>
                <w:highlight w:val="none"/>
                <w:lang w:val="en-US" w:eastAsia="zh-CN"/>
              </w:rPr>
              <w:t>、</w:t>
            </w:r>
            <w:r>
              <w:rPr>
                <w:rFonts w:hint="default" w:ascii="仿宋" w:hAnsi="仿宋" w:eastAsia="仿宋" w:cs="仿宋"/>
                <w:color w:val="auto"/>
                <w:sz w:val="24"/>
                <w:highlight w:val="none"/>
                <w:lang w:val="en-US" w:eastAsia="zh-CN"/>
              </w:rPr>
              <w:t>报</w:t>
            </w:r>
            <w:r>
              <w:rPr>
                <w:rFonts w:hint="eastAsia" w:ascii="仿宋" w:hAnsi="仿宋" w:eastAsia="仿宋" w:cs="仿宋"/>
                <w:color w:val="auto"/>
                <w:sz w:val="24"/>
                <w:highlight w:val="none"/>
                <w:lang w:val="en-US" w:eastAsia="zh-CN"/>
              </w:rPr>
              <w:t>批及资料归档</w:t>
            </w:r>
            <w:r>
              <w:rPr>
                <w:rFonts w:hint="default" w:ascii="仿宋" w:hAnsi="仿宋" w:eastAsia="仿宋" w:cs="仿宋"/>
                <w:color w:val="auto"/>
                <w:sz w:val="24"/>
                <w:highlight w:val="none"/>
                <w:lang w:val="en-US" w:eastAsia="zh-CN"/>
              </w:rPr>
              <w:t>事宜</w:t>
            </w:r>
            <w:r>
              <w:rPr>
                <w:rFonts w:hint="eastAsia" w:ascii="仿宋" w:hAnsi="仿宋" w:eastAsia="仿宋" w:cs="仿宋"/>
                <w:color w:val="auto"/>
                <w:sz w:val="24"/>
                <w:highlight w:val="none"/>
                <w:lang w:val="en-US" w:eastAsia="zh-CN"/>
              </w:rPr>
              <w:t>；</w:t>
            </w:r>
          </w:p>
          <w:p>
            <w:pPr>
              <w:pStyle w:val="2"/>
              <w:spacing w:line="360" w:lineRule="auto"/>
              <w:rPr>
                <w:rFonts w:hint="eastAsia" w:ascii="仿宋" w:hAnsi="仿宋" w:eastAsia="仿宋" w:cs="仿宋"/>
                <w:color w:val="auto"/>
                <w:sz w:val="24"/>
                <w:highlight w:val="none"/>
                <w:vertAlign w:val="baseline"/>
                <w:lang w:val="en-US" w:eastAsia="zh-CN"/>
              </w:rPr>
            </w:pPr>
            <w:r>
              <w:rPr>
                <w:rFonts w:hint="eastAsia" w:ascii="仿宋" w:hAnsi="仿宋" w:eastAsia="仿宋" w:cs="仿宋"/>
                <w:color w:val="auto"/>
                <w:sz w:val="24"/>
                <w:highlight w:val="none"/>
                <w:lang w:val="en-US" w:eastAsia="zh-CN"/>
              </w:rPr>
              <w:t>（15）项目完成后，按照采购人要求</w:t>
            </w:r>
            <w:r>
              <w:rPr>
                <w:rFonts w:hint="default" w:ascii="仿宋" w:hAnsi="仿宋" w:eastAsia="仿宋" w:cs="仿宋"/>
                <w:color w:val="auto"/>
                <w:sz w:val="24"/>
                <w:highlight w:val="none"/>
                <w:lang w:val="en-US" w:eastAsia="zh-CN"/>
              </w:rPr>
              <w:t>齐全</w:t>
            </w:r>
            <w:r>
              <w:rPr>
                <w:rFonts w:hint="eastAsia" w:ascii="仿宋" w:hAnsi="仿宋" w:eastAsia="仿宋" w:cs="仿宋"/>
                <w:color w:val="auto"/>
                <w:sz w:val="24"/>
                <w:highlight w:val="none"/>
                <w:lang w:val="en-US" w:eastAsia="zh-CN"/>
              </w:rPr>
              <w:t>、</w:t>
            </w:r>
            <w:r>
              <w:rPr>
                <w:rFonts w:hint="default" w:ascii="仿宋" w:hAnsi="仿宋" w:eastAsia="仿宋" w:cs="仿宋"/>
                <w:color w:val="auto"/>
                <w:sz w:val="24"/>
                <w:highlight w:val="none"/>
                <w:lang w:val="en-US" w:eastAsia="zh-CN"/>
              </w:rPr>
              <w:t>完整移交</w:t>
            </w:r>
            <w:r>
              <w:rPr>
                <w:rFonts w:hint="eastAsia" w:ascii="仿宋" w:hAnsi="仿宋" w:eastAsia="仿宋" w:cs="仿宋"/>
                <w:color w:val="auto"/>
                <w:sz w:val="24"/>
                <w:highlight w:val="none"/>
                <w:lang w:val="en-US" w:eastAsia="zh-CN"/>
              </w:rPr>
              <w:t>全部</w:t>
            </w:r>
            <w:r>
              <w:rPr>
                <w:rFonts w:hint="default" w:ascii="仿宋" w:hAnsi="仿宋" w:eastAsia="仿宋" w:cs="仿宋"/>
                <w:color w:val="auto"/>
                <w:sz w:val="24"/>
                <w:highlight w:val="none"/>
                <w:lang w:val="en-US" w:eastAsia="zh-CN"/>
              </w:rPr>
              <w:t>采购档</w:t>
            </w:r>
            <w:r>
              <w:rPr>
                <w:rFonts w:hint="eastAsia" w:ascii="仿宋" w:hAnsi="仿宋" w:eastAsia="仿宋" w:cs="仿宋"/>
                <w:color w:val="auto"/>
                <w:sz w:val="24"/>
                <w:highlight w:val="none"/>
                <w:lang w:val="en-US" w:eastAsia="zh-CN"/>
              </w:rPr>
              <w:t>案</w:t>
            </w:r>
            <w:r>
              <w:rPr>
                <w:rFonts w:hint="default" w:ascii="仿宋" w:hAnsi="仿宋" w:eastAsia="仿宋" w:cs="仿宋"/>
                <w:color w:val="auto"/>
                <w:sz w:val="24"/>
                <w:highlight w:val="none"/>
                <w:lang w:val="en-US" w:eastAsia="zh-CN"/>
              </w:rPr>
              <w:t>（含全流程</w:t>
            </w:r>
            <w:r>
              <w:rPr>
                <w:rFonts w:hint="eastAsia" w:ascii="仿宋" w:hAnsi="仿宋" w:eastAsia="仿宋" w:cs="仿宋"/>
                <w:color w:val="auto"/>
                <w:sz w:val="24"/>
                <w:highlight w:val="none"/>
                <w:lang w:val="en-US" w:eastAsia="zh-CN"/>
              </w:rPr>
              <w:t>的</w:t>
            </w:r>
            <w:r>
              <w:rPr>
                <w:rFonts w:hint="default" w:ascii="仿宋" w:hAnsi="仿宋" w:eastAsia="仿宋" w:cs="仿宋"/>
                <w:color w:val="auto"/>
                <w:sz w:val="24"/>
                <w:highlight w:val="none"/>
                <w:lang w:val="en-US" w:eastAsia="zh-CN"/>
              </w:rPr>
              <w:t>电子采购档案</w:t>
            </w:r>
            <w:r>
              <w:rPr>
                <w:rFonts w:hint="eastAsia" w:ascii="仿宋" w:hAnsi="仿宋" w:eastAsia="仿宋" w:cs="仿宋"/>
                <w:color w:val="auto"/>
                <w:sz w:val="24"/>
                <w:highlight w:val="none"/>
                <w:lang w:val="en-US" w:eastAsia="zh-CN"/>
              </w:rPr>
              <w:t>（</w:t>
            </w:r>
            <w:r>
              <w:rPr>
                <w:rFonts w:hint="default" w:ascii="仿宋" w:hAnsi="仿宋" w:eastAsia="仿宋" w:cs="仿宋"/>
                <w:color w:val="auto"/>
                <w:sz w:val="24"/>
                <w:highlight w:val="none"/>
                <w:lang w:val="en-US" w:eastAsia="zh-CN"/>
              </w:rPr>
              <w:t>扫描版</w:t>
            </w:r>
            <w:r>
              <w:rPr>
                <w:rFonts w:hint="eastAsia" w:ascii="仿宋" w:hAnsi="仿宋" w:eastAsia="仿宋" w:cs="仿宋"/>
                <w:color w:val="auto"/>
                <w:sz w:val="24"/>
                <w:highlight w:val="none"/>
                <w:lang w:val="en-US" w:eastAsia="zh-CN"/>
              </w:rPr>
              <w:t>）及</w:t>
            </w:r>
            <w:r>
              <w:rPr>
                <w:rFonts w:hint="default" w:ascii="仿宋" w:hAnsi="仿宋" w:eastAsia="仿宋" w:cs="仿宋"/>
                <w:color w:val="auto"/>
                <w:sz w:val="24"/>
                <w:highlight w:val="none"/>
                <w:lang w:val="en-US" w:eastAsia="zh-CN"/>
              </w:rPr>
              <w:t>胶装成册</w:t>
            </w:r>
            <w:r>
              <w:rPr>
                <w:rFonts w:hint="eastAsia" w:ascii="仿宋" w:hAnsi="仿宋" w:eastAsia="仿宋" w:cs="仿宋"/>
                <w:color w:val="auto"/>
                <w:sz w:val="24"/>
                <w:highlight w:val="none"/>
                <w:lang w:val="en-US" w:eastAsia="zh-CN"/>
              </w:rPr>
              <w:t>的</w:t>
            </w:r>
            <w:r>
              <w:rPr>
                <w:rFonts w:hint="default" w:ascii="仿宋" w:hAnsi="仿宋" w:eastAsia="仿宋" w:cs="仿宋"/>
                <w:color w:val="auto"/>
                <w:sz w:val="24"/>
                <w:highlight w:val="none"/>
                <w:lang w:val="en-US" w:eastAsia="zh-CN"/>
              </w:rPr>
              <w:t>纸质</w:t>
            </w:r>
            <w:r>
              <w:rPr>
                <w:rFonts w:hint="eastAsia" w:ascii="仿宋" w:hAnsi="仿宋" w:eastAsia="仿宋" w:cs="仿宋"/>
                <w:color w:val="auto"/>
                <w:sz w:val="24"/>
                <w:highlight w:val="none"/>
                <w:lang w:val="en-US" w:eastAsia="zh-CN"/>
              </w:rPr>
              <w:t>档案</w:t>
            </w:r>
            <w:r>
              <w:rPr>
                <w:rFonts w:hint="default" w:ascii="仿宋" w:hAnsi="仿宋" w:eastAsia="仿宋" w:cs="仿宋"/>
                <w:color w:val="auto"/>
                <w:sz w:val="24"/>
                <w:highlight w:val="none"/>
                <w:lang w:val="en-US" w:eastAsia="zh-CN"/>
              </w:rPr>
              <w:t>），对无需存档的招投标文件等保密资料做好清理工作；</w:t>
            </w:r>
            <w:r>
              <w:rPr>
                <w:rFonts w:hint="eastAsia" w:ascii="仿宋" w:hAnsi="仿宋" w:eastAsia="仿宋" w:cs="仿宋"/>
                <w:color w:val="auto"/>
                <w:sz w:val="24"/>
                <w:highlight w:val="none"/>
                <w:lang w:val="en-US" w:eastAsia="zh-CN"/>
              </w:rPr>
              <w:t>无条件</w:t>
            </w:r>
            <w:r>
              <w:rPr>
                <w:rFonts w:hint="default" w:ascii="仿宋" w:hAnsi="仿宋" w:eastAsia="仿宋" w:cs="仿宋"/>
                <w:color w:val="auto"/>
                <w:sz w:val="24"/>
                <w:highlight w:val="none"/>
                <w:lang w:val="en-US" w:eastAsia="zh-CN"/>
              </w:rPr>
              <w:t>配合采购人</w:t>
            </w:r>
            <w:r>
              <w:rPr>
                <w:rFonts w:hint="eastAsia" w:ascii="仿宋" w:hAnsi="仿宋" w:eastAsia="仿宋" w:cs="仿宋"/>
                <w:color w:val="auto"/>
                <w:sz w:val="24"/>
                <w:highlight w:val="none"/>
                <w:lang w:val="en-US" w:eastAsia="zh-CN"/>
              </w:rPr>
              <w:t>完成对有关</w:t>
            </w:r>
            <w:r>
              <w:rPr>
                <w:rFonts w:hint="default" w:ascii="仿宋" w:hAnsi="仿宋" w:eastAsia="仿宋" w:cs="仿宋"/>
                <w:color w:val="auto"/>
                <w:sz w:val="24"/>
                <w:highlight w:val="none"/>
                <w:lang w:val="en-US" w:eastAsia="zh-CN"/>
              </w:rPr>
              <w:t>项目的审计</w:t>
            </w:r>
            <w:r>
              <w:rPr>
                <w:rFonts w:hint="eastAsia" w:ascii="仿宋" w:hAnsi="仿宋" w:eastAsia="仿宋" w:cs="仿宋"/>
                <w:color w:val="auto"/>
                <w:sz w:val="24"/>
                <w:highlight w:val="none"/>
                <w:lang w:val="en-US" w:eastAsia="zh-CN"/>
              </w:rPr>
              <w:t>、</w:t>
            </w:r>
            <w:r>
              <w:rPr>
                <w:rFonts w:hint="default" w:ascii="仿宋" w:hAnsi="仿宋" w:eastAsia="仿宋" w:cs="仿宋"/>
                <w:color w:val="auto"/>
                <w:sz w:val="24"/>
                <w:highlight w:val="none"/>
                <w:lang w:val="en-US" w:eastAsia="zh-CN"/>
              </w:rPr>
              <w:t>检查或调取、补漏相关资料</w:t>
            </w:r>
            <w:r>
              <w:rPr>
                <w:rFonts w:hint="eastAsia" w:ascii="仿宋" w:hAnsi="仿宋" w:eastAsia="仿宋" w:cs="仿宋"/>
                <w:color w:val="auto"/>
                <w:sz w:val="24"/>
                <w:highlight w:val="none"/>
                <w:lang w:val="en-US" w:eastAsia="zh-CN"/>
              </w:rPr>
              <w:t>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continue"/>
            <w:vAlign w:val="center"/>
          </w:tcPr>
          <w:p>
            <w:pPr>
              <w:pStyle w:val="2"/>
              <w:jc w:val="center"/>
              <w:rPr>
                <w:rFonts w:hint="default" w:ascii="仿宋" w:hAnsi="仿宋" w:eastAsia="仿宋" w:cs="仿宋"/>
                <w:color w:val="auto"/>
                <w:sz w:val="24"/>
                <w:highlight w:val="none"/>
                <w:vertAlign w:val="baseline"/>
                <w:lang w:val="en-US" w:eastAsia="zh-CN"/>
              </w:rPr>
            </w:pPr>
          </w:p>
        </w:tc>
        <w:tc>
          <w:tcPr>
            <w:tcW w:w="1413" w:type="dxa"/>
            <w:vAlign w:val="center"/>
          </w:tcPr>
          <w:p>
            <w:pPr>
              <w:pStyle w:val="2"/>
              <w:spacing w:line="360" w:lineRule="auto"/>
              <w:jc w:val="center"/>
              <w:rPr>
                <w:rFonts w:hint="eastAsia" w:ascii="仿宋" w:hAnsi="仿宋" w:eastAsia="仿宋" w:cs="仿宋"/>
                <w:color w:val="auto"/>
                <w:sz w:val="24"/>
                <w:highlight w:val="none"/>
                <w:vertAlign w:val="baseline"/>
                <w:lang w:val="en-US" w:eastAsia="zh-CN"/>
              </w:rPr>
            </w:pPr>
            <w:r>
              <w:rPr>
                <w:rFonts w:hint="eastAsia" w:ascii="仿宋" w:hAnsi="仿宋" w:eastAsia="仿宋" w:cs="仿宋"/>
                <w:color w:val="auto"/>
                <w:sz w:val="24"/>
                <w:highlight w:val="none"/>
                <w:vertAlign w:val="baseline"/>
                <w:lang w:val="en-US" w:eastAsia="zh-CN"/>
              </w:rPr>
              <w:t>服务要求</w:t>
            </w:r>
          </w:p>
        </w:tc>
        <w:tc>
          <w:tcPr>
            <w:tcW w:w="6370" w:type="dxa"/>
          </w:tcPr>
          <w:p>
            <w:pPr>
              <w:autoSpaceDE w:val="0"/>
              <w:autoSpaceDN w:val="0"/>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（1）基本要求：</w:t>
            </w:r>
          </w:p>
          <w:p>
            <w:pPr>
              <w:autoSpaceDE w:val="0"/>
              <w:autoSpaceDN w:val="0"/>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①代理机构须严格</w:t>
            </w:r>
            <w:r>
              <w:rPr>
                <w:rFonts w:hint="eastAsia" w:ascii="仿宋" w:hAnsi="仿宋" w:eastAsia="仿宋" w:cs="仿宋"/>
                <w:strike w:val="0"/>
                <w:dstrike w:val="0"/>
                <w:color w:val="auto"/>
                <w:sz w:val="24"/>
                <w:highlight w:val="none"/>
                <w:lang w:val="en-US" w:eastAsia="zh-CN"/>
              </w:rPr>
              <w:t>，</w:t>
            </w:r>
            <w:r>
              <w:rPr>
                <w:rFonts w:hint="eastAsia" w:ascii="仿宋" w:hAnsi="仿宋" w:eastAsia="仿宋" w:cs="仿宋"/>
                <w:color w:val="auto"/>
                <w:sz w:val="24"/>
                <w:highlight w:val="none"/>
                <w:lang w:val="en-US" w:eastAsia="zh-CN"/>
              </w:rPr>
              <w:t>按照国家和省、市有关政府采购的法律法规、政策文件的规定及采购人要求提供代理服务，熟悉医疗卫生系统采购特点，对代理服务的合法性、合规性负责。</w:t>
            </w:r>
          </w:p>
          <w:p>
            <w:pPr>
              <w:autoSpaceDE w:val="0"/>
              <w:autoSpaceDN w:val="0"/>
              <w:spacing w:line="360" w:lineRule="auto"/>
              <w:rPr>
                <w:rFonts w:hint="eastAsia" w:ascii="仿宋" w:hAnsi="仿宋" w:eastAsia="仿宋" w:cs="仿宋"/>
                <w:strike w:val="0"/>
                <w:color w:val="auto"/>
                <w:sz w:val="24"/>
                <w:highlight w:val="none"/>
                <w:lang w:val="en-US" w:eastAsia="zh-CN"/>
              </w:rPr>
            </w:pPr>
            <w:r>
              <w:rPr>
                <w:rFonts w:hint="eastAsia" w:ascii="仿宋" w:hAnsi="仿宋" w:eastAsia="仿宋" w:cs="仿宋"/>
                <w:strike w:val="0"/>
                <w:color w:val="auto"/>
                <w:sz w:val="24"/>
                <w:highlight w:val="none"/>
                <w:lang w:val="en-US" w:eastAsia="zh-CN"/>
              </w:rPr>
              <w:t>②工作时限：代理机构应在双方签订具体项目的委托代理协议且采购人提供完整的招标采购必备资料后</w:t>
            </w:r>
            <w:r>
              <w:rPr>
                <w:rFonts w:hint="default" w:ascii="仿宋" w:hAnsi="仿宋" w:eastAsia="仿宋" w:cs="仿宋"/>
                <w:strike w:val="0"/>
                <w:color w:val="auto"/>
                <w:sz w:val="24"/>
                <w:highlight w:val="none"/>
                <w:lang w:val="en-US" w:eastAsia="zh-CN"/>
              </w:rPr>
              <w:t> 3个工作日内，向采购人提交采购文件初稿。在</w:t>
            </w:r>
            <w:r>
              <w:rPr>
                <w:rFonts w:hint="eastAsia" w:ascii="仿宋" w:hAnsi="仿宋" w:eastAsia="仿宋" w:cs="仿宋"/>
                <w:strike w:val="0"/>
                <w:color w:val="auto"/>
                <w:sz w:val="24"/>
                <w:highlight w:val="none"/>
                <w:lang w:val="en-US" w:eastAsia="zh-CN"/>
              </w:rPr>
              <w:t>招标/</w:t>
            </w:r>
            <w:r>
              <w:rPr>
                <w:rFonts w:hint="default" w:ascii="仿宋" w:hAnsi="仿宋" w:eastAsia="仿宋" w:cs="仿宋"/>
                <w:strike w:val="0"/>
                <w:color w:val="auto"/>
                <w:sz w:val="24"/>
                <w:highlight w:val="none"/>
                <w:lang w:val="en-US" w:eastAsia="zh-CN"/>
              </w:rPr>
              <w:t>采购公告发布后 30天内，应完成本项目招标采购的全部主要工作，包括评审、结果公示、档案整理等，并将完整项目档案移交采购人</w:t>
            </w:r>
            <w:r>
              <w:rPr>
                <w:rFonts w:hint="eastAsia" w:ascii="仿宋" w:hAnsi="仿宋" w:eastAsia="仿宋" w:cs="仿宋"/>
                <w:strike w:val="0"/>
                <w:color w:val="auto"/>
                <w:sz w:val="24"/>
                <w:highlight w:val="none"/>
                <w:lang w:val="en-US" w:eastAsia="zh-CN"/>
              </w:rPr>
              <w:t>（法律、法规对招标时间有特殊要求的除外）。</w:t>
            </w:r>
          </w:p>
          <w:p>
            <w:pPr>
              <w:autoSpaceDE w:val="0"/>
              <w:autoSpaceDN w:val="0"/>
              <w:spacing w:line="360" w:lineRule="auto"/>
              <w:rPr>
                <w:rFonts w:hint="eastAsia" w:ascii="仿宋" w:hAnsi="仿宋" w:eastAsia="仿宋" w:cs="仿宋"/>
                <w:strike w:val="0"/>
                <w:color w:val="auto"/>
                <w:sz w:val="24"/>
                <w:highlight w:val="none"/>
                <w:lang w:val="en-US" w:eastAsia="zh-CN"/>
              </w:rPr>
            </w:pPr>
            <w:r>
              <w:rPr>
                <w:rFonts w:hint="eastAsia" w:ascii="仿宋" w:hAnsi="仿宋" w:eastAsia="仿宋" w:cs="仿宋"/>
                <w:strike w:val="0"/>
                <w:color w:val="auto"/>
                <w:sz w:val="24"/>
                <w:highlight w:val="none"/>
                <w:lang w:val="en-US" w:eastAsia="zh-CN"/>
              </w:rPr>
              <w:t>③如出现代理机构在服务过程中出现违法违规行为，采购人有权单方面取消其成交资格，并追究其相应责任。</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④代理机构</w:t>
            </w:r>
            <w:r>
              <w:rPr>
                <w:rFonts w:hint="default" w:ascii="仿宋" w:hAnsi="仿宋" w:eastAsia="仿宋" w:cs="仿宋"/>
                <w:color w:val="auto"/>
                <w:sz w:val="24"/>
                <w:highlight w:val="none"/>
                <w:lang w:val="en-US" w:eastAsia="zh-CN"/>
              </w:rPr>
              <w:t>组织评标、定标工作</w:t>
            </w:r>
            <w:r>
              <w:rPr>
                <w:rFonts w:hint="eastAsia" w:ascii="仿宋" w:hAnsi="仿宋" w:eastAsia="仿宋" w:cs="仿宋"/>
                <w:color w:val="auto"/>
                <w:sz w:val="24"/>
                <w:highlight w:val="none"/>
                <w:lang w:val="en-US" w:eastAsia="zh-CN"/>
              </w:rPr>
              <w:t>，应</w:t>
            </w:r>
            <w:r>
              <w:rPr>
                <w:rFonts w:hint="default" w:ascii="仿宋" w:hAnsi="仿宋" w:eastAsia="仿宋" w:cs="仿宋"/>
                <w:color w:val="auto"/>
                <w:sz w:val="24"/>
                <w:highlight w:val="none"/>
                <w:lang w:val="en-US" w:eastAsia="zh-CN"/>
              </w:rPr>
              <w:t>严格</w:t>
            </w:r>
            <w:r>
              <w:rPr>
                <w:rFonts w:hint="eastAsia" w:ascii="仿宋" w:hAnsi="仿宋" w:eastAsia="仿宋" w:cs="仿宋"/>
                <w:color w:val="auto"/>
                <w:sz w:val="24"/>
                <w:highlight w:val="none"/>
                <w:lang w:val="en-US" w:eastAsia="zh-CN"/>
              </w:rPr>
              <w:t>按照</w:t>
            </w:r>
            <w:r>
              <w:rPr>
                <w:rFonts w:hint="default" w:ascii="仿宋" w:hAnsi="仿宋" w:eastAsia="仿宋" w:cs="仿宋"/>
                <w:color w:val="auto"/>
                <w:sz w:val="24"/>
                <w:highlight w:val="none"/>
                <w:lang w:val="en-US" w:eastAsia="zh-CN"/>
              </w:rPr>
              <w:t>惠州市卫健局关于市直医疗卫生单位自主采购招标项目评定分离实施意见的相关要求</w:t>
            </w:r>
            <w:r>
              <w:rPr>
                <w:rFonts w:hint="eastAsia" w:ascii="仿宋" w:hAnsi="仿宋" w:eastAsia="仿宋" w:cs="仿宋"/>
                <w:color w:val="auto"/>
                <w:sz w:val="24"/>
                <w:highlight w:val="none"/>
                <w:lang w:val="en-US" w:eastAsia="zh-CN"/>
              </w:rPr>
              <w:t>执行</w:t>
            </w:r>
            <w:r>
              <w:rPr>
                <w:rFonts w:hint="default" w:ascii="仿宋" w:hAnsi="仿宋" w:eastAsia="仿宋" w:cs="仿宋"/>
                <w:color w:val="auto"/>
                <w:sz w:val="24"/>
                <w:highlight w:val="none"/>
                <w:lang w:val="en-US" w:eastAsia="zh-CN"/>
              </w:rPr>
              <w:t>；如市卫健局有关采购工作的相关政策/管理办法/规定/指引/意见</w:t>
            </w:r>
            <w:r>
              <w:rPr>
                <w:rFonts w:hint="eastAsia" w:ascii="仿宋" w:hAnsi="仿宋" w:eastAsia="仿宋" w:cs="仿宋"/>
                <w:color w:val="auto"/>
                <w:sz w:val="24"/>
                <w:highlight w:val="none"/>
                <w:lang w:val="en-US" w:eastAsia="zh-CN"/>
              </w:rPr>
              <w:t>在服务期内</w:t>
            </w:r>
            <w:r>
              <w:rPr>
                <w:rFonts w:hint="default" w:ascii="仿宋" w:hAnsi="仿宋" w:eastAsia="仿宋" w:cs="仿宋"/>
                <w:color w:val="auto"/>
                <w:sz w:val="24"/>
                <w:highlight w:val="none"/>
                <w:lang w:val="en-US" w:eastAsia="zh-CN"/>
              </w:rPr>
              <w:t>有更新，</w:t>
            </w:r>
            <w:r>
              <w:rPr>
                <w:rFonts w:hint="eastAsia" w:ascii="仿宋" w:hAnsi="仿宋" w:eastAsia="仿宋" w:cs="仿宋"/>
                <w:color w:val="auto"/>
                <w:sz w:val="24"/>
                <w:highlight w:val="none"/>
                <w:lang w:val="en-US" w:eastAsia="zh-CN"/>
              </w:rPr>
              <w:t>须严格遵循新规执行</w:t>
            </w:r>
            <w:r>
              <w:rPr>
                <w:rFonts w:hint="default" w:ascii="仿宋" w:hAnsi="仿宋" w:eastAsia="仿宋" w:cs="仿宋"/>
                <w:color w:val="auto"/>
                <w:sz w:val="24"/>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⑤电子化采购要求：对于单项采购预算金额</w:t>
            </w:r>
            <w:r>
              <w:rPr>
                <w:rFonts w:hint="eastAsia" w:ascii="仿宋" w:hAnsi="仿宋" w:eastAsia="仿宋" w:cs="仿宋"/>
                <w:strike w:val="0"/>
                <w:dstrike w:val="0"/>
                <w:color w:val="auto"/>
                <w:sz w:val="24"/>
                <w:highlight w:val="none"/>
                <w:lang w:val="en-US" w:eastAsia="zh-CN"/>
              </w:rPr>
              <w:t>在</w:t>
            </w:r>
            <w:r>
              <w:rPr>
                <w:rFonts w:hint="eastAsia" w:ascii="仿宋" w:hAnsi="仿宋" w:eastAsia="仿宋" w:cs="仿宋"/>
                <w:color w:val="auto"/>
                <w:sz w:val="24"/>
                <w:highlight w:val="none"/>
                <w:lang w:val="en-US" w:eastAsia="zh-CN"/>
              </w:rPr>
              <w:t>50万元（含）至100万元（不含）的项目，需在依法建设和运行的电子交易平台实施全流程电子化采购，因</w:t>
            </w:r>
            <w:r>
              <w:rPr>
                <w:rFonts w:hint="eastAsia" w:ascii="仿宋" w:hAnsi="仿宋" w:eastAsia="仿宋" w:cs="仿宋"/>
                <w:strike w:val="0"/>
                <w:dstrike w:val="0"/>
                <w:color w:val="auto"/>
                <w:sz w:val="24"/>
                <w:highlight w:val="none"/>
                <w:lang w:val="en-US" w:eastAsia="zh-CN"/>
              </w:rPr>
              <w:t>使用平台</w:t>
            </w:r>
            <w:r>
              <w:rPr>
                <w:rFonts w:hint="eastAsia" w:ascii="仿宋" w:hAnsi="仿宋" w:eastAsia="仿宋" w:cs="仿宋"/>
                <w:color w:val="auto"/>
                <w:sz w:val="24"/>
                <w:highlight w:val="none"/>
                <w:lang w:val="en-US" w:eastAsia="zh-CN"/>
              </w:rPr>
              <w:t>产生的场地使用费及其他相关费用由</w:t>
            </w:r>
            <w:r>
              <w:rPr>
                <w:rFonts w:hint="eastAsia" w:ascii="仿宋" w:hAnsi="仿宋" w:eastAsia="仿宋" w:cs="仿宋"/>
                <w:strike w:val="0"/>
                <w:dstrike w:val="0"/>
                <w:color w:val="auto"/>
                <w:sz w:val="24"/>
                <w:highlight w:val="none"/>
                <w:lang w:val="en-US" w:eastAsia="zh-CN"/>
              </w:rPr>
              <w:t>该项目委托的代理机构</w:t>
            </w:r>
            <w:r>
              <w:rPr>
                <w:rFonts w:hint="eastAsia" w:ascii="仿宋" w:hAnsi="仿宋" w:eastAsia="仿宋" w:cs="仿宋"/>
                <w:color w:val="auto"/>
                <w:sz w:val="24"/>
                <w:highlight w:val="none"/>
                <w:lang w:val="en-US" w:eastAsia="zh-CN"/>
              </w:rPr>
              <w:t>承担，采购人不支付上述费用。</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color w:val="auto"/>
                <w:highlight w:val="none"/>
                <w:lang w:val="en-US" w:eastAsia="zh-CN"/>
              </w:rPr>
            </w:pPr>
            <w:r>
              <w:rPr>
                <w:rFonts w:hint="eastAsia" w:ascii="仿宋" w:hAnsi="仿宋" w:eastAsia="仿宋" w:cs="仿宋"/>
                <w:color w:val="auto"/>
                <w:sz w:val="24"/>
                <w:highlight w:val="none"/>
                <w:lang w:val="en-US" w:eastAsia="zh-CN"/>
              </w:rPr>
              <w:t>⑥采购文件论证要求：对于单项采购预算金额</w:t>
            </w:r>
            <w:r>
              <w:rPr>
                <w:rFonts w:hint="default" w:ascii="仿宋" w:hAnsi="仿宋" w:eastAsia="仿宋" w:cs="仿宋"/>
                <w:color w:val="auto"/>
                <w:sz w:val="24"/>
                <w:highlight w:val="none"/>
                <w:lang w:val="en-US" w:eastAsia="zh-CN"/>
              </w:rPr>
              <w:t>100万元</w:t>
            </w:r>
            <w:r>
              <w:rPr>
                <w:rFonts w:hint="eastAsia" w:ascii="仿宋" w:hAnsi="仿宋" w:eastAsia="仿宋" w:cs="仿宋"/>
                <w:color w:val="auto"/>
                <w:sz w:val="24"/>
                <w:highlight w:val="none"/>
                <w:lang w:val="en-US" w:eastAsia="zh-CN"/>
              </w:rPr>
              <w:t>（含）</w:t>
            </w:r>
            <w:r>
              <w:rPr>
                <w:rFonts w:hint="default" w:ascii="仿宋" w:hAnsi="仿宋" w:eastAsia="仿宋" w:cs="仿宋"/>
                <w:color w:val="auto"/>
                <w:sz w:val="24"/>
                <w:highlight w:val="none"/>
                <w:lang w:val="en-US" w:eastAsia="zh-CN"/>
              </w:rPr>
              <w:t>以上</w:t>
            </w:r>
            <w:r>
              <w:rPr>
                <w:rFonts w:hint="eastAsia" w:ascii="仿宋" w:hAnsi="仿宋" w:eastAsia="仿宋" w:cs="仿宋"/>
                <w:color w:val="auto"/>
                <w:sz w:val="24"/>
                <w:highlight w:val="none"/>
                <w:lang w:val="en-US" w:eastAsia="zh-CN"/>
              </w:rPr>
              <w:t>的采购</w:t>
            </w:r>
            <w:r>
              <w:rPr>
                <w:rFonts w:hint="default" w:ascii="仿宋" w:hAnsi="仿宋" w:eastAsia="仿宋" w:cs="仿宋"/>
                <w:color w:val="auto"/>
                <w:sz w:val="24"/>
                <w:highlight w:val="none"/>
                <w:lang w:val="en-US" w:eastAsia="zh-CN"/>
              </w:rPr>
              <w:t>项目，</w:t>
            </w:r>
            <w:r>
              <w:rPr>
                <w:rFonts w:hint="eastAsia" w:ascii="仿宋" w:hAnsi="仿宋" w:eastAsia="仿宋" w:cs="仿宋"/>
                <w:color w:val="auto"/>
                <w:sz w:val="24"/>
                <w:highlight w:val="none"/>
                <w:lang w:val="en-US" w:eastAsia="zh-CN"/>
              </w:rPr>
              <w:t>代理机构</w:t>
            </w:r>
            <w:r>
              <w:rPr>
                <w:rFonts w:hint="default" w:ascii="仿宋" w:hAnsi="仿宋" w:eastAsia="仿宋" w:cs="仿宋"/>
                <w:color w:val="auto"/>
                <w:sz w:val="24"/>
                <w:highlight w:val="none"/>
                <w:lang w:val="en-US" w:eastAsia="zh-CN"/>
              </w:rPr>
              <w:t>须按《国家卫生健康委关于进一步规范和加强政府采购管理工作的通知》（国卫财务函〔2020〕250号）</w:t>
            </w:r>
            <w:r>
              <w:rPr>
                <w:rFonts w:hint="eastAsia" w:ascii="仿宋" w:hAnsi="仿宋" w:eastAsia="仿宋" w:cs="仿宋"/>
                <w:color w:val="auto"/>
                <w:sz w:val="24"/>
                <w:highlight w:val="none"/>
                <w:lang w:val="en-US" w:eastAsia="zh-CN"/>
              </w:rPr>
              <w:t>的</w:t>
            </w:r>
            <w:r>
              <w:rPr>
                <w:rFonts w:hint="default" w:ascii="仿宋" w:hAnsi="仿宋" w:eastAsia="仿宋" w:cs="仿宋"/>
                <w:color w:val="auto"/>
                <w:sz w:val="24"/>
                <w:highlight w:val="none"/>
                <w:lang w:val="en-US" w:eastAsia="zh-CN"/>
              </w:rPr>
              <w:t>要求</w:t>
            </w:r>
            <w:r>
              <w:rPr>
                <w:rFonts w:hint="eastAsia" w:ascii="仿宋" w:hAnsi="仿宋" w:eastAsia="仿宋" w:cs="仿宋"/>
                <w:color w:val="auto"/>
                <w:sz w:val="24"/>
                <w:highlight w:val="none"/>
                <w:lang w:val="en-US" w:eastAsia="zh-CN"/>
              </w:rPr>
              <w:t>，在采购公告发布前，</w:t>
            </w:r>
            <w:r>
              <w:rPr>
                <w:rFonts w:hint="default" w:ascii="仿宋" w:hAnsi="仿宋" w:eastAsia="仿宋" w:cs="仿宋"/>
                <w:color w:val="auto"/>
                <w:sz w:val="24"/>
                <w:highlight w:val="none"/>
                <w:lang w:val="en-US" w:eastAsia="zh-CN"/>
              </w:rPr>
              <w:t>组织至少1名律师和4名</w:t>
            </w:r>
            <w:r>
              <w:rPr>
                <w:rFonts w:hint="eastAsia" w:ascii="仿宋" w:hAnsi="仿宋" w:eastAsia="仿宋" w:cs="仿宋"/>
                <w:color w:val="auto"/>
                <w:sz w:val="24"/>
                <w:highlight w:val="none"/>
                <w:lang w:val="en-US" w:eastAsia="zh-CN"/>
              </w:rPr>
              <w:t>对应采购项目的</w:t>
            </w:r>
            <w:r>
              <w:rPr>
                <w:rFonts w:hint="default" w:ascii="仿宋" w:hAnsi="仿宋" w:eastAsia="仿宋" w:cs="仿宋"/>
                <w:color w:val="auto"/>
                <w:sz w:val="24"/>
                <w:highlight w:val="none"/>
                <w:lang w:val="en-US" w:eastAsia="zh-CN"/>
              </w:rPr>
              <w:t>行业专家（</w:t>
            </w:r>
            <w:r>
              <w:rPr>
                <w:rFonts w:hint="eastAsia" w:ascii="仿宋" w:hAnsi="仿宋" w:eastAsia="仿宋" w:cs="仿宋"/>
                <w:color w:val="auto"/>
                <w:sz w:val="24"/>
                <w:highlight w:val="none"/>
                <w:lang w:val="en-US" w:eastAsia="zh-CN"/>
              </w:rPr>
              <w:t>采购人</w:t>
            </w:r>
            <w:r>
              <w:rPr>
                <w:rFonts w:hint="default" w:ascii="仿宋" w:hAnsi="仿宋" w:eastAsia="仿宋" w:cs="仿宋"/>
                <w:color w:val="auto"/>
                <w:sz w:val="24"/>
                <w:highlight w:val="none"/>
                <w:lang w:val="en-US" w:eastAsia="zh-CN"/>
              </w:rPr>
              <w:t>不担任论证专家）</w:t>
            </w:r>
            <w:r>
              <w:rPr>
                <w:rFonts w:hint="eastAsia" w:ascii="仿宋" w:hAnsi="仿宋" w:eastAsia="仿宋" w:cs="仿宋"/>
                <w:color w:val="auto"/>
                <w:sz w:val="24"/>
                <w:highlight w:val="none"/>
                <w:lang w:val="en-US" w:eastAsia="zh-CN"/>
              </w:rPr>
              <w:t>组成论证小组，对编制的</w:t>
            </w:r>
            <w:r>
              <w:rPr>
                <w:rFonts w:hint="default" w:ascii="仿宋" w:hAnsi="仿宋" w:eastAsia="仿宋" w:cs="仿宋"/>
                <w:color w:val="auto"/>
                <w:sz w:val="24"/>
                <w:highlight w:val="none"/>
                <w:lang w:val="en-US" w:eastAsia="zh-CN"/>
              </w:rPr>
              <w:t>招标/采购文件</w:t>
            </w:r>
            <w:r>
              <w:rPr>
                <w:rFonts w:hint="eastAsia" w:ascii="仿宋" w:hAnsi="仿宋" w:eastAsia="仿宋" w:cs="仿宋"/>
                <w:color w:val="auto"/>
                <w:sz w:val="24"/>
                <w:highlight w:val="none"/>
                <w:lang w:val="en-US" w:eastAsia="zh-CN"/>
              </w:rPr>
              <w:t>进行</w:t>
            </w:r>
            <w:r>
              <w:rPr>
                <w:rFonts w:hint="default" w:ascii="仿宋" w:hAnsi="仿宋" w:eastAsia="仿宋" w:cs="仿宋"/>
                <w:color w:val="auto"/>
                <w:sz w:val="24"/>
                <w:highlight w:val="none"/>
                <w:lang w:val="en-US" w:eastAsia="zh-CN"/>
              </w:rPr>
              <w:t>论证</w:t>
            </w:r>
            <w:r>
              <w:rPr>
                <w:rFonts w:hint="eastAsia" w:ascii="仿宋" w:hAnsi="仿宋" w:eastAsia="仿宋" w:cs="仿宋"/>
                <w:color w:val="auto"/>
                <w:sz w:val="24"/>
                <w:highlight w:val="none"/>
                <w:lang w:val="en-US" w:eastAsia="zh-CN"/>
              </w:rPr>
              <w:t>、</w:t>
            </w:r>
            <w:r>
              <w:rPr>
                <w:rFonts w:hint="default" w:ascii="仿宋" w:hAnsi="仿宋" w:eastAsia="仿宋" w:cs="仿宋"/>
                <w:color w:val="auto"/>
                <w:sz w:val="24"/>
                <w:highlight w:val="none"/>
                <w:lang w:val="en-US" w:eastAsia="zh-CN"/>
              </w:rPr>
              <w:t>复核，出具书面《采购文件论证（审核）报告》，并</w:t>
            </w:r>
            <w:r>
              <w:rPr>
                <w:rFonts w:hint="eastAsia" w:ascii="仿宋" w:hAnsi="仿宋" w:eastAsia="仿宋" w:cs="仿宋"/>
                <w:color w:val="auto"/>
                <w:sz w:val="24"/>
                <w:highlight w:val="none"/>
                <w:lang w:val="en-US" w:eastAsia="zh-CN"/>
              </w:rPr>
              <w:t>根据有效论证意见</w:t>
            </w:r>
            <w:r>
              <w:rPr>
                <w:rFonts w:hint="default" w:ascii="仿宋" w:hAnsi="仿宋" w:eastAsia="仿宋" w:cs="仿宋"/>
                <w:color w:val="auto"/>
                <w:sz w:val="24"/>
                <w:highlight w:val="none"/>
                <w:lang w:val="en-US" w:eastAsia="zh-CN"/>
              </w:rPr>
              <w:t>积极主动与采购人</w:t>
            </w:r>
            <w:r>
              <w:rPr>
                <w:rFonts w:hint="eastAsia" w:ascii="仿宋" w:hAnsi="仿宋" w:eastAsia="仿宋" w:cs="仿宋"/>
                <w:color w:val="auto"/>
                <w:sz w:val="24"/>
                <w:highlight w:val="none"/>
                <w:lang w:val="en-US" w:eastAsia="zh-CN"/>
              </w:rPr>
              <w:t>完成</w:t>
            </w:r>
            <w:r>
              <w:rPr>
                <w:rFonts w:hint="default" w:ascii="仿宋" w:hAnsi="仿宋" w:eastAsia="仿宋" w:cs="仿宋"/>
                <w:color w:val="auto"/>
                <w:sz w:val="24"/>
                <w:highlight w:val="none"/>
                <w:lang w:val="en-US" w:eastAsia="zh-CN"/>
              </w:rPr>
              <w:t>招标/采购文件</w:t>
            </w:r>
            <w:r>
              <w:rPr>
                <w:rFonts w:hint="eastAsia" w:ascii="仿宋" w:hAnsi="仿宋" w:eastAsia="仿宋" w:cs="仿宋"/>
                <w:color w:val="auto"/>
                <w:sz w:val="24"/>
                <w:highlight w:val="none"/>
                <w:lang w:val="en-US" w:eastAsia="zh-CN"/>
              </w:rPr>
              <w:t>的</w:t>
            </w:r>
            <w:r>
              <w:rPr>
                <w:rFonts w:hint="default" w:ascii="仿宋" w:hAnsi="仿宋" w:eastAsia="仿宋" w:cs="仿宋"/>
                <w:color w:val="auto"/>
                <w:sz w:val="24"/>
                <w:highlight w:val="none"/>
                <w:lang w:val="en-US" w:eastAsia="zh-CN"/>
              </w:rPr>
              <w:t>修订</w:t>
            </w:r>
            <w:r>
              <w:rPr>
                <w:rFonts w:hint="eastAsia" w:ascii="仿宋" w:hAnsi="仿宋" w:eastAsia="仿宋" w:cs="仿宋"/>
                <w:color w:val="auto"/>
                <w:sz w:val="24"/>
                <w:highlight w:val="none"/>
                <w:lang w:val="en-US" w:eastAsia="zh-CN"/>
              </w:rPr>
              <w:t>与</w:t>
            </w:r>
            <w:r>
              <w:rPr>
                <w:rFonts w:hint="default" w:ascii="仿宋" w:hAnsi="仿宋" w:eastAsia="仿宋" w:cs="仿宋"/>
                <w:color w:val="auto"/>
                <w:sz w:val="24"/>
                <w:highlight w:val="none"/>
                <w:lang w:val="en-US" w:eastAsia="zh-CN"/>
              </w:rPr>
              <w:t>确认。</w:t>
            </w:r>
          </w:p>
          <w:p>
            <w:pPr>
              <w:autoSpaceDE w:val="0"/>
              <w:autoSpaceDN w:val="0"/>
              <w:spacing w:line="360" w:lineRule="auto"/>
              <w:rPr>
                <w:rFonts w:hint="default" w:eastAsia="仿宋"/>
                <w:b w:val="0"/>
                <w:bCs w:val="0"/>
                <w:color w:val="auto"/>
                <w:highlight w:val="none"/>
                <w:lang w:val="en-US" w:eastAsia="zh-CN"/>
              </w:rPr>
            </w:pPr>
            <w:r>
              <w:rPr>
                <w:rFonts w:hint="eastAsia" w:ascii="仿宋" w:hAnsi="仿宋" w:eastAsia="仿宋" w:cs="仿宋"/>
                <w:color w:val="auto"/>
                <w:sz w:val="24"/>
                <w:highlight w:val="none"/>
                <w:lang w:eastAsia="zh-CN"/>
              </w:rPr>
              <w:t>⑦</w:t>
            </w:r>
            <w:r>
              <w:rPr>
                <w:rFonts w:hint="eastAsia" w:ascii="仿宋" w:hAnsi="仿宋" w:eastAsia="仿宋" w:cs="仿宋"/>
                <w:color w:val="auto"/>
                <w:sz w:val="24"/>
                <w:highlight w:val="none"/>
              </w:rPr>
              <w:t>人员</w:t>
            </w:r>
            <w:r>
              <w:rPr>
                <w:rFonts w:hint="eastAsia" w:ascii="仿宋" w:hAnsi="仿宋" w:eastAsia="仿宋" w:cs="仿宋"/>
                <w:color w:val="auto"/>
                <w:sz w:val="24"/>
                <w:highlight w:val="none"/>
                <w:lang w:eastAsia="zh-CN"/>
              </w:rPr>
              <w:t>配备</w:t>
            </w:r>
            <w:r>
              <w:rPr>
                <w:rFonts w:hint="eastAsia" w:ascii="仿宋" w:hAnsi="仿宋" w:eastAsia="仿宋" w:cs="仿宋"/>
                <w:color w:val="auto"/>
                <w:sz w:val="24"/>
                <w:highlight w:val="none"/>
              </w:rPr>
              <w:t>要求：</w:t>
            </w:r>
            <w:bookmarkStart w:id="0" w:name="OLE_LINK2"/>
            <w:r>
              <w:rPr>
                <w:rFonts w:hint="eastAsia" w:ascii="仿宋" w:hAnsi="仿宋" w:eastAsia="仿宋" w:cs="仿宋"/>
                <w:b w:val="0"/>
                <w:bCs w:val="0"/>
                <w:color w:val="auto"/>
                <w:sz w:val="24"/>
                <w:highlight w:val="none"/>
                <w:lang w:val="en-US" w:eastAsia="zh-CN"/>
              </w:rPr>
              <w:t>为确保服务质量的连续性与专业性，代理机构须为本项目配备固定的专职从业人员，作为履行本项目服务的核心力量，具体要求如下：</w:t>
            </w:r>
          </w:p>
          <w:p>
            <w:pPr>
              <w:numPr>
                <w:ilvl w:val="0"/>
                <w:numId w:val="3"/>
              </w:numPr>
              <w:autoSpaceDE w:val="0"/>
              <w:autoSpaceDN w:val="0"/>
              <w:spacing w:line="360" w:lineRule="auto"/>
              <w:rPr>
                <w:rFonts w:hint="eastAsia" w:ascii="仿宋" w:hAnsi="仿宋" w:eastAsia="仿宋" w:cs="仿宋"/>
                <w:strike w:val="0"/>
                <w:dstrike w:val="0"/>
                <w:color w:val="auto"/>
                <w:sz w:val="24"/>
                <w:highlight w:val="none"/>
                <w:lang w:eastAsia="zh-CN"/>
              </w:rPr>
            </w:pPr>
            <w:r>
              <w:rPr>
                <w:rFonts w:hint="eastAsia" w:ascii="仿宋" w:hAnsi="仿宋" w:eastAsia="仿宋" w:cs="仿宋"/>
                <w:color w:val="auto"/>
                <w:sz w:val="24"/>
                <w:highlight w:val="none"/>
              </w:rPr>
              <w:t>招标采购主管1人：</w:t>
            </w:r>
            <w:r>
              <w:rPr>
                <w:rFonts w:hint="eastAsia" w:ascii="仿宋" w:hAnsi="仿宋" w:eastAsia="仿宋" w:cs="仿宋"/>
                <w:color w:val="auto"/>
                <w:sz w:val="24"/>
                <w:highlight w:val="none"/>
                <w:lang w:eastAsia="zh-CN"/>
              </w:rPr>
              <w:t>负责与采购人沟通协调</w:t>
            </w:r>
            <w:r>
              <w:rPr>
                <w:rFonts w:hint="eastAsia" w:ascii="仿宋" w:hAnsi="仿宋" w:eastAsia="仿宋" w:cs="仿宋"/>
                <w:strike w:val="0"/>
                <w:dstrike w:val="0"/>
                <w:color w:val="auto"/>
                <w:sz w:val="24"/>
                <w:highlight w:val="none"/>
                <w:lang w:eastAsia="zh-CN"/>
              </w:rPr>
              <w:t>，对采购人所有委托项目的服务质量负主要责任，具备符合本项目要求的资质证书。</w:t>
            </w:r>
          </w:p>
          <w:p>
            <w:pPr>
              <w:numPr>
                <w:ilvl w:val="0"/>
                <w:numId w:val="3"/>
              </w:numPr>
              <w:autoSpaceDE w:val="0"/>
              <w:autoSpaceDN w:val="0"/>
              <w:spacing w:line="360" w:lineRule="auto"/>
              <w:rPr>
                <w:rFonts w:hint="eastAsia" w:ascii="仿宋" w:hAnsi="仿宋" w:eastAsia="仿宋" w:cs="仿宋"/>
                <w:color w:val="auto"/>
                <w:sz w:val="24"/>
                <w:highlight w:val="none"/>
                <w:lang w:val="en-GB" w:eastAsia="zh-CN"/>
              </w:rPr>
            </w:pPr>
            <w:r>
              <w:rPr>
                <w:rFonts w:hint="eastAsia" w:ascii="仿宋" w:hAnsi="仿宋" w:eastAsia="仿宋" w:cs="仿宋"/>
                <w:color w:val="auto"/>
                <w:sz w:val="24"/>
                <w:highlight w:val="none"/>
              </w:rPr>
              <w:t>专职人员</w:t>
            </w:r>
            <w:r>
              <w:rPr>
                <w:rFonts w:hint="eastAsia" w:ascii="仿宋" w:hAnsi="仿宋" w:eastAsia="仿宋" w:cs="仿宋"/>
                <w:color w:val="auto"/>
                <w:sz w:val="24"/>
                <w:highlight w:val="none"/>
                <w:lang w:eastAsia="zh-CN"/>
              </w:rPr>
              <w:t>至少</w:t>
            </w:r>
            <w:r>
              <w:rPr>
                <w:rFonts w:hint="eastAsia" w:ascii="仿宋" w:hAnsi="仿宋" w:eastAsia="仿宋" w:cs="仿宋"/>
                <w:color w:val="auto"/>
                <w:sz w:val="24"/>
                <w:highlight w:val="none"/>
                <w:lang w:val="en-US" w:eastAsia="zh-CN"/>
              </w:rPr>
              <w:t>2人（招标采购主管不能兼任）</w:t>
            </w:r>
            <w:r>
              <w:rPr>
                <w:rFonts w:hint="eastAsia" w:ascii="仿宋" w:hAnsi="仿宋" w:eastAsia="仿宋" w:cs="仿宋"/>
                <w:color w:val="auto"/>
                <w:sz w:val="24"/>
                <w:highlight w:val="none"/>
              </w:rPr>
              <w:t>：</w:t>
            </w:r>
            <w:r>
              <w:rPr>
                <w:rFonts w:hint="default" w:ascii="仿宋" w:hAnsi="仿宋" w:eastAsia="仿宋" w:cs="仿宋"/>
                <w:color w:val="auto"/>
                <w:sz w:val="24"/>
                <w:highlight w:val="none"/>
                <w:lang w:val="en-GB" w:eastAsia="zh-CN"/>
              </w:rPr>
              <w:t>熟悉政府采购</w:t>
            </w:r>
            <w:r>
              <w:rPr>
                <w:rFonts w:hint="eastAsia" w:ascii="仿宋" w:hAnsi="仿宋" w:eastAsia="仿宋" w:cs="仿宋"/>
                <w:color w:val="auto"/>
                <w:sz w:val="24"/>
                <w:highlight w:val="none"/>
                <w:lang w:val="en-GB" w:eastAsia="zh-CN"/>
              </w:rPr>
              <w:t>和</w:t>
            </w:r>
            <w:r>
              <w:rPr>
                <w:rFonts w:hint="default" w:ascii="仿宋" w:hAnsi="仿宋" w:eastAsia="仿宋" w:cs="仿宋"/>
                <w:color w:val="auto"/>
                <w:sz w:val="24"/>
                <w:highlight w:val="none"/>
                <w:lang w:val="en-US" w:eastAsia="zh-CN"/>
              </w:rPr>
              <w:t>招投标</w:t>
            </w:r>
            <w:r>
              <w:rPr>
                <w:rFonts w:hint="eastAsia" w:ascii="仿宋" w:hAnsi="仿宋" w:eastAsia="仿宋" w:cs="仿宋"/>
                <w:color w:val="auto"/>
                <w:sz w:val="24"/>
                <w:highlight w:val="none"/>
                <w:lang w:val="en-US" w:eastAsia="zh-CN"/>
              </w:rPr>
              <w:t>相关</w:t>
            </w:r>
            <w:r>
              <w:rPr>
                <w:rFonts w:hint="default" w:ascii="仿宋" w:hAnsi="仿宋" w:eastAsia="仿宋" w:cs="仿宋"/>
                <w:color w:val="auto"/>
                <w:sz w:val="24"/>
                <w:highlight w:val="none"/>
                <w:lang w:val="en-GB" w:eastAsia="zh-CN"/>
              </w:rPr>
              <w:t>法律法规</w:t>
            </w:r>
            <w:r>
              <w:rPr>
                <w:rFonts w:hint="eastAsia" w:ascii="仿宋" w:hAnsi="仿宋" w:eastAsia="仿宋" w:cs="仿宋"/>
                <w:color w:val="auto"/>
                <w:sz w:val="24"/>
                <w:highlight w:val="none"/>
                <w:lang w:val="en-GB" w:eastAsia="zh-CN"/>
              </w:rPr>
              <w:t>及政策要求</w:t>
            </w:r>
            <w:r>
              <w:rPr>
                <w:rFonts w:hint="default" w:ascii="仿宋" w:hAnsi="仿宋" w:eastAsia="仿宋" w:cs="仿宋"/>
                <w:color w:val="auto"/>
                <w:sz w:val="24"/>
                <w:highlight w:val="none"/>
                <w:lang w:val="en-GB" w:eastAsia="zh-CN"/>
              </w:rPr>
              <w:t>，</w:t>
            </w:r>
            <w:r>
              <w:rPr>
                <w:rFonts w:hint="eastAsia" w:ascii="仿宋" w:hAnsi="仿宋" w:eastAsia="仿宋" w:cs="仿宋"/>
                <w:strike w:val="0"/>
                <w:dstrike w:val="0"/>
                <w:color w:val="auto"/>
                <w:sz w:val="24"/>
                <w:highlight w:val="none"/>
                <w:lang w:eastAsia="zh-CN"/>
              </w:rPr>
              <w:t>具备符合本项目要求的资质证书，</w:t>
            </w:r>
            <w:r>
              <w:rPr>
                <w:rFonts w:hint="default" w:ascii="仿宋" w:hAnsi="仿宋" w:eastAsia="仿宋" w:cs="仿宋"/>
                <w:color w:val="auto"/>
                <w:sz w:val="24"/>
                <w:highlight w:val="none"/>
                <w:lang w:val="en-GB" w:eastAsia="zh-CN"/>
              </w:rPr>
              <w:t>具备</w:t>
            </w:r>
            <w:r>
              <w:rPr>
                <w:rFonts w:hint="eastAsia" w:ascii="仿宋" w:hAnsi="仿宋" w:eastAsia="仿宋" w:cs="仿宋"/>
                <w:color w:val="auto"/>
                <w:sz w:val="24"/>
                <w:highlight w:val="none"/>
                <w:lang w:val="en-GB" w:eastAsia="zh-CN"/>
              </w:rPr>
              <w:t>独立</w:t>
            </w:r>
            <w:r>
              <w:rPr>
                <w:rFonts w:hint="default" w:ascii="仿宋" w:hAnsi="仿宋" w:eastAsia="仿宋" w:cs="仿宋"/>
                <w:color w:val="auto"/>
                <w:sz w:val="24"/>
                <w:highlight w:val="none"/>
                <w:lang w:val="en-GB" w:eastAsia="zh-CN"/>
              </w:rPr>
              <w:t>编制采购文件和组织采购（评审）活动等相应能力</w:t>
            </w:r>
            <w:r>
              <w:rPr>
                <w:rFonts w:hint="eastAsia" w:ascii="仿宋" w:hAnsi="仿宋" w:eastAsia="仿宋" w:cs="仿宋"/>
                <w:color w:val="auto"/>
                <w:sz w:val="24"/>
                <w:highlight w:val="none"/>
                <w:lang w:val="en-GB" w:eastAsia="zh-CN"/>
              </w:rPr>
              <w:t>，</w:t>
            </w:r>
            <w:r>
              <w:rPr>
                <w:rFonts w:hint="eastAsia" w:ascii="仿宋" w:hAnsi="仿宋" w:eastAsia="仿宋" w:cs="仿宋"/>
                <w:color w:val="auto"/>
                <w:sz w:val="24"/>
                <w:highlight w:val="none"/>
                <w:lang w:eastAsia="zh-CN"/>
              </w:rPr>
              <w:t>负责</w:t>
            </w:r>
            <w:r>
              <w:rPr>
                <w:rFonts w:hint="eastAsia" w:ascii="仿宋" w:hAnsi="仿宋" w:eastAsia="仿宋" w:cs="仿宋"/>
                <w:color w:val="auto"/>
                <w:sz w:val="24"/>
                <w:highlight w:val="none"/>
              </w:rPr>
              <w:t>医院委托的招标采购范围内各</w:t>
            </w:r>
            <w:r>
              <w:rPr>
                <w:rFonts w:hint="eastAsia" w:ascii="仿宋" w:hAnsi="仿宋" w:eastAsia="仿宋" w:cs="仿宋"/>
                <w:color w:val="auto"/>
                <w:sz w:val="24"/>
                <w:highlight w:val="none"/>
                <w:lang w:eastAsia="zh-CN"/>
              </w:rPr>
              <w:t>类</w:t>
            </w:r>
            <w:r>
              <w:rPr>
                <w:rFonts w:hint="eastAsia" w:ascii="仿宋" w:hAnsi="仿宋" w:eastAsia="仿宋" w:cs="仿宋"/>
                <w:color w:val="auto"/>
                <w:sz w:val="24"/>
                <w:highlight w:val="none"/>
              </w:rPr>
              <w:t>项目</w:t>
            </w:r>
            <w:r>
              <w:rPr>
                <w:rFonts w:hint="eastAsia" w:ascii="仿宋" w:hAnsi="仿宋" w:eastAsia="仿宋" w:cs="仿宋"/>
                <w:color w:val="auto"/>
                <w:sz w:val="24"/>
                <w:highlight w:val="none"/>
                <w:lang w:eastAsia="zh-CN"/>
              </w:rPr>
              <w:t>执行，包括但不限于采购</w:t>
            </w:r>
            <w:r>
              <w:rPr>
                <w:rFonts w:hint="eastAsia" w:ascii="仿宋" w:hAnsi="仿宋" w:eastAsia="仿宋" w:cs="仿宋"/>
                <w:color w:val="auto"/>
                <w:sz w:val="24"/>
                <w:highlight w:val="none"/>
              </w:rPr>
              <w:t>文件制作、整理、配</w:t>
            </w:r>
            <w:r>
              <w:rPr>
                <w:rFonts w:hint="eastAsia" w:ascii="仿宋" w:hAnsi="仿宋" w:eastAsia="仿宋" w:cs="仿宋"/>
                <w:color w:val="auto"/>
                <w:sz w:val="24"/>
                <w:highlight w:val="none"/>
                <w:lang w:val="en-GB" w:eastAsia="zh-CN"/>
              </w:rPr>
              <w:t>合执行项目等。</w:t>
            </w:r>
          </w:p>
          <w:p>
            <w:pPr>
              <w:numPr>
                <w:ilvl w:val="0"/>
                <w:numId w:val="0"/>
              </w:numPr>
              <w:autoSpaceDE w:val="0"/>
              <w:autoSpaceDN w:val="0"/>
              <w:spacing w:line="360" w:lineRule="auto"/>
              <w:ind w:leftChars="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4"/>
                <w:highlight w:val="none"/>
                <w:lang w:val="en-US" w:eastAsia="zh-CN"/>
              </w:rPr>
              <w:t>★c.</w:t>
            </w:r>
            <w:r>
              <w:rPr>
                <w:rFonts w:hint="eastAsia" w:ascii="仿宋" w:hAnsi="仿宋" w:eastAsia="仿宋" w:cs="仿宋"/>
                <w:b/>
                <w:bCs/>
                <w:color w:val="auto"/>
                <w:sz w:val="28"/>
                <w:szCs w:val="28"/>
                <w:highlight w:val="none"/>
                <w:lang w:val="en-US" w:eastAsia="zh-CN"/>
              </w:rPr>
              <w:t>特别要求：</w:t>
            </w:r>
          </w:p>
          <w:p>
            <w:pPr>
              <w:numPr>
                <w:ilvl w:val="0"/>
                <w:numId w:val="0"/>
              </w:numPr>
              <w:autoSpaceDE w:val="0"/>
              <w:autoSpaceDN w:val="0"/>
              <w:spacing w:line="360" w:lineRule="auto"/>
              <w:ind w:leftChars="0" w:firstLine="562"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代理机构在响应文件中提交的专职从业人员资质作为合同履约的重要组成部分。年度委托协议签订后5个工作日内，代理机构须提供上述人员资料交底。服务期内，原则上不得随意更换已承诺的团队人员。如因不可抗力确需更换人员，代理机构须至少提前5个工作日向采购人提出书面申请，说明理由。更换申请必须附上拟接任人员的详细简历、资格证书复印件及社保证明。拟接任人员的资质条件与证书等级不得低于被更换人员。经采购人书面同意后，新更换人员必须在5个工作日内完成资料交底与上岗。若代理机构未经采购人书面同意擅自更换人员，或实际提供服务人员与响应承诺不符合，采购人有权要求其限期纠正。如代理机构未能在采购人要求的15个工作日内完成具备同等资质的人员更换并到岗，采购人有权单方解除委托合同。</w:t>
            </w:r>
          </w:p>
          <w:bookmarkEnd w:id="0"/>
          <w:p>
            <w:pPr>
              <w:autoSpaceDE w:val="0"/>
              <w:autoSpaceDN w:val="0"/>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⑧服务场地配置与设施设备要求：具备用于组织采购人项目评审活动的场所和代理业务所必需的办公条件，无论自有或租赁均应相对独立固定。</w:t>
            </w:r>
            <w:r>
              <w:rPr>
                <w:rFonts w:hint="eastAsia" w:ascii="仿宋" w:hAnsi="仿宋" w:eastAsia="仿宋" w:cs="仿宋"/>
                <w:strike w:val="0"/>
                <w:dstrike w:val="0"/>
                <w:color w:val="auto"/>
                <w:sz w:val="24"/>
                <w:highlight w:val="none"/>
                <w:lang w:val="en-US" w:eastAsia="zh-CN"/>
              </w:rPr>
              <w:t>要求场所必须配备独立的评审场地、覆盖评审区域全角度、全程不间断同步的录音录像监控设备及存储系统，确</w:t>
            </w:r>
            <w:r>
              <w:rPr>
                <w:rFonts w:hint="eastAsia" w:ascii="仿宋" w:hAnsi="仿宋" w:eastAsia="仿宋" w:cs="仿宋"/>
                <w:color w:val="auto"/>
                <w:sz w:val="24"/>
                <w:highlight w:val="none"/>
                <w:lang w:val="en-US" w:eastAsia="zh-CN"/>
              </w:rPr>
              <w:t>保音像资料清晰、完整、可追溯，保存期限不少于15年。如需更换办公或评审场所，应至少提前5个工作日向采购人书面报备，并确保新代理场所符合响应要求。</w:t>
            </w:r>
          </w:p>
          <w:p>
            <w:pPr>
              <w:autoSpaceDE w:val="0"/>
              <w:autoSpaceDN w:val="0"/>
              <w:spacing w:line="360" w:lineRule="auto"/>
              <w:rPr>
                <w:rFonts w:hint="eastAsia" w:ascii="仿宋" w:hAnsi="仿宋" w:eastAsia="仿宋" w:cs="仿宋"/>
                <w:color w:val="auto"/>
                <w:sz w:val="24"/>
                <w:highlight w:val="none"/>
                <w:vertAlign w:val="baseline"/>
                <w:lang w:val="en-US" w:eastAsia="zh-CN"/>
              </w:rPr>
            </w:pPr>
            <w:r>
              <w:rPr>
                <w:rFonts w:hint="eastAsia" w:ascii="仿宋" w:hAnsi="仿宋" w:eastAsia="仿宋" w:cs="仿宋"/>
                <w:color w:val="auto"/>
                <w:sz w:val="24"/>
                <w:highlight w:val="none"/>
                <w:lang w:eastAsia="zh-CN"/>
              </w:rPr>
              <w:t>⑨</w:t>
            </w:r>
            <w:r>
              <w:rPr>
                <w:rFonts w:hint="eastAsia" w:ascii="仿宋" w:hAnsi="仿宋" w:eastAsia="仿宋" w:cs="仿宋"/>
                <w:color w:val="auto"/>
                <w:sz w:val="24"/>
                <w:highlight w:val="none"/>
              </w:rPr>
              <w:t>档案管理要求：</w:t>
            </w:r>
            <w:r>
              <w:rPr>
                <w:rFonts w:hint="eastAsia" w:ascii="仿宋" w:hAnsi="仿宋" w:eastAsia="仿宋" w:cs="仿宋"/>
                <w:color w:val="auto"/>
                <w:sz w:val="24"/>
                <w:highlight w:val="none"/>
                <w:lang w:eastAsia="zh-CN"/>
              </w:rPr>
              <w:t>代理机构应</w:t>
            </w:r>
            <w:r>
              <w:rPr>
                <w:rFonts w:hint="eastAsia" w:ascii="仿宋" w:hAnsi="仿宋" w:eastAsia="仿宋" w:cs="仿宋"/>
                <w:color w:val="auto"/>
                <w:sz w:val="24"/>
                <w:highlight w:val="none"/>
              </w:rPr>
              <w:t>具有完整的</w:t>
            </w:r>
            <w:r>
              <w:rPr>
                <w:rFonts w:hint="eastAsia" w:ascii="仿宋" w:hAnsi="仿宋" w:eastAsia="仿宋" w:cs="仿宋"/>
                <w:color w:val="auto"/>
                <w:sz w:val="24"/>
                <w:highlight w:val="none"/>
                <w:lang w:eastAsia="zh-CN"/>
              </w:rPr>
              <w:t>采购</w:t>
            </w:r>
            <w:r>
              <w:rPr>
                <w:rFonts w:hint="eastAsia" w:ascii="仿宋" w:hAnsi="仿宋" w:eastAsia="仿宋" w:cs="仿宋"/>
                <w:color w:val="auto"/>
                <w:sz w:val="24"/>
                <w:highlight w:val="none"/>
              </w:rPr>
              <w:t>档案管理制度，提供纸质、电子、影音资料存档，</w:t>
            </w:r>
            <w:r>
              <w:rPr>
                <w:rFonts w:hint="eastAsia" w:ascii="仿宋" w:hAnsi="仿宋" w:eastAsia="仿宋" w:cs="仿宋"/>
                <w:color w:val="auto"/>
                <w:sz w:val="24"/>
                <w:highlight w:val="none"/>
                <w:lang w:eastAsia="zh-CN"/>
              </w:rPr>
              <w:t>档案电子扫描件需清晰、完整，存储格式应为PDF等通用、不可篡改的标准格式，并确保其完整性。</w:t>
            </w:r>
            <w:r>
              <w:rPr>
                <w:rFonts w:hint="eastAsia" w:ascii="仿宋" w:hAnsi="仿宋" w:eastAsia="仿宋" w:cs="仿宋"/>
                <w:color w:val="auto"/>
                <w:sz w:val="24"/>
                <w:highlight w:val="none"/>
              </w:rPr>
              <w:t>每个代理的项目档案按政府采购</w:t>
            </w:r>
            <w:r>
              <w:rPr>
                <w:rFonts w:hint="eastAsia" w:ascii="仿宋" w:hAnsi="仿宋" w:eastAsia="仿宋" w:cs="仿宋"/>
                <w:color w:val="auto"/>
                <w:sz w:val="24"/>
                <w:highlight w:val="none"/>
                <w:lang w:eastAsia="zh-CN"/>
              </w:rPr>
              <w:t>及招标投标法规的要求执行，采购档案</w:t>
            </w:r>
            <w:r>
              <w:rPr>
                <w:rFonts w:hint="eastAsia" w:ascii="仿宋" w:hAnsi="仿宋" w:eastAsia="仿宋" w:cs="仿宋"/>
                <w:color w:val="auto"/>
                <w:sz w:val="24"/>
                <w:highlight w:val="none"/>
              </w:rPr>
              <w:t>至少保存15年。如采购人需要可随时提供电子资料，纸质资料</w:t>
            </w:r>
            <w:r>
              <w:rPr>
                <w:rFonts w:hint="eastAsia" w:ascii="仿宋" w:hAnsi="仿宋" w:eastAsia="仿宋" w:cs="仿宋"/>
                <w:color w:val="auto"/>
                <w:sz w:val="24"/>
                <w:highlight w:val="none"/>
                <w:lang w:eastAsia="zh-CN"/>
              </w:rPr>
              <w:t>应</w:t>
            </w:r>
            <w:r>
              <w:rPr>
                <w:rFonts w:hint="eastAsia" w:ascii="仿宋" w:hAnsi="仿宋" w:eastAsia="仿宋" w:cs="仿宋"/>
                <w:color w:val="auto"/>
                <w:sz w:val="24"/>
                <w:highlight w:val="none"/>
              </w:rPr>
              <w:t>在2个工作日</w:t>
            </w:r>
            <w:r>
              <w:rPr>
                <w:rFonts w:hint="eastAsia" w:ascii="仿宋" w:hAnsi="仿宋" w:eastAsia="仿宋" w:cs="仿宋"/>
                <w:color w:val="auto"/>
                <w:sz w:val="24"/>
                <w:highlight w:val="none"/>
                <w:lang w:eastAsia="zh-CN"/>
              </w:rPr>
              <w:t>内备妥以供查阅。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pStyle w:val="2"/>
              <w:spacing w:line="360" w:lineRule="auto"/>
              <w:jc w:val="center"/>
              <w:rPr>
                <w:rFonts w:hint="eastAsia" w:ascii="仿宋" w:hAnsi="仿宋" w:eastAsia="仿宋" w:cs="仿宋"/>
                <w:color w:val="auto"/>
                <w:sz w:val="24"/>
                <w:highlight w:val="none"/>
                <w:vertAlign w:val="baseline"/>
                <w:lang w:val="en-US" w:eastAsia="zh-CN"/>
              </w:rPr>
            </w:pPr>
            <w:r>
              <w:rPr>
                <w:rFonts w:hint="default" w:ascii="仿宋" w:hAnsi="仿宋" w:eastAsia="仿宋" w:cs="仿宋"/>
                <w:color w:val="auto"/>
                <w:sz w:val="24"/>
                <w:highlight w:val="none"/>
                <w:lang w:val="en-US" w:eastAsia="zh-CN"/>
              </w:rPr>
              <w:t>专家论证服务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restart"/>
            <w:vAlign w:val="center"/>
          </w:tcPr>
          <w:p>
            <w:pPr>
              <w:pStyle w:val="2"/>
              <w:spacing w:line="360" w:lineRule="auto"/>
              <w:jc w:val="center"/>
              <w:rPr>
                <w:rFonts w:hint="default" w:ascii="仿宋" w:hAnsi="仿宋" w:eastAsia="仿宋" w:cs="仿宋"/>
                <w:color w:val="auto"/>
                <w:sz w:val="24"/>
                <w:highlight w:val="none"/>
                <w:vertAlign w:val="baseline"/>
                <w:lang w:val="en-US" w:eastAsia="zh-CN"/>
              </w:rPr>
            </w:pPr>
            <w:r>
              <w:rPr>
                <w:rFonts w:hint="eastAsia" w:ascii="仿宋" w:hAnsi="仿宋" w:eastAsia="仿宋" w:cs="仿宋"/>
                <w:color w:val="auto"/>
                <w:sz w:val="24"/>
                <w:highlight w:val="none"/>
                <w:vertAlign w:val="baseline"/>
                <w:lang w:val="en-US" w:eastAsia="zh-CN"/>
              </w:rPr>
              <w:t>2</w:t>
            </w:r>
          </w:p>
        </w:tc>
        <w:tc>
          <w:tcPr>
            <w:tcW w:w="1413" w:type="dxa"/>
            <w:vAlign w:val="center"/>
          </w:tcPr>
          <w:p>
            <w:pPr>
              <w:pStyle w:val="2"/>
              <w:spacing w:line="360" w:lineRule="auto"/>
              <w:jc w:val="center"/>
              <w:rPr>
                <w:rFonts w:hint="eastAsia" w:ascii="仿宋" w:hAnsi="仿宋" w:eastAsia="仿宋" w:cs="仿宋"/>
                <w:color w:val="auto"/>
                <w:sz w:val="24"/>
                <w:highlight w:val="none"/>
                <w:vertAlign w:val="baseline"/>
                <w:lang w:val="en-US" w:eastAsia="zh-CN"/>
              </w:rPr>
            </w:pPr>
            <w:r>
              <w:rPr>
                <w:rFonts w:hint="eastAsia" w:ascii="仿宋" w:hAnsi="仿宋" w:eastAsia="仿宋" w:cs="仿宋"/>
                <w:color w:val="auto"/>
                <w:sz w:val="24"/>
                <w:highlight w:val="none"/>
                <w:vertAlign w:val="baseline"/>
                <w:lang w:val="en-US" w:eastAsia="zh-CN"/>
              </w:rPr>
              <w:t>服务内容</w:t>
            </w:r>
          </w:p>
        </w:tc>
        <w:tc>
          <w:tcPr>
            <w:tcW w:w="6370" w:type="dxa"/>
          </w:tcPr>
          <w:p>
            <w:pPr>
              <w:pStyle w:val="2"/>
              <w:spacing w:line="360" w:lineRule="auto"/>
              <w:rPr>
                <w:rFonts w:hint="eastAsia" w:ascii="仿宋" w:hAnsi="仿宋" w:eastAsia="仿宋" w:cs="仿宋"/>
                <w:color w:val="auto"/>
                <w:sz w:val="24"/>
                <w:highlight w:val="none"/>
                <w:vertAlign w:val="baseline"/>
                <w:lang w:val="en-US" w:eastAsia="zh-CN"/>
              </w:rPr>
            </w:pPr>
            <w:r>
              <w:rPr>
                <w:rFonts w:hint="eastAsia" w:ascii="仿宋" w:hAnsi="仿宋" w:eastAsia="仿宋" w:cs="仿宋"/>
                <w:strike w:val="0"/>
                <w:dstrike w:val="0"/>
                <w:color w:val="auto"/>
                <w:sz w:val="24"/>
                <w:highlight w:val="none"/>
                <w:lang w:eastAsia="zh-CN"/>
              </w:rPr>
              <w:t>根据采购人委托，独立、规范</w:t>
            </w:r>
            <w:r>
              <w:rPr>
                <w:rFonts w:hint="eastAsia" w:ascii="仿宋" w:hAnsi="仿宋" w:eastAsia="仿宋" w:cs="仿宋"/>
                <w:strike w:val="0"/>
                <w:color w:val="auto"/>
                <w:sz w:val="24"/>
                <w:highlight w:val="none"/>
                <w:lang w:val="en-US" w:eastAsia="zh-CN"/>
              </w:rPr>
              <w:t>组</w:t>
            </w:r>
            <w:r>
              <w:rPr>
                <w:rFonts w:hint="eastAsia" w:ascii="仿宋" w:hAnsi="仿宋" w:eastAsia="仿宋" w:cs="仿宋"/>
                <w:color w:val="auto"/>
                <w:sz w:val="24"/>
                <w:highlight w:val="none"/>
                <w:lang w:val="en-US" w:eastAsia="zh-CN"/>
              </w:rPr>
              <w:t>织并完成</w:t>
            </w:r>
            <w:r>
              <w:rPr>
                <w:rFonts w:hint="default" w:ascii="仿宋" w:hAnsi="仿宋" w:eastAsia="仿宋" w:cs="仿宋"/>
                <w:color w:val="auto"/>
                <w:sz w:val="24"/>
                <w:highlight w:val="none"/>
                <w:lang w:val="en-US" w:eastAsia="zh-CN"/>
              </w:rPr>
              <w:t>进口产品论证、招标/采购文件论证、采购需求论证</w:t>
            </w:r>
            <w:r>
              <w:rPr>
                <w:rFonts w:hint="eastAsia" w:ascii="仿宋" w:hAnsi="仿宋" w:eastAsia="仿宋" w:cs="仿宋"/>
                <w:strike w:val="0"/>
                <w:dstrike w:val="0"/>
                <w:color w:val="auto"/>
                <w:sz w:val="24"/>
                <w:highlight w:val="none"/>
                <w:lang w:eastAsia="zh-CN"/>
              </w:rPr>
              <w:t>（含技术参数论证）</w:t>
            </w:r>
            <w:r>
              <w:rPr>
                <w:rFonts w:hint="default" w:ascii="仿宋" w:hAnsi="仿宋" w:eastAsia="仿宋" w:cs="仿宋"/>
                <w:color w:val="auto"/>
                <w:sz w:val="24"/>
                <w:highlight w:val="none"/>
                <w:lang w:val="en-US" w:eastAsia="zh-CN"/>
              </w:rPr>
              <w:t>等</w:t>
            </w:r>
            <w:r>
              <w:rPr>
                <w:rFonts w:hint="eastAsia" w:ascii="仿宋" w:hAnsi="仿宋" w:eastAsia="仿宋" w:cs="仿宋"/>
                <w:color w:val="auto"/>
                <w:sz w:val="24"/>
                <w:highlight w:val="none"/>
                <w:lang w:val="en-US" w:eastAsia="zh-CN"/>
              </w:rPr>
              <w:t>各类论证工作，出具报告</w:t>
            </w:r>
            <w:r>
              <w:rPr>
                <w:rFonts w:hint="default" w:ascii="仿宋" w:hAnsi="仿宋" w:eastAsia="仿宋" w:cs="仿宋"/>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continue"/>
            <w:vAlign w:val="center"/>
          </w:tcPr>
          <w:p>
            <w:pPr>
              <w:pStyle w:val="2"/>
              <w:spacing w:line="360" w:lineRule="auto"/>
              <w:jc w:val="center"/>
              <w:rPr>
                <w:rFonts w:hint="default" w:ascii="仿宋" w:hAnsi="仿宋" w:eastAsia="仿宋" w:cs="仿宋"/>
                <w:color w:val="auto"/>
                <w:sz w:val="24"/>
                <w:highlight w:val="none"/>
                <w:vertAlign w:val="baseline"/>
                <w:lang w:val="en-US" w:eastAsia="zh-CN"/>
              </w:rPr>
            </w:pPr>
          </w:p>
        </w:tc>
        <w:tc>
          <w:tcPr>
            <w:tcW w:w="1413" w:type="dxa"/>
            <w:vAlign w:val="center"/>
          </w:tcPr>
          <w:p>
            <w:pPr>
              <w:pStyle w:val="2"/>
              <w:spacing w:line="360" w:lineRule="auto"/>
              <w:jc w:val="center"/>
              <w:rPr>
                <w:rFonts w:hint="eastAsia" w:ascii="仿宋" w:hAnsi="仿宋" w:eastAsia="仿宋" w:cs="仿宋"/>
                <w:color w:val="auto"/>
                <w:sz w:val="24"/>
                <w:highlight w:val="none"/>
                <w:vertAlign w:val="baseline"/>
                <w:lang w:val="en-US" w:eastAsia="zh-CN"/>
              </w:rPr>
            </w:pPr>
            <w:r>
              <w:rPr>
                <w:rFonts w:hint="eastAsia" w:ascii="仿宋" w:hAnsi="仿宋" w:eastAsia="仿宋" w:cs="仿宋"/>
                <w:color w:val="auto"/>
                <w:sz w:val="24"/>
                <w:highlight w:val="none"/>
                <w:vertAlign w:val="baseline"/>
                <w:lang w:val="en-US" w:eastAsia="zh-CN"/>
              </w:rPr>
              <w:t>服务要求</w:t>
            </w:r>
          </w:p>
        </w:tc>
        <w:tc>
          <w:tcPr>
            <w:tcW w:w="6370" w:type="dxa"/>
          </w:tcPr>
          <w:p>
            <w:pPr>
              <w:pStyle w:val="2"/>
              <w:spacing w:line="360" w:lineRule="auto"/>
              <w:rPr>
                <w:rFonts w:hint="eastAsia" w:ascii="仿宋" w:hAnsi="仿宋" w:eastAsia="仿宋" w:cs="仿宋"/>
                <w:strike w:val="0"/>
                <w:dstrike w:val="0"/>
                <w:color w:val="auto"/>
                <w:sz w:val="24"/>
                <w:highlight w:val="none"/>
                <w:lang w:eastAsia="zh-CN"/>
              </w:rPr>
            </w:pPr>
            <w:r>
              <w:rPr>
                <w:rFonts w:hint="default" w:ascii="仿宋" w:hAnsi="仿宋" w:eastAsia="仿宋" w:cs="仿宋"/>
                <w:color w:val="auto"/>
                <w:sz w:val="24"/>
                <w:highlight w:val="none"/>
                <w:lang w:val="en-US" w:eastAsia="zh-CN"/>
              </w:rPr>
              <w:t>论证专家</w:t>
            </w:r>
            <w:r>
              <w:rPr>
                <w:rFonts w:hint="eastAsia" w:ascii="仿宋" w:hAnsi="仿宋" w:eastAsia="仿宋" w:cs="仿宋"/>
                <w:color w:val="auto"/>
                <w:sz w:val="24"/>
                <w:highlight w:val="none"/>
                <w:lang w:val="en-US" w:eastAsia="zh-CN"/>
              </w:rPr>
              <w:t>原则应</w:t>
            </w:r>
            <w:r>
              <w:rPr>
                <w:rFonts w:hint="default" w:ascii="仿宋" w:hAnsi="仿宋" w:eastAsia="仿宋" w:cs="仿宋"/>
                <w:color w:val="auto"/>
                <w:sz w:val="24"/>
                <w:highlight w:val="none"/>
                <w:lang w:val="en-US" w:eastAsia="zh-CN"/>
              </w:rPr>
              <w:t>从广东省政府采购专家库中随机抽取，如根据项目特点需另外抽取</w:t>
            </w:r>
            <w:r>
              <w:rPr>
                <w:rFonts w:hint="eastAsia" w:ascii="仿宋" w:hAnsi="仿宋" w:eastAsia="仿宋" w:cs="仿宋"/>
                <w:color w:val="auto"/>
                <w:sz w:val="24"/>
                <w:highlight w:val="none"/>
                <w:lang w:val="en-US" w:eastAsia="zh-CN"/>
              </w:rPr>
              <w:t>的</w:t>
            </w:r>
            <w:r>
              <w:rPr>
                <w:rFonts w:hint="default" w:ascii="仿宋" w:hAnsi="仿宋" w:eastAsia="仿宋" w:cs="仿宋"/>
                <w:color w:val="auto"/>
                <w:sz w:val="24"/>
                <w:highlight w:val="none"/>
                <w:lang w:val="en-US" w:eastAsia="zh-CN"/>
              </w:rPr>
              <w:t>，应合法合规、依据充分合理。论证专家人数应符合国家相关法律法规和</w:t>
            </w:r>
            <w:r>
              <w:rPr>
                <w:rFonts w:hint="eastAsia" w:ascii="仿宋" w:hAnsi="仿宋" w:eastAsia="仿宋" w:cs="仿宋"/>
                <w:color w:val="auto"/>
                <w:sz w:val="24"/>
                <w:highlight w:val="none"/>
                <w:lang w:val="en-US" w:eastAsia="zh-CN"/>
              </w:rPr>
              <w:t>采购人</w:t>
            </w:r>
            <w:r>
              <w:rPr>
                <w:rFonts w:hint="default" w:ascii="仿宋" w:hAnsi="仿宋" w:eastAsia="仿宋" w:cs="仿宋"/>
                <w:color w:val="auto"/>
                <w:sz w:val="24"/>
                <w:highlight w:val="none"/>
                <w:lang w:val="en-US" w:eastAsia="zh-CN"/>
              </w:rPr>
              <w:t>要求，即由5名或以上（单数）的专家组成，并以此人员组成开展论证工作。</w:t>
            </w:r>
            <w:r>
              <w:rPr>
                <w:rFonts w:hint="eastAsia" w:ascii="仿宋" w:hAnsi="仿宋" w:eastAsia="仿宋" w:cs="仿宋"/>
                <w:color w:val="auto"/>
                <w:sz w:val="24"/>
                <w:highlight w:val="none"/>
                <w:lang w:val="en-US" w:eastAsia="zh-CN"/>
              </w:rPr>
              <w:t>代理机构</w:t>
            </w:r>
            <w:r>
              <w:rPr>
                <w:rFonts w:hint="default" w:ascii="仿宋" w:hAnsi="仿宋" w:eastAsia="仿宋" w:cs="仿宋"/>
                <w:color w:val="auto"/>
                <w:sz w:val="24"/>
                <w:highlight w:val="none"/>
                <w:lang w:val="en-US" w:eastAsia="zh-CN"/>
              </w:rPr>
              <w:t>须按《国家卫生健康委关于进一步规范和加强政府采购管理工作的通知》（国卫财务函〔2020〕250号）要求，组织至少1名律师和4名</w:t>
            </w:r>
            <w:r>
              <w:rPr>
                <w:rFonts w:hint="eastAsia" w:ascii="仿宋" w:hAnsi="仿宋" w:eastAsia="仿宋" w:cs="仿宋"/>
                <w:color w:val="auto"/>
                <w:sz w:val="24"/>
                <w:highlight w:val="none"/>
                <w:lang w:val="en-US" w:eastAsia="zh-CN"/>
              </w:rPr>
              <w:t>对应采购项目的</w:t>
            </w:r>
            <w:r>
              <w:rPr>
                <w:rFonts w:hint="default" w:ascii="仿宋" w:hAnsi="仿宋" w:eastAsia="仿宋" w:cs="仿宋"/>
                <w:color w:val="auto"/>
                <w:sz w:val="24"/>
                <w:highlight w:val="none"/>
                <w:lang w:val="en-US" w:eastAsia="zh-CN"/>
              </w:rPr>
              <w:t>行业专家（</w:t>
            </w:r>
            <w:r>
              <w:rPr>
                <w:rFonts w:hint="eastAsia" w:ascii="仿宋" w:hAnsi="仿宋" w:eastAsia="仿宋" w:cs="仿宋"/>
                <w:color w:val="auto"/>
                <w:sz w:val="24"/>
                <w:highlight w:val="none"/>
                <w:lang w:val="en-US" w:eastAsia="zh-CN"/>
              </w:rPr>
              <w:t>采购人</w:t>
            </w:r>
            <w:r>
              <w:rPr>
                <w:rFonts w:hint="default" w:ascii="仿宋" w:hAnsi="仿宋" w:eastAsia="仿宋" w:cs="仿宋"/>
                <w:color w:val="auto"/>
                <w:sz w:val="24"/>
                <w:highlight w:val="none"/>
                <w:lang w:val="en-US" w:eastAsia="zh-CN"/>
              </w:rPr>
              <w:t>不担任论证专家）</w:t>
            </w:r>
            <w:r>
              <w:rPr>
                <w:rFonts w:hint="eastAsia" w:ascii="仿宋" w:hAnsi="仿宋" w:eastAsia="仿宋" w:cs="仿宋"/>
                <w:color w:val="auto"/>
                <w:sz w:val="24"/>
                <w:highlight w:val="none"/>
                <w:lang w:val="en-US" w:eastAsia="zh-CN"/>
              </w:rPr>
              <w:t>组成论证小组进行论证，由此产生的专家劳务费及其他相关费用由</w:t>
            </w:r>
            <w:r>
              <w:rPr>
                <w:rFonts w:hint="eastAsia" w:ascii="仿宋" w:hAnsi="仿宋" w:eastAsia="仿宋" w:cs="仿宋"/>
                <w:strike w:val="0"/>
                <w:dstrike w:val="0"/>
                <w:color w:val="auto"/>
                <w:sz w:val="24"/>
                <w:highlight w:val="none"/>
                <w:lang w:val="en-US" w:eastAsia="zh-CN"/>
              </w:rPr>
              <w:t>该项目委托的代理机构</w:t>
            </w:r>
            <w:r>
              <w:rPr>
                <w:rFonts w:hint="eastAsia" w:ascii="仿宋" w:hAnsi="仿宋" w:eastAsia="仿宋" w:cs="仿宋"/>
                <w:color w:val="auto"/>
                <w:sz w:val="24"/>
                <w:highlight w:val="none"/>
                <w:lang w:val="en-US" w:eastAsia="zh-CN"/>
              </w:rPr>
              <w:t>承担，采购人不支付上述费用。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pStyle w:val="2"/>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其他服务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restart"/>
            <w:vAlign w:val="center"/>
          </w:tcPr>
          <w:p>
            <w:pPr>
              <w:pStyle w:val="2"/>
              <w:spacing w:line="360" w:lineRule="auto"/>
              <w:jc w:val="center"/>
              <w:rPr>
                <w:rFonts w:hint="default" w:ascii="仿宋" w:hAnsi="仿宋" w:eastAsia="仿宋" w:cs="仿宋"/>
                <w:color w:val="auto"/>
                <w:sz w:val="24"/>
                <w:highlight w:val="none"/>
                <w:vertAlign w:val="baseline"/>
                <w:lang w:val="en-US" w:eastAsia="zh-CN"/>
              </w:rPr>
            </w:pPr>
            <w:r>
              <w:rPr>
                <w:rFonts w:hint="eastAsia" w:ascii="仿宋" w:hAnsi="仿宋" w:eastAsia="仿宋" w:cs="仿宋"/>
                <w:color w:val="auto"/>
                <w:sz w:val="24"/>
                <w:highlight w:val="none"/>
                <w:vertAlign w:val="baseline"/>
                <w:lang w:val="en-US" w:eastAsia="zh-CN"/>
              </w:rPr>
              <w:t>3</w:t>
            </w:r>
          </w:p>
        </w:tc>
        <w:tc>
          <w:tcPr>
            <w:tcW w:w="1413" w:type="dxa"/>
            <w:vMerge w:val="restart"/>
            <w:vAlign w:val="center"/>
          </w:tcPr>
          <w:p>
            <w:pPr>
              <w:pStyle w:val="2"/>
              <w:spacing w:line="360" w:lineRule="auto"/>
              <w:jc w:val="center"/>
              <w:rPr>
                <w:rFonts w:hint="eastAsia" w:ascii="仿宋" w:hAnsi="仿宋" w:eastAsia="仿宋" w:cs="仿宋"/>
                <w:color w:val="auto"/>
                <w:sz w:val="24"/>
                <w:highlight w:val="none"/>
                <w:vertAlign w:val="baseline"/>
                <w:lang w:val="en-US" w:eastAsia="zh-CN"/>
              </w:rPr>
            </w:pPr>
            <w:r>
              <w:rPr>
                <w:rFonts w:hint="eastAsia" w:ascii="仿宋" w:hAnsi="仿宋" w:eastAsia="仿宋" w:cs="仿宋"/>
                <w:color w:val="auto"/>
                <w:sz w:val="24"/>
                <w:highlight w:val="none"/>
                <w:vertAlign w:val="baseline"/>
                <w:lang w:val="en-US" w:eastAsia="zh-CN"/>
              </w:rPr>
              <w:t>服务内容</w:t>
            </w:r>
          </w:p>
        </w:tc>
        <w:tc>
          <w:tcPr>
            <w:tcW w:w="6370" w:type="dxa"/>
          </w:tcPr>
          <w:p>
            <w:pPr>
              <w:pStyle w:val="2"/>
              <w:spacing w:line="360" w:lineRule="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专业法律法规及委托代理协议中明确的其它事项。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739" w:type="dxa"/>
            <w:vMerge w:val="continue"/>
            <w:vAlign w:val="center"/>
          </w:tcPr>
          <w:p>
            <w:pPr>
              <w:pStyle w:val="2"/>
              <w:spacing w:line="360" w:lineRule="auto"/>
              <w:jc w:val="center"/>
              <w:rPr>
                <w:rFonts w:hint="eastAsia" w:ascii="仿宋" w:hAnsi="仿宋" w:eastAsia="仿宋" w:cs="仿宋"/>
                <w:color w:val="auto"/>
                <w:sz w:val="24"/>
                <w:highlight w:val="none"/>
                <w:vertAlign w:val="baseline"/>
                <w:lang w:val="en-US" w:eastAsia="zh-CN"/>
              </w:rPr>
            </w:pPr>
          </w:p>
        </w:tc>
        <w:tc>
          <w:tcPr>
            <w:tcW w:w="1413" w:type="dxa"/>
            <w:vMerge w:val="continue"/>
            <w:vAlign w:val="center"/>
          </w:tcPr>
          <w:p>
            <w:pPr>
              <w:pStyle w:val="2"/>
              <w:spacing w:line="360" w:lineRule="auto"/>
              <w:jc w:val="center"/>
              <w:rPr>
                <w:rFonts w:hint="eastAsia" w:ascii="仿宋" w:hAnsi="仿宋" w:eastAsia="仿宋" w:cs="仿宋"/>
                <w:color w:val="auto"/>
                <w:sz w:val="24"/>
                <w:highlight w:val="none"/>
                <w:vertAlign w:val="baseline"/>
                <w:lang w:val="en-US" w:eastAsia="zh-CN"/>
              </w:rPr>
            </w:pPr>
          </w:p>
        </w:tc>
        <w:tc>
          <w:tcPr>
            <w:tcW w:w="6370" w:type="dxa"/>
          </w:tcPr>
          <w:p>
            <w:pPr>
              <w:pStyle w:val="2"/>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服务期内，如采购人有需要，可及时向采购人提供专业的采购业务咨询服务。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continue"/>
          </w:tcPr>
          <w:p>
            <w:pPr>
              <w:pStyle w:val="2"/>
              <w:spacing w:line="360" w:lineRule="auto"/>
              <w:jc w:val="center"/>
              <w:rPr>
                <w:rFonts w:hint="eastAsia" w:ascii="仿宋" w:hAnsi="仿宋" w:eastAsia="仿宋" w:cs="仿宋"/>
                <w:color w:val="auto"/>
                <w:sz w:val="24"/>
                <w:highlight w:val="none"/>
                <w:vertAlign w:val="baseline"/>
                <w:lang w:val="en-US" w:eastAsia="zh-CN"/>
              </w:rPr>
            </w:pPr>
          </w:p>
        </w:tc>
        <w:tc>
          <w:tcPr>
            <w:tcW w:w="1413" w:type="dxa"/>
            <w:vMerge w:val="continue"/>
          </w:tcPr>
          <w:p>
            <w:pPr>
              <w:pStyle w:val="2"/>
              <w:spacing w:line="360" w:lineRule="auto"/>
              <w:rPr>
                <w:rFonts w:hint="eastAsia" w:ascii="仿宋" w:hAnsi="仿宋" w:eastAsia="仿宋" w:cs="仿宋"/>
                <w:color w:val="auto"/>
                <w:sz w:val="24"/>
                <w:highlight w:val="none"/>
                <w:vertAlign w:val="baseline"/>
                <w:lang w:val="en-US" w:eastAsia="zh-CN"/>
              </w:rPr>
            </w:pPr>
          </w:p>
        </w:tc>
        <w:tc>
          <w:tcPr>
            <w:tcW w:w="6370" w:type="dxa"/>
          </w:tcPr>
          <w:p>
            <w:pPr>
              <w:pStyle w:val="2"/>
              <w:spacing w:line="360" w:lineRule="auto"/>
              <w:rPr>
                <w:rFonts w:hint="default" w:ascii="仿宋" w:hAnsi="仿宋" w:eastAsia="仿宋" w:cs="仿宋"/>
                <w:color w:val="auto"/>
                <w:sz w:val="24"/>
                <w:highlight w:val="none"/>
                <w:lang w:val="en-US" w:eastAsia="zh-CN"/>
              </w:rPr>
            </w:pP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sz w:val="24"/>
                <w:highlight w:val="none"/>
                <w:lang w:val="en-US" w:eastAsia="zh-CN"/>
              </w:rPr>
              <w:t>培训;</w:t>
            </w:r>
            <w:r>
              <w:rPr>
                <w:rFonts w:hint="eastAsia" w:ascii="仿宋" w:hAnsi="仿宋" w:eastAsia="仿宋" w:cs="仿宋"/>
                <w:color w:val="auto"/>
                <w:sz w:val="24"/>
                <w:highlight w:val="none"/>
                <w:lang w:eastAsia="zh-CN"/>
              </w:rPr>
              <w:t>每年至少安排一位培训讲师为采购人组织政府采购或招投标有关法规政策的培训，培训次数不少于一次</w:t>
            </w:r>
            <w:r>
              <w:rPr>
                <w:rFonts w:hint="eastAsia" w:ascii="仿宋" w:hAnsi="仿宋" w:eastAsia="仿宋" w:cs="仿宋"/>
                <w:b/>
                <w:bCs/>
                <w:color w:val="auto"/>
                <w:sz w:val="24"/>
                <w:highlight w:val="none"/>
                <w:lang w:eastAsia="zh-CN"/>
              </w:rPr>
              <w:t>（响应时代理机构需提供培训计划，包括但不限于培训讲师名单及资质、培训时间、培训形式及培训内容等）</w:t>
            </w:r>
            <w:r>
              <w:rPr>
                <w:rFonts w:hint="eastAsia" w:ascii="仿宋" w:hAnsi="仿宋" w:eastAsia="仿宋" w:cs="仿宋"/>
                <w:color w:val="auto"/>
                <w:sz w:val="24"/>
                <w:highlight w:val="none"/>
                <w:lang w:eastAsia="zh-CN"/>
              </w:rPr>
              <w:t>。</w:t>
            </w:r>
          </w:p>
        </w:tc>
      </w:tr>
    </w:tbl>
    <w:p>
      <w:pPr>
        <w:keepNext w:val="0"/>
        <w:keepLines w:val="0"/>
        <w:pageBreakBefore w:val="0"/>
        <w:widowControl w:val="0"/>
        <w:numPr>
          <w:ilvl w:val="0"/>
          <w:numId w:val="0"/>
        </w:numPr>
        <w:kinsoku/>
        <w:wordWrap/>
        <w:overflowPunct/>
        <w:topLinePunct w:val="0"/>
        <w:bidi w:val="0"/>
        <w:adjustRightInd/>
        <w:snapToGrid/>
        <w:spacing w:line="460" w:lineRule="exact"/>
        <w:ind w:firstLine="480" w:firstLineChars="20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其他要求：</w:t>
      </w:r>
    </w:p>
    <w:p>
      <w:pPr>
        <w:keepNext w:val="0"/>
        <w:keepLines w:val="0"/>
        <w:pageBreakBefore w:val="0"/>
        <w:widowControl w:val="0"/>
        <w:numPr>
          <w:ilvl w:val="0"/>
          <w:numId w:val="0"/>
        </w:numPr>
        <w:kinsoku/>
        <w:wordWrap/>
        <w:overflowPunct/>
        <w:topLinePunct w:val="0"/>
        <w:bidi w:val="0"/>
        <w:adjustRightInd/>
        <w:snapToGrid/>
        <w:spacing w:line="460" w:lineRule="exact"/>
        <w:ind w:firstLine="480" w:firstLineChars="20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）回避要求：严格执行预算编制、预算审核、结算编制、结算审核、竣工财务决算编制、竣工财务决算审核、招标采购代理等分离制度。代理机构若已承接同一个项目的任意前述环境，则</w:t>
      </w:r>
      <w:r>
        <w:rPr>
          <w:rFonts w:hint="default" w:ascii="仿宋" w:hAnsi="仿宋" w:eastAsia="仿宋" w:cs="仿宋"/>
          <w:color w:val="auto"/>
          <w:sz w:val="24"/>
          <w:highlight w:val="none"/>
          <w:lang w:eastAsia="zh-CN"/>
        </w:rPr>
        <w:t>必须自动回避该项目的其他所有关联环节</w:t>
      </w:r>
      <w:r>
        <w:rPr>
          <w:rFonts w:hint="eastAsia" w:ascii="仿宋" w:hAnsi="仿宋" w:eastAsia="仿宋" w:cs="仿宋"/>
          <w:color w:val="auto"/>
          <w:sz w:val="24"/>
          <w:highlight w:val="none"/>
          <w:lang w:eastAsia="zh-CN"/>
        </w:rPr>
        <w:t>，</w:t>
      </w:r>
      <w:r>
        <w:rPr>
          <w:rFonts w:hint="default" w:ascii="仿宋" w:hAnsi="仿宋" w:eastAsia="仿宋" w:cs="仿宋"/>
          <w:color w:val="auto"/>
          <w:sz w:val="24"/>
          <w:highlight w:val="none"/>
          <w:lang w:eastAsia="zh-CN"/>
        </w:rPr>
        <w:t>采购</w:t>
      </w:r>
      <w:r>
        <w:rPr>
          <w:rFonts w:hint="default" w:ascii="仿宋" w:hAnsi="仿宋" w:eastAsia="仿宋" w:cs="仿宋"/>
          <w:color w:val="auto"/>
          <w:sz w:val="24"/>
          <w:highlight w:val="none"/>
          <w:lang w:val="en-US" w:eastAsia="zh-CN"/>
        </w:rPr>
        <w:t>人</w:t>
      </w:r>
      <w:r>
        <w:rPr>
          <w:rFonts w:hint="default" w:ascii="仿宋" w:hAnsi="仿宋" w:eastAsia="仿宋" w:cs="仿宋"/>
          <w:color w:val="auto"/>
          <w:sz w:val="24"/>
          <w:highlight w:val="none"/>
          <w:lang w:eastAsia="zh-CN"/>
        </w:rPr>
        <w:t>有权另行选取代理机构</w:t>
      </w:r>
      <w:r>
        <w:rPr>
          <w:rFonts w:hint="eastAsia" w:ascii="仿宋" w:hAnsi="仿宋" w:eastAsia="仿宋" w:cs="仿宋"/>
          <w:color w:val="auto"/>
          <w:sz w:val="24"/>
          <w:highlight w:val="none"/>
          <w:lang w:eastAsia="zh-CN"/>
        </w:rPr>
        <w:t>。</w:t>
      </w:r>
      <w:r>
        <w:rPr>
          <w:rFonts w:hint="default" w:ascii="仿宋" w:hAnsi="仿宋" w:eastAsia="仿宋" w:cs="仿宋"/>
          <w:color w:val="auto"/>
          <w:sz w:val="24"/>
          <w:highlight w:val="none"/>
          <w:lang w:eastAsia="zh-CN"/>
        </w:rPr>
        <w:t>代理机构在接受具体委托前，负有主动进行利益冲突审查并</w:t>
      </w:r>
      <w:r>
        <w:rPr>
          <w:rFonts w:hint="eastAsia" w:ascii="仿宋" w:hAnsi="仿宋" w:eastAsia="仿宋" w:cs="仿宋"/>
          <w:color w:val="auto"/>
          <w:sz w:val="24"/>
          <w:highlight w:val="none"/>
          <w:lang w:eastAsia="zh-CN"/>
        </w:rPr>
        <w:t>提出回避</w:t>
      </w:r>
      <w:r>
        <w:rPr>
          <w:rFonts w:hint="default" w:ascii="仿宋" w:hAnsi="仿宋" w:eastAsia="仿宋" w:cs="仿宋"/>
          <w:color w:val="auto"/>
          <w:sz w:val="24"/>
          <w:highlight w:val="none"/>
          <w:lang w:eastAsia="zh-CN"/>
        </w:rPr>
        <w:t>的义务。若发现存在应回避情形而未</w:t>
      </w:r>
      <w:r>
        <w:rPr>
          <w:rFonts w:hint="eastAsia" w:ascii="仿宋" w:hAnsi="仿宋" w:eastAsia="仿宋" w:cs="仿宋"/>
          <w:color w:val="auto"/>
          <w:sz w:val="24"/>
          <w:highlight w:val="none"/>
          <w:lang w:eastAsia="zh-CN"/>
        </w:rPr>
        <w:t>提出的</w:t>
      </w:r>
      <w:r>
        <w:rPr>
          <w:rFonts w:hint="default" w:ascii="仿宋" w:hAnsi="仿宋" w:eastAsia="仿宋" w:cs="仿宋"/>
          <w:color w:val="auto"/>
          <w:sz w:val="24"/>
          <w:highlight w:val="none"/>
          <w:lang w:eastAsia="zh-CN"/>
        </w:rPr>
        <w:t>，该次委托视为无效，采购人有权不予支付服务费用并追究其责任。</w:t>
      </w:r>
      <w:r>
        <w:rPr>
          <w:rFonts w:hint="eastAsia" w:ascii="仿宋" w:hAnsi="仿宋" w:eastAsia="仿宋" w:cs="仿宋"/>
          <w:color w:val="auto"/>
          <w:sz w:val="24"/>
          <w:highlight w:val="none"/>
          <w:lang w:eastAsia="zh-CN"/>
        </w:rPr>
        <w:t>如分配审核任务时出现上述回避事项，采购人有权另行选取代理机构。</w:t>
      </w:r>
    </w:p>
    <w:p>
      <w:pPr>
        <w:keepNext w:val="0"/>
        <w:keepLines w:val="0"/>
        <w:pageBreakBefore w:val="0"/>
        <w:widowControl w:val="0"/>
        <w:numPr>
          <w:ilvl w:val="0"/>
          <w:numId w:val="0"/>
        </w:numPr>
        <w:kinsoku/>
        <w:wordWrap/>
        <w:overflowPunct/>
        <w:topLinePunct w:val="0"/>
        <w:bidi w:val="0"/>
        <w:adjustRightInd/>
        <w:snapToGrid/>
        <w:spacing w:line="460" w:lineRule="exact"/>
        <w:ind w:firstLine="480" w:firstLineChars="200"/>
        <w:jc w:val="lef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r>
        <w:rPr>
          <w:rFonts w:hint="default" w:ascii="仿宋" w:hAnsi="仿宋" w:eastAsia="仿宋" w:cs="仿宋"/>
          <w:color w:val="auto"/>
          <w:sz w:val="24"/>
          <w:highlight w:val="none"/>
          <w:lang w:val="en-US" w:eastAsia="zh-CN"/>
        </w:rPr>
        <w:t>保密要求：</w:t>
      </w:r>
    </w:p>
    <w:p>
      <w:pPr>
        <w:keepNext w:val="0"/>
        <w:keepLines w:val="0"/>
        <w:pageBreakBefore w:val="0"/>
        <w:widowControl w:val="0"/>
        <w:numPr>
          <w:ilvl w:val="0"/>
          <w:numId w:val="0"/>
        </w:numPr>
        <w:kinsoku/>
        <w:wordWrap/>
        <w:overflowPunct/>
        <w:topLinePunct w:val="0"/>
        <w:bidi w:val="0"/>
        <w:adjustRightInd/>
        <w:snapToGrid/>
        <w:spacing w:line="460" w:lineRule="exact"/>
        <w:ind w:firstLine="480" w:firstLineChars="200"/>
        <w:jc w:val="lef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①评审或</w:t>
      </w:r>
      <w:r>
        <w:rPr>
          <w:rFonts w:hint="default" w:ascii="仿宋" w:hAnsi="仿宋" w:eastAsia="仿宋" w:cs="仿宋"/>
          <w:color w:val="auto"/>
          <w:sz w:val="24"/>
          <w:highlight w:val="none"/>
          <w:lang w:val="en-US" w:eastAsia="zh-CN"/>
        </w:rPr>
        <w:t>论证工作结束后，与项目工作有关的资料</w:t>
      </w:r>
      <w:r>
        <w:rPr>
          <w:rFonts w:hint="eastAsia" w:ascii="仿宋" w:hAnsi="仿宋" w:eastAsia="仿宋" w:cs="仿宋"/>
          <w:color w:val="auto"/>
          <w:sz w:val="24"/>
          <w:highlight w:val="none"/>
          <w:lang w:val="en-US" w:eastAsia="zh-CN"/>
        </w:rPr>
        <w:t>，</w:t>
      </w:r>
      <w:r>
        <w:rPr>
          <w:rFonts w:hint="default" w:ascii="仿宋" w:hAnsi="仿宋" w:eastAsia="仿宋" w:cs="仿宋"/>
          <w:color w:val="auto"/>
          <w:sz w:val="24"/>
          <w:highlight w:val="none"/>
          <w:lang w:val="en-US" w:eastAsia="zh-CN"/>
        </w:rPr>
        <w:t>包括采购文件</w:t>
      </w:r>
      <w:r>
        <w:rPr>
          <w:rFonts w:hint="eastAsia" w:ascii="仿宋" w:hAnsi="仿宋" w:eastAsia="仿宋" w:cs="仿宋"/>
          <w:color w:val="auto"/>
          <w:sz w:val="24"/>
          <w:highlight w:val="none"/>
          <w:lang w:val="en-US" w:eastAsia="zh-CN"/>
        </w:rPr>
        <w:t>、</w:t>
      </w:r>
      <w:r>
        <w:rPr>
          <w:rFonts w:hint="default" w:ascii="仿宋" w:hAnsi="仿宋" w:eastAsia="仿宋" w:cs="仿宋"/>
          <w:color w:val="auto"/>
          <w:sz w:val="24"/>
          <w:highlight w:val="none"/>
          <w:lang w:val="en-US" w:eastAsia="zh-CN"/>
        </w:rPr>
        <w:t>论证资料</w:t>
      </w:r>
      <w:r>
        <w:rPr>
          <w:rFonts w:hint="eastAsia" w:ascii="仿宋" w:hAnsi="仿宋" w:eastAsia="仿宋" w:cs="仿宋"/>
          <w:color w:val="auto"/>
          <w:sz w:val="24"/>
          <w:highlight w:val="none"/>
          <w:lang w:val="en-US" w:eastAsia="zh-CN"/>
        </w:rPr>
        <w:t>、评标材料</w:t>
      </w:r>
      <w:r>
        <w:rPr>
          <w:rFonts w:hint="default" w:ascii="仿宋" w:hAnsi="仿宋" w:eastAsia="仿宋" w:cs="仿宋"/>
          <w:color w:val="auto"/>
          <w:sz w:val="24"/>
          <w:highlight w:val="none"/>
          <w:lang w:val="en-US" w:eastAsia="zh-CN"/>
        </w:rPr>
        <w:t>等</w:t>
      </w:r>
      <w:r>
        <w:rPr>
          <w:rFonts w:hint="eastAsia" w:ascii="仿宋" w:hAnsi="仿宋" w:eastAsia="仿宋" w:cs="仿宋"/>
          <w:color w:val="auto"/>
          <w:sz w:val="24"/>
          <w:highlight w:val="none"/>
          <w:lang w:val="en-US" w:eastAsia="zh-CN"/>
        </w:rPr>
        <w:t>均为采购过程资料，专家</w:t>
      </w:r>
      <w:r>
        <w:rPr>
          <w:rFonts w:hint="default" w:ascii="仿宋" w:hAnsi="仿宋" w:eastAsia="仿宋" w:cs="仿宋"/>
          <w:color w:val="auto"/>
          <w:sz w:val="24"/>
          <w:highlight w:val="none"/>
          <w:lang w:val="en-US" w:eastAsia="zh-CN"/>
        </w:rPr>
        <w:t>不得带离现场，代理机构应负责所有资料的现场</w:t>
      </w:r>
      <w:r>
        <w:rPr>
          <w:rFonts w:hint="eastAsia" w:ascii="仿宋" w:hAnsi="仿宋" w:eastAsia="仿宋" w:cs="仿宋"/>
          <w:color w:val="auto"/>
          <w:sz w:val="24"/>
          <w:highlight w:val="none"/>
          <w:lang w:val="en-US" w:eastAsia="zh-CN"/>
        </w:rPr>
        <w:t>归集</w:t>
      </w:r>
      <w:r>
        <w:rPr>
          <w:rFonts w:hint="default" w:ascii="仿宋" w:hAnsi="仿宋" w:eastAsia="仿宋" w:cs="仿宋"/>
          <w:color w:val="auto"/>
          <w:sz w:val="24"/>
          <w:highlight w:val="none"/>
          <w:lang w:val="en-US" w:eastAsia="zh-CN"/>
        </w:rPr>
        <w:t>、整理与归档，并与专家一同依法承担保密责任。</w:t>
      </w:r>
    </w:p>
    <w:p>
      <w:pPr>
        <w:keepNext w:val="0"/>
        <w:keepLines w:val="0"/>
        <w:pageBreakBefore w:val="0"/>
        <w:widowControl w:val="0"/>
        <w:numPr>
          <w:ilvl w:val="0"/>
          <w:numId w:val="0"/>
        </w:numPr>
        <w:kinsoku/>
        <w:wordWrap/>
        <w:overflowPunct/>
        <w:topLinePunct w:val="0"/>
        <w:bidi w:val="0"/>
        <w:adjustRightInd/>
        <w:snapToGrid/>
        <w:spacing w:line="460" w:lineRule="exact"/>
        <w:ind w:firstLine="480" w:firstLineChars="200"/>
        <w:jc w:val="lef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②</w:t>
      </w:r>
      <w:r>
        <w:rPr>
          <w:rFonts w:hint="default" w:ascii="仿宋" w:hAnsi="仿宋" w:eastAsia="仿宋" w:cs="仿宋"/>
          <w:color w:val="auto"/>
          <w:sz w:val="24"/>
          <w:highlight w:val="none"/>
          <w:lang w:val="en-US" w:eastAsia="zh-CN"/>
        </w:rPr>
        <w:t>在服务</w:t>
      </w:r>
      <w:r>
        <w:rPr>
          <w:rFonts w:hint="eastAsia" w:ascii="仿宋" w:hAnsi="仿宋" w:eastAsia="仿宋" w:cs="仿宋"/>
          <w:color w:val="auto"/>
          <w:sz w:val="24"/>
          <w:highlight w:val="none"/>
          <w:lang w:val="en-US" w:eastAsia="zh-CN"/>
        </w:rPr>
        <w:t>期内</w:t>
      </w:r>
      <w:r>
        <w:rPr>
          <w:rFonts w:hint="default"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en-US" w:eastAsia="zh-CN"/>
        </w:rPr>
        <w:t>代理机构及其工作人员、所有评审、论证专家，</w:t>
      </w:r>
      <w:r>
        <w:rPr>
          <w:rFonts w:hint="default" w:ascii="仿宋" w:hAnsi="仿宋" w:eastAsia="仿宋" w:cs="仿宋"/>
          <w:color w:val="auto"/>
          <w:sz w:val="24"/>
          <w:highlight w:val="none"/>
          <w:lang w:val="en-US" w:eastAsia="zh-CN"/>
        </w:rPr>
        <w:t>均须对知悉的国家秘密、商业秘密及一切未公开信息承担严格的保密责任，该责任不随服务结束而终止。不得向任何第三方泄露与项目相关的任何信息；不得私下接触潜在供应商；不得收受供应商的财物或其他好处。代理机构有义务向其派出人员及所聘专家明确告知此义务。</w:t>
      </w:r>
    </w:p>
    <w:p>
      <w:pPr>
        <w:autoSpaceDE w:val="0"/>
        <w:autoSpaceDN w:val="0"/>
        <w:spacing w:line="440" w:lineRule="exact"/>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lang w:eastAsia="zh-CN"/>
        </w:rPr>
        <w:t>（四）商务</w:t>
      </w:r>
      <w:r>
        <w:rPr>
          <w:rFonts w:hint="eastAsia" w:ascii="仿宋" w:hAnsi="仿宋" w:eastAsia="仿宋" w:cs="仿宋"/>
          <w:b/>
          <w:color w:val="auto"/>
          <w:sz w:val="24"/>
          <w:highlight w:val="none"/>
        </w:rPr>
        <w:t>要求</w:t>
      </w:r>
    </w:p>
    <w:p>
      <w:pPr>
        <w:spacing w:line="360" w:lineRule="auto"/>
        <w:ind w:firstLine="504" w:firstLineChars="210"/>
        <w:rPr>
          <w:rFonts w:hint="eastAsia" w:ascii="仿宋" w:hAnsi="仿宋" w:eastAsia="仿宋" w:cs="仿宋"/>
          <w:color w:val="auto"/>
          <w:sz w:val="24"/>
          <w:highlight w:val="none"/>
          <w:lang w:val="en-US" w:eastAsia="zh-CN"/>
        </w:rPr>
      </w:pPr>
      <w:bookmarkStart w:id="1" w:name="OLE_LINK1"/>
      <w:r>
        <w:rPr>
          <w:rFonts w:hint="eastAsia" w:ascii="仿宋" w:hAnsi="仿宋" w:eastAsia="仿宋" w:cs="仿宋"/>
          <w:color w:val="auto"/>
          <w:sz w:val="24"/>
          <w:highlight w:val="none"/>
        </w:rPr>
        <w:t>★</w:t>
      </w:r>
      <w:bookmarkEnd w:id="1"/>
      <w:r>
        <w:rPr>
          <w:rFonts w:hint="eastAsia" w:ascii="仿宋" w:hAnsi="仿宋" w:eastAsia="仿宋" w:cs="仿宋"/>
          <w:color w:val="auto"/>
          <w:sz w:val="24"/>
          <w:highlight w:val="none"/>
          <w:lang w:val="en-US" w:eastAsia="zh-CN"/>
        </w:rPr>
        <w:t>1.报价方式及要求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430"/>
        <w:gridCol w:w="1360"/>
        <w:gridCol w:w="4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pPr>
              <w:pStyle w:val="2"/>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序号</w:t>
            </w:r>
          </w:p>
        </w:tc>
        <w:tc>
          <w:tcPr>
            <w:tcW w:w="1430" w:type="dxa"/>
            <w:vAlign w:val="center"/>
          </w:tcPr>
          <w:p>
            <w:pPr>
              <w:pStyle w:val="2"/>
              <w:spacing w:line="36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报价内容</w:t>
            </w:r>
          </w:p>
        </w:tc>
        <w:tc>
          <w:tcPr>
            <w:tcW w:w="1360" w:type="dxa"/>
            <w:vAlign w:val="center"/>
          </w:tcPr>
          <w:p>
            <w:pPr>
              <w:pStyle w:val="2"/>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报价方式</w:t>
            </w:r>
          </w:p>
        </w:tc>
        <w:tc>
          <w:tcPr>
            <w:tcW w:w="4960" w:type="dxa"/>
            <w:vAlign w:val="center"/>
          </w:tcPr>
          <w:p>
            <w:pPr>
              <w:pStyle w:val="2"/>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2" w:hRule="atLeast"/>
        </w:trPr>
        <w:tc>
          <w:tcPr>
            <w:tcW w:w="772" w:type="dxa"/>
            <w:vAlign w:val="center"/>
          </w:tcPr>
          <w:p>
            <w:pPr>
              <w:pStyle w:val="2"/>
              <w:spacing w:line="36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1430" w:type="dxa"/>
            <w:vAlign w:val="center"/>
          </w:tcPr>
          <w:p>
            <w:pPr>
              <w:pStyle w:val="2"/>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招标采购代理服务费</w:t>
            </w:r>
          </w:p>
        </w:tc>
        <w:tc>
          <w:tcPr>
            <w:tcW w:w="1360" w:type="dxa"/>
            <w:vAlign w:val="center"/>
          </w:tcPr>
          <w:p>
            <w:pPr>
              <w:pStyle w:val="2"/>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按下浮率报价。</w:t>
            </w:r>
          </w:p>
        </w:tc>
        <w:tc>
          <w:tcPr>
            <w:tcW w:w="4960" w:type="dxa"/>
            <w:vAlign w:val="center"/>
          </w:tcPr>
          <w:p>
            <w:pPr>
              <w:pStyle w:val="2"/>
              <w:numPr>
                <w:ilvl w:val="0"/>
                <w:numId w:val="4"/>
              </w:numPr>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报价下浮率不得低于20%（即下浮率≥20%），下浮率须为整数百分比（如：1%、2%、5%、10%、15%），报价下浮率＜20%则报价无效，将导致响应无效。按照《招标代理服务收费管理暂行办法》（计价格〔2002〕1980号）和《国家发展改革委关于降低部分建设项目收费标准规范收费行为等有关问题的通知》（发改价格〔2011〕534号）标准计算基准价格，再按响应下浮率确定最终代理服务费。</w:t>
            </w:r>
          </w:p>
          <w:p>
            <w:pPr>
              <w:pStyle w:val="2"/>
              <w:numPr>
                <w:ilvl w:val="0"/>
                <w:numId w:val="4"/>
              </w:numPr>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若代理项目在项目中标/成交金额较小或较大的情况下允许市场调节，计算后代理服务费用低于3000元时则按3000元收费。经计算后，代理服务费超过8万元的则按8万元收费。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pPr>
              <w:pStyle w:val="2"/>
              <w:spacing w:line="36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p>
        </w:tc>
        <w:tc>
          <w:tcPr>
            <w:tcW w:w="1430" w:type="dxa"/>
            <w:vAlign w:val="center"/>
          </w:tcPr>
          <w:p>
            <w:pPr>
              <w:pStyle w:val="2"/>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专家论证服务费</w:t>
            </w:r>
          </w:p>
        </w:tc>
        <w:tc>
          <w:tcPr>
            <w:tcW w:w="1360" w:type="dxa"/>
            <w:vAlign w:val="center"/>
          </w:tcPr>
          <w:p>
            <w:pPr>
              <w:pStyle w:val="2"/>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按单价进行报价</w:t>
            </w:r>
          </w:p>
        </w:tc>
        <w:tc>
          <w:tcPr>
            <w:tcW w:w="4960" w:type="dxa"/>
          </w:tcPr>
          <w:p>
            <w:pPr>
              <w:pStyle w:val="2"/>
              <w:spacing w:line="360" w:lineRule="auto"/>
              <w:jc w:val="left"/>
              <w:rPr>
                <w:rFonts w:hint="eastAsia"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进口产品论证</w:t>
            </w:r>
            <w:r>
              <w:rPr>
                <w:rFonts w:hint="eastAsia" w:ascii="仿宋" w:hAnsi="仿宋" w:eastAsia="仿宋" w:cs="仿宋"/>
                <w:color w:val="auto"/>
                <w:kern w:val="2"/>
                <w:sz w:val="24"/>
                <w:szCs w:val="24"/>
                <w:highlight w:val="none"/>
                <w:lang w:val="en-US" w:eastAsia="zh-CN" w:bidi="ar-SA"/>
              </w:rPr>
              <w:t>、采购需求论证等单项论证服务费实行项目包干价，每次论证最高限价为3000元。响应报价高于3000元/次则报价无效，将导致响应无效。</w:t>
            </w:r>
            <w:r>
              <w:rPr>
                <w:rFonts w:hint="default" w:ascii="仿宋" w:hAnsi="仿宋" w:eastAsia="仿宋" w:cs="仿宋"/>
                <w:color w:val="auto"/>
                <w:kern w:val="2"/>
                <w:sz w:val="24"/>
                <w:szCs w:val="24"/>
                <w:highlight w:val="none"/>
                <w:lang w:val="en-US" w:eastAsia="zh-CN" w:bidi="ar-SA"/>
              </w:rPr>
              <w:t>招标/采购文件</w:t>
            </w:r>
            <w:r>
              <w:rPr>
                <w:rFonts w:hint="eastAsia" w:ascii="仿宋" w:hAnsi="仿宋" w:eastAsia="仿宋" w:cs="仿宋"/>
                <w:color w:val="auto"/>
                <w:kern w:val="2"/>
                <w:sz w:val="24"/>
                <w:szCs w:val="24"/>
                <w:highlight w:val="none"/>
                <w:lang w:val="en-US" w:eastAsia="zh-CN" w:bidi="ar-SA"/>
              </w:rPr>
              <w:t>的专家</w:t>
            </w:r>
            <w:r>
              <w:rPr>
                <w:rFonts w:hint="default" w:ascii="仿宋" w:hAnsi="仿宋" w:eastAsia="仿宋" w:cs="仿宋"/>
                <w:color w:val="auto"/>
                <w:kern w:val="2"/>
                <w:sz w:val="24"/>
                <w:szCs w:val="24"/>
                <w:highlight w:val="none"/>
                <w:lang w:val="en-US" w:eastAsia="zh-CN" w:bidi="ar-SA"/>
              </w:rPr>
              <w:t>论证</w:t>
            </w:r>
            <w:r>
              <w:rPr>
                <w:rFonts w:hint="eastAsia" w:ascii="仿宋" w:hAnsi="仿宋" w:eastAsia="仿宋" w:cs="仿宋"/>
                <w:color w:val="auto"/>
                <w:kern w:val="2"/>
                <w:sz w:val="24"/>
                <w:szCs w:val="24"/>
                <w:highlight w:val="none"/>
                <w:lang w:val="en-US" w:eastAsia="zh-CN" w:bidi="ar-SA"/>
              </w:rPr>
              <w:t>费用，已包含在招标代理服务总费用中，由代理机构承担，代理机构无需就此项服务单独报价</w:t>
            </w:r>
            <w:r>
              <w:rPr>
                <w:rFonts w:hint="default" w:ascii="仿宋" w:hAnsi="仿宋" w:eastAsia="仿宋" w:cs="仿宋"/>
                <w:color w:val="auto"/>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pPr>
              <w:spacing w:line="360" w:lineRule="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sz w:val="24"/>
                <w:highlight w:val="none"/>
              </w:rPr>
              <w:t>报价具体格式见</w:t>
            </w:r>
            <w:r>
              <w:rPr>
                <w:rFonts w:hint="eastAsia" w:ascii="仿宋" w:hAnsi="仿宋" w:eastAsia="仿宋" w:cs="仿宋"/>
                <w:b/>
                <w:bCs/>
                <w:color w:val="auto"/>
                <w:sz w:val="24"/>
                <w:highlight w:val="none"/>
                <w:lang w:eastAsia="zh-CN"/>
              </w:rPr>
              <w:t>比选</w:t>
            </w:r>
            <w:r>
              <w:rPr>
                <w:rFonts w:hint="eastAsia" w:ascii="仿宋" w:hAnsi="仿宋" w:eastAsia="仿宋" w:cs="仿宋"/>
                <w:b/>
                <w:bCs/>
                <w:color w:val="auto"/>
                <w:sz w:val="24"/>
                <w:highlight w:val="none"/>
              </w:rPr>
              <w:t>文件报价表。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pPr>
              <w:numPr>
                <w:ilvl w:val="0"/>
                <w:numId w:val="0"/>
              </w:num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报价特别说明与要求：</w:t>
            </w:r>
          </w:p>
          <w:p>
            <w:pPr>
              <w:numPr>
                <w:ilvl w:val="0"/>
                <w:numId w:val="0"/>
              </w:num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default" w:ascii="仿宋" w:hAnsi="仿宋" w:eastAsia="仿宋" w:cs="仿宋"/>
                <w:color w:val="auto"/>
                <w:sz w:val="24"/>
                <w:highlight w:val="none"/>
              </w:rPr>
              <w:t>代理机构在报价时应已充分知悉并综合考虑本项目招标采购全过程服务所涉及的全部内容、要求及相关</w:t>
            </w:r>
            <w:r>
              <w:rPr>
                <w:rFonts w:hint="eastAsia" w:ascii="仿宋" w:hAnsi="仿宋" w:eastAsia="仿宋" w:cs="仿宋"/>
                <w:color w:val="auto"/>
                <w:sz w:val="24"/>
                <w:highlight w:val="none"/>
                <w:lang w:eastAsia="zh-CN"/>
              </w:rPr>
              <w:t>费用与</w:t>
            </w:r>
            <w:r>
              <w:rPr>
                <w:rFonts w:hint="default" w:ascii="仿宋" w:hAnsi="仿宋" w:eastAsia="仿宋" w:cs="仿宋"/>
                <w:color w:val="auto"/>
                <w:sz w:val="24"/>
                <w:highlight w:val="none"/>
              </w:rPr>
              <w:t>成本，包括但不限于</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lang w:val="en-US" w:eastAsia="zh-CN"/>
              </w:rPr>
              <w:t>/</w:t>
            </w:r>
            <w:r>
              <w:rPr>
                <w:rFonts w:hint="default" w:ascii="仿宋" w:hAnsi="仿宋" w:eastAsia="仿宋" w:cs="仿宋"/>
                <w:color w:val="auto"/>
                <w:sz w:val="24"/>
                <w:highlight w:val="none"/>
              </w:rPr>
              <w:t>采购文件</w:t>
            </w:r>
            <w:r>
              <w:rPr>
                <w:rFonts w:hint="eastAsia" w:ascii="仿宋" w:hAnsi="仿宋" w:eastAsia="仿宋" w:cs="仿宋"/>
                <w:color w:val="auto"/>
                <w:sz w:val="24"/>
                <w:highlight w:val="none"/>
                <w:lang w:eastAsia="zh-CN"/>
              </w:rPr>
              <w:t>的</w:t>
            </w:r>
            <w:r>
              <w:rPr>
                <w:rFonts w:hint="default" w:ascii="仿宋" w:hAnsi="仿宋" w:eastAsia="仿宋" w:cs="仿宋"/>
                <w:color w:val="auto"/>
                <w:sz w:val="24"/>
                <w:highlight w:val="none"/>
              </w:rPr>
              <w:t>专家论证费、评审场地费、评审专家劳务费、资料打印复印装订、档案制作与管理等各项费用。招标采购代理服务费应涵盖提供</w:t>
            </w:r>
            <w:r>
              <w:rPr>
                <w:rFonts w:hint="eastAsia" w:ascii="仿宋" w:hAnsi="仿宋" w:eastAsia="仿宋" w:cs="仿宋"/>
                <w:color w:val="auto"/>
                <w:sz w:val="24"/>
                <w:highlight w:val="none"/>
                <w:lang w:eastAsia="zh-CN"/>
              </w:rPr>
              <w:t>招标</w:t>
            </w:r>
            <w:r>
              <w:rPr>
                <w:rFonts w:hint="default" w:ascii="仿宋" w:hAnsi="仿宋" w:eastAsia="仿宋" w:cs="仿宋"/>
                <w:color w:val="auto"/>
                <w:sz w:val="24"/>
                <w:highlight w:val="none"/>
              </w:rPr>
              <w:t>采购代理全过程服务所发生的一切费用</w:t>
            </w:r>
            <w:r>
              <w:rPr>
                <w:rFonts w:hint="eastAsia" w:ascii="仿宋" w:hAnsi="仿宋" w:eastAsia="仿宋" w:cs="仿宋"/>
                <w:color w:val="auto"/>
                <w:sz w:val="24"/>
                <w:highlight w:val="none"/>
                <w:lang w:eastAsia="zh-CN"/>
              </w:rPr>
              <w:t>，</w:t>
            </w:r>
            <w:r>
              <w:rPr>
                <w:rFonts w:hint="default" w:ascii="仿宋" w:hAnsi="仿宋" w:eastAsia="仿宋" w:cs="仿宋"/>
                <w:color w:val="auto"/>
                <w:sz w:val="24"/>
                <w:highlight w:val="none"/>
              </w:rPr>
              <w:t>采购人不再就代理服务范围内的常规事项支付任何额外费用。</w:t>
            </w:r>
          </w:p>
          <w:p>
            <w:pPr>
              <w:spacing w:line="360" w:lineRule="auto"/>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lang w:val="en-US" w:eastAsia="zh-CN"/>
              </w:rPr>
              <w:t>（2）</w:t>
            </w:r>
            <w:r>
              <w:rPr>
                <w:rFonts w:hint="default" w:ascii="仿宋" w:hAnsi="仿宋" w:eastAsia="仿宋" w:cs="仿宋"/>
                <w:color w:val="auto"/>
                <w:sz w:val="24"/>
                <w:highlight w:val="none"/>
              </w:rPr>
              <w:t>代理机构应遵循诚实信用原则进行报价，不得以低于成本的报价恶意竞争。如违反上述约定，应承担由此引发的一切法律及履约责任。</w:t>
            </w:r>
          </w:p>
        </w:tc>
      </w:tr>
    </w:tbl>
    <w:p>
      <w:pPr>
        <w:numPr>
          <w:ilvl w:val="0"/>
          <w:numId w:val="5"/>
        </w:numPr>
        <w:spacing w:line="440" w:lineRule="exact"/>
        <w:ind w:firstLine="504" w:firstLineChars="210"/>
        <w:rPr>
          <w:rFonts w:hint="eastAsia" w:ascii="仿宋" w:hAnsi="仿宋" w:eastAsia="仿宋" w:cs="仿宋"/>
          <w:color w:val="auto"/>
          <w:sz w:val="24"/>
          <w:highlight w:val="none"/>
          <w:lang w:val="en-US" w:eastAsia="zh-CN"/>
        </w:rPr>
      </w:pPr>
      <w:bookmarkStart w:id="2" w:name="OLE_LINK3"/>
      <w:r>
        <w:rPr>
          <w:rFonts w:hint="eastAsia" w:ascii="仿宋" w:hAnsi="仿宋" w:eastAsia="仿宋" w:cs="仿宋"/>
          <w:color w:val="auto"/>
          <w:sz w:val="24"/>
          <w:highlight w:val="none"/>
          <w:lang w:val="en-US" w:eastAsia="zh-CN"/>
        </w:rPr>
        <w:t>服务期及说明</w:t>
      </w:r>
    </w:p>
    <w:p>
      <w:pPr>
        <w:numPr>
          <w:ilvl w:val="0"/>
          <w:numId w:val="0"/>
        </w:numPr>
        <w:spacing w:line="44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服务期限：2年（年度委托代理服务协议一年一签，采购人将根据合同附件《招标采购代理机构评价考核表》，对代理机构在该年度内承接的所有项目进行考核评分，计算其年度平均得分，考核分数平均得分≥85分方可续签下一年协议）。</w:t>
      </w:r>
    </w:p>
    <w:p>
      <w:pPr>
        <w:numPr>
          <w:ilvl w:val="0"/>
          <w:numId w:val="0"/>
        </w:numPr>
        <w:spacing w:line="44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（2）在服务期内，入选的代理机构在履行合同过程中，如出现合同暂停、合同中（终）止、业务繁忙、自行退出、考核退出等情形时，导致现有入选代理机构数量无法满足医院需求，医院有权启用递补程序。</w:t>
      </w:r>
      <w:r>
        <w:rPr>
          <w:rFonts w:hint="default" w:ascii="仿宋" w:hAnsi="仿宋" w:eastAsia="仿宋" w:cs="仿宋"/>
          <w:color w:val="auto"/>
          <w:sz w:val="24"/>
          <w:highlight w:val="none"/>
          <w:lang w:val="en-US" w:eastAsia="zh-CN"/>
        </w:rPr>
        <w:t>原则上</w:t>
      </w:r>
      <w:r>
        <w:rPr>
          <w:rFonts w:hint="eastAsia" w:ascii="仿宋" w:hAnsi="仿宋" w:eastAsia="仿宋" w:cs="仿宋"/>
          <w:strike w:val="0"/>
          <w:dstrike w:val="0"/>
          <w:color w:val="auto"/>
          <w:sz w:val="24"/>
          <w:highlight w:val="none"/>
          <w:lang w:val="en-US" w:eastAsia="zh-CN"/>
        </w:rPr>
        <w:t>从本次</w:t>
      </w:r>
      <w:r>
        <w:rPr>
          <w:rFonts w:hint="default" w:ascii="仿宋" w:hAnsi="仿宋" w:eastAsia="仿宋" w:cs="仿宋"/>
          <w:color w:val="auto"/>
          <w:sz w:val="24"/>
          <w:highlight w:val="none"/>
          <w:lang w:val="en-US" w:eastAsia="zh-CN"/>
        </w:rPr>
        <w:t>比选采购</w:t>
      </w:r>
      <w:r>
        <w:rPr>
          <w:rFonts w:hint="eastAsia" w:ascii="仿宋" w:hAnsi="仿宋" w:eastAsia="仿宋" w:cs="仿宋"/>
          <w:strike w:val="0"/>
          <w:dstrike w:val="0"/>
          <w:color w:val="auto"/>
          <w:sz w:val="24"/>
          <w:highlight w:val="none"/>
          <w:lang w:val="en-US" w:eastAsia="zh-CN"/>
        </w:rPr>
        <w:t>中</w:t>
      </w:r>
      <w:r>
        <w:rPr>
          <w:rFonts w:hint="default" w:ascii="仿宋" w:hAnsi="仿宋" w:eastAsia="仿宋" w:cs="仿宋"/>
          <w:color w:val="auto"/>
          <w:sz w:val="24"/>
          <w:highlight w:val="none"/>
          <w:lang w:val="en-US" w:eastAsia="zh-CN"/>
        </w:rPr>
        <w:t>综合评分≥80分</w:t>
      </w:r>
      <w:r>
        <w:rPr>
          <w:rFonts w:hint="eastAsia" w:ascii="仿宋" w:hAnsi="仿宋" w:eastAsia="仿宋" w:cs="仿宋"/>
          <w:color w:val="auto"/>
          <w:sz w:val="24"/>
          <w:highlight w:val="none"/>
          <w:lang w:val="en-US" w:eastAsia="zh-CN"/>
        </w:rPr>
        <w:t>，但未入选的</w:t>
      </w:r>
      <w:r>
        <w:rPr>
          <w:rFonts w:hint="default" w:ascii="仿宋" w:hAnsi="仿宋" w:eastAsia="仿宋" w:cs="仿宋"/>
          <w:color w:val="auto"/>
          <w:sz w:val="24"/>
          <w:highlight w:val="none"/>
          <w:lang w:val="en-US" w:eastAsia="zh-CN"/>
        </w:rPr>
        <w:t>代理机构</w:t>
      </w:r>
      <w:r>
        <w:rPr>
          <w:rFonts w:hint="eastAsia" w:ascii="仿宋" w:hAnsi="仿宋" w:eastAsia="仿宋" w:cs="仿宋"/>
          <w:color w:val="auto"/>
          <w:sz w:val="24"/>
          <w:highlight w:val="none"/>
          <w:lang w:val="en-US" w:eastAsia="zh-CN"/>
        </w:rPr>
        <w:t>中产生，按原比选评审综合得分由高至低的顺序依次递补。在候补范围内的代理机构仍须满足本项目服务要求。如无符合上述条件的递补代理机构，或递补代理机构放弃递补资格，则由医院办公室</w:t>
      </w:r>
      <w:r>
        <w:rPr>
          <w:rFonts w:hint="default" w:ascii="仿宋" w:hAnsi="仿宋" w:eastAsia="仿宋" w:cs="仿宋"/>
          <w:color w:val="auto"/>
          <w:sz w:val="24"/>
          <w:highlight w:val="none"/>
          <w:lang w:val="en-US" w:eastAsia="zh-CN"/>
        </w:rPr>
        <w:t>另行组织采购</w:t>
      </w:r>
      <w:r>
        <w:rPr>
          <w:rFonts w:hint="eastAsia" w:ascii="仿宋" w:hAnsi="仿宋" w:eastAsia="仿宋" w:cs="仿宋"/>
          <w:color w:val="auto"/>
          <w:sz w:val="24"/>
          <w:highlight w:val="none"/>
          <w:lang w:val="en-US" w:eastAsia="zh-CN"/>
        </w:rPr>
        <w:t>。若医院或上级主管部门有新规定，按新规定执行。</w:t>
      </w:r>
      <w:bookmarkEnd w:id="2"/>
    </w:p>
    <w:p>
      <w:pPr>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付款及结算方式</w:t>
      </w:r>
    </w:p>
    <w:p>
      <w:pPr>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招标</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代理服务费：由</w:t>
      </w:r>
      <w:r>
        <w:rPr>
          <w:rFonts w:hint="eastAsia" w:ascii="仿宋" w:hAnsi="仿宋" w:eastAsia="仿宋" w:cs="仿宋"/>
          <w:color w:val="auto"/>
          <w:sz w:val="24"/>
          <w:highlight w:val="none"/>
          <w:lang w:val="en-US" w:eastAsia="zh-CN"/>
        </w:rPr>
        <w:t>代理机构</w:t>
      </w:r>
      <w:r>
        <w:rPr>
          <w:rFonts w:hint="eastAsia" w:ascii="仿宋" w:hAnsi="仿宋" w:eastAsia="仿宋" w:cs="仿宋"/>
          <w:color w:val="auto"/>
          <w:sz w:val="24"/>
          <w:highlight w:val="none"/>
        </w:rPr>
        <w:t>根据招标</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采购文件规定向</w:t>
      </w:r>
      <w:r>
        <w:rPr>
          <w:rFonts w:hint="eastAsia" w:ascii="仿宋" w:hAnsi="仿宋" w:eastAsia="仿宋" w:cs="仿宋"/>
          <w:color w:val="auto"/>
          <w:sz w:val="24"/>
          <w:highlight w:val="none"/>
          <w:lang w:eastAsia="zh-CN"/>
        </w:rPr>
        <w:t>项目</w:t>
      </w:r>
      <w:r>
        <w:rPr>
          <w:rFonts w:hint="eastAsia" w:ascii="仿宋" w:hAnsi="仿宋" w:eastAsia="仿宋" w:cs="仿宋"/>
          <w:color w:val="auto"/>
          <w:sz w:val="24"/>
          <w:highlight w:val="none"/>
        </w:rPr>
        <w:t>中标/成交供应商收取。</w:t>
      </w:r>
    </w:p>
    <w:p>
      <w:pPr>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专家论证服务费：</w:t>
      </w:r>
    </w:p>
    <w:p>
      <w:pPr>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①</w:t>
      </w:r>
      <w:r>
        <w:rPr>
          <w:rFonts w:hint="default" w:ascii="仿宋" w:hAnsi="仿宋" w:eastAsia="仿宋" w:cs="仿宋"/>
          <w:color w:val="auto"/>
          <w:sz w:val="24"/>
          <w:highlight w:val="none"/>
          <w:lang w:val="en-US" w:eastAsia="zh-CN"/>
        </w:rPr>
        <w:t>进口产品论证</w:t>
      </w:r>
      <w:r>
        <w:rPr>
          <w:rFonts w:hint="eastAsia" w:ascii="仿宋" w:hAnsi="仿宋" w:eastAsia="仿宋" w:cs="仿宋"/>
          <w:color w:val="auto"/>
          <w:sz w:val="24"/>
          <w:highlight w:val="none"/>
          <w:lang w:val="en-US" w:eastAsia="zh-CN"/>
        </w:rPr>
        <w:t>、采购需求</w:t>
      </w:r>
      <w:r>
        <w:rPr>
          <w:rFonts w:hint="eastAsia" w:ascii="仿宋" w:hAnsi="仿宋" w:eastAsia="仿宋" w:cs="仿宋"/>
          <w:color w:val="auto"/>
          <w:sz w:val="24"/>
          <w:highlight w:val="none"/>
        </w:rPr>
        <w:t>论证结束后，根据</w:t>
      </w:r>
      <w:r>
        <w:rPr>
          <w:rFonts w:hint="eastAsia" w:ascii="仿宋" w:hAnsi="仿宋" w:eastAsia="仿宋" w:cs="仿宋"/>
          <w:color w:val="auto"/>
          <w:sz w:val="24"/>
          <w:highlight w:val="none"/>
          <w:lang w:val="en-US" w:eastAsia="zh-CN"/>
        </w:rPr>
        <w:t>代理机构</w:t>
      </w:r>
      <w:r>
        <w:rPr>
          <w:rFonts w:hint="eastAsia" w:ascii="仿宋" w:hAnsi="仿宋" w:eastAsia="仿宋" w:cs="仿宋"/>
          <w:color w:val="auto"/>
          <w:sz w:val="24"/>
          <w:highlight w:val="none"/>
        </w:rPr>
        <w:t>出具</w:t>
      </w:r>
      <w:r>
        <w:rPr>
          <w:rFonts w:hint="eastAsia" w:ascii="仿宋" w:hAnsi="仿宋" w:eastAsia="仿宋" w:cs="仿宋"/>
          <w:color w:val="auto"/>
          <w:sz w:val="24"/>
          <w:highlight w:val="none"/>
          <w:lang w:eastAsia="zh-CN"/>
        </w:rPr>
        <w:t>项目</w:t>
      </w:r>
      <w:r>
        <w:rPr>
          <w:rFonts w:hint="eastAsia" w:ascii="仿宋" w:hAnsi="仿宋" w:eastAsia="仿宋" w:cs="仿宋"/>
          <w:color w:val="auto"/>
          <w:sz w:val="24"/>
          <w:highlight w:val="none"/>
        </w:rPr>
        <w:t>论证报告等相关文件及</w:t>
      </w:r>
      <w:r>
        <w:rPr>
          <w:rFonts w:hint="eastAsia" w:ascii="仿宋" w:hAnsi="仿宋" w:eastAsia="仿宋" w:cs="仿宋"/>
          <w:color w:val="auto"/>
          <w:sz w:val="24"/>
          <w:highlight w:val="none"/>
          <w:lang w:eastAsia="zh-CN"/>
        </w:rPr>
        <w:t>出具合格有效完整的完税发票及凭证</w:t>
      </w:r>
      <w:r>
        <w:rPr>
          <w:rFonts w:hint="eastAsia" w:ascii="仿宋" w:hAnsi="仿宋" w:eastAsia="仿宋" w:cs="仿宋"/>
          <w:color w:val="auto"/>
          <w:sz w:val="24"/>
          <w:highlight w:val="none"/>
        </w:rPr>
        <w:t>，采购人在10个工作日内以银行转账方式支付。</w:t>
      </w:r>
    </w:p>
    <w:p>
      <w:pPr>
        <w:spacing w:line="360" w:lineRule="auto"/>
        <w:ind w:firstLine="504" w:firstLineChars="210"/>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eastAsia="zh-CN"/>
        </w:rPr>
        <w:t>②</w:t>
      </w:r>
      <w:r>
        <w:rPr>
          <w:rFonts w:hint="default" w:ascii="仿宋" w:hAnsi="仿宋" w:eastAsia="仿宋" w:cs="仿宋"/>
          <w:b w:val="0"/>
          <w:bCs w:val="0"/>
          <w:color w:val="auto"/>
          <w:sz w:val="24"/>
          <w:highlight w:val="none"/>
          <w:lang w:val="en-US" w:eastAsia="zh-CN"/>
        </w:rPr>
        <w:t>招标/采购文件</w:t>
      </w:r>
      <w:r>
        <w:rPr>
          <w:rFonts w:hint="eastAsia" w:ascii="仿宋" w:hAnsi="仿宋" w:eastAsia="仿宋" w:cs="仿宋"/>
          <w:b w:val="0"/>
          <w:bCs w:val="0"/>
          <w:color w:val="auto"/>
          <w:sz w:val="24"/>
          <w:highlight w:val="none"/>
          <w:lang w:val="en-US" w:eastAsia="zh-CN"/>
        </w:rPr>
        <w:t>的专家</w:t>
      </w:r>
      <w:r>
        <w:rPr>
          <w:rFonts w:hint="default" w:ascii="仿宋" w:hAnsi="仿宋" w:eastAsia="仿宋" w:cs="仿宋"/>
          <w:b w:val="0"/>
          <w:bCs w:val="0"/>
          <w:color w:val="auto"/>
          <w:sz w:val="24"/>
          <w:highlight w:val="none"/>
          <w:lang w:val="en-US" w:eastAsia="zh-CN"/>
        </w:rPr>
        <w:t>论证</w:t>
      </w:r>
      <w:r>
        <w:rPr>
          <w:rFonts w:hint="eastAsia" w:ascii="仿宋" w:hAnsi="仿宋" w:eastAsia="仿宋" w:cs="仿宋"/>
          <w:b w:val="0"/>
          <w:bCs w:val="0"/>
          <w:color w:val="auto"/>
          <w:sz w:val="24"/>
          <w:highlight w:val="none"/>
          <w:lang w:eastAsia="zh-CN"/>
        </w:rPr>
        <w:t>费用已包含在招标代理服务总费用中，采购人不另外支付此费用。</w:t>
      </w:r>
    </w:p>
    <w:p>
      <w:pPr>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如遇特殊情况，由采购人与</w:t>
      </w:r>
      <w:r>
        <w:rPr>
          <w:rFonts w:hint="eastAsia" w:ascii="仿宋" w:hAnsi="仿宋" w:eastAsia="仿宋" w:cs="仿宋"/>
          <w:color w:val="auto"/>
          <w:sz w:val="24"/>
          <w:highlight w:val="none"/>
          <w:lang w:val="en-US" w:eastAsia="zh-CN"/>
        </w:rPr>
        <w:t>代理机构</w:t>
      </w:r>
      <w:r>
        <w:rPr>
          <w:rFonts w:hint="eastAsia" w:ascii="仿宋" w:hAnsi="仿宋" w:eastAsia="仿宋" w:cs="仿宋"/>
          <w:color w:val="auto"/>
          <w:sz w:val="24"/>
          <w:highlight w:val="none"/>
        </w:rPr>
        <w:t>另行协商付款及结算方式。</w:t>
      </w:r>
    </w:p>
    <w:p>
      <w:pPr>
        <w:spacing w:line="360" w:lineRule="auto"/>
        <w:ind w:firstLine="504" w:firstLineChars="21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4.考核评价与退出机制</w:t>
      </w:r>
    </w:p>
    <w:p>
      <w:pPr>
        <w:spacing w:line="360" w:lineRule="auto"/>
        <w:ind w:firstLine="504" w:firstLineChars="21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采购代理机构</w:t>
      </w:r>
      <w:r>
        <w:rPr>
          <w:rFonts w:hint="eastAsia" w:ascii="仿宋" w:hAnsi="仿宋" w:eastAsia="仿宋" w:cs="仿宋"/>
          <w:color w:val="auto"/>
          <w:sz w:val="24"/>
          <w:highlight w:val="none"/>
          <w:lang w:eastAsia="zh-CN"/>
        </w:rPr>
        <w:t>采取</w:t>
      </w:r>
      <w:r>
        <w:rPr>
          <w:rFonts w:hint="default" w:ascii="仿宋" w:hAnsi="仿宋" w:eastAsia="仿宋" w:cs="仿宋"/>
          <w:color w:val="auto"/>
          <w:sz w:val="24"/>
          <w:highlight w:val="none"/>
          <w:lang w:val="en-US" w:eastAsia="zh-CN"/>
        </w:rPr>
        <w:t>考核</w:t>
      </w:r>
      <w:r>
        <w:rPr>
          <w:rFonts w:hint="eastAsia" w:ascii="仿宋" w:hAnsi="仿宋" w:eastAsia="仿宋" w:cs="仿宋"/>
          <w:color w:val="auto"/>
          <w:sz w:val="24"/>
          <w:highlight w:val="none"/>
          <w:lang w:eastAsia="zh-CN"/>
        </w:rPr>
        <w:t>退出机</w:t>
      </w:r>
      <w:r>
        <w:rPr>
          <w:rFonts w:hint="eastAsia" w:ascii="仿宋" w:hAnsi="仿宋" w:eastAsia="仿宋" w:cs="仿宋"/>
          <w:color w:val="auto"/>
          <w:sz w:val="24"/>
          <w:highlight w:val="none"/>
        </w:rPr>
        <w:t>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按项目进行评价考核（</w:t>
      </w:r>
      <w:r>
        <w:rPr>
          <w:rFonts w:hint="eastAsia" w:ascii="仿宋" w:hAnsi="仿宋" w:eastAsia="仿宋" w:cs="仿宋"/>
          <w:color w:val="auto"/>
          <w:sz w:val="24"/>
          <w:highlight w:val="none"/>
          <w:lang w:eastAsia="zh-CN"/>
        </w:rPr>
        <w:t>见合同附件</w:t>
      </w:r>
      <w:r>
        <w:rPr>
          <w:rFonts w:hint="eastAsia" w:ascii="仿宋" w:hAnsi="仿宋" w:eastAsia="仿宋" w:cs="仿宋"/>
          <w:color w:val="auto"/>
          <w:sz w:val="24"/>
          <w:highlight w:val="none"/>
        </w:rPr>
        <w:t>）。评价考核的主要内容，包括及时性、专业性、过程控制、人员配备、沟通协调、</w:t>
      </w:r>
      <w:r>
        <w:rPr>
          <w:rFonts w:hint="eastAsia" w:ascii="仿宋" w:hAnsi="仿宋" w:eastAsia="仿宋" w:cs="仿宋"/>
          <w:color w:val="auto"/>
          <w:sz w:val="24"/>
          <w:highlight w:val="none"/>
          <w:lang w:eastAsia="zh-CN"/>
        </w:rPr>
        <w:t>职业操守</w:t>
      </w:r>
      <w:r>
        <w:rPr>
          <w:rFonts w:hint="eastAsia" w:ascii="仿宋" w:hAnsi="仿宋" w:eastAsia="仿宋" w:cs="仿宋"/>
          <w:color w:val="auto"/>
          <w:sz w:val="24"/>
          <w:highlight w:val="none"/>
        </w:rPr>
        <w:t>等方面</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代理机构每完成</w:t>
      </w:r>
      <w:r>
        <w:rPr>
          <w:rFonts w:hint="eastAsia" w:ascii="仿宋" w:hAnsi="仿宋" w:eastAsia="仿宋" w:cs="仿宋"/>
          <w:color w:val="auto"/>
          <w:sz w:val="24"/>
          <w:highlight w:val="none"/>
          <w:lang w:eastAsia="zh-CN"/>
        </w:rPr>
        <w:t>一</w:t>
      </w:r>
      <w:r>
        <w:rPr>
          <w:rFonts w:hint="eastAsia" w:ascii="仿宋" w:hAnsi="仿宋" w:eastAsia="仿宋" w:cs="仿宋"/>
          <w:color w:val="auto"/>
          <w:sz w:val="24"/>
          <w:highlight w:val="none"/>
        </w:rPr>
        <w:t>个招标采购项目并</w:t>
      </w:r>
      <w:r>
        <w:rPr>
          <w:rFonts w:hint="default" w:ascii="仿宋" w:hAnsi="仿宋" w:eastAsia="仿宋" w:cs="仿宋"/>
          <w:strike w:val="0"/>
          <w:color w:val="auto"/>
          <w:sz w:val="24"/>
          <w:highlight w:val="none"/>
          <w:lang w:val="en-US" w:eastAsia="zh-CN"/>
        </w:rPr>
        <w:t>移交采购人完整项目档案</w:t>
      </w:r>
      <w:r>
        <w:rPr>
          <w:rFonts w:hint="default" w:ascii="仿宋" w:hAnsi="仿宋" w:eastAsia="仿宋" w:cs="仿宋"/>
          <w:color w:val="auto"/>
          <w:sz w:val="24"/>
          <w:highlight w:val="none"/>
        </w:rPr>
        <w:t>后</w:t>
      </w:r>
      <w:r>
        <w:rPr>
          <w:rFonts w:hint="eastAsia" w:ascii="仿宋" w:hAnsi="仿宋" w:eastAsia="仿宋" w:cs="仿宋"/>
          <w:color w:val="auto"/>
          <w:sz w:val="24"/>
          <w:highlight w:val="none"/>
          <w:lang w:val="en-US" w:eastAsia="zh-CN"/>
        </w:rPr>
        <w:t>5</w:t>
      </w:r>
      <w:r>
        <w:rPr>
          <w:rFonts w:hint="default" w:ascii="仿宋" w:hAnsi="仿宋" w:eastAsia="仿宋" w:cs="仿宋"/>
          <w:color w:val="auto"/>
          <w:sz w:val="24"/>
          <w:highlight w:val="none"/>
        </w:rPr>
        <w:t>个工作日内，</w:t>
      </w:r>
      <w:r>
        <w:rPr>
          <w:rFonts w:hint="eastAsia" w:ascii="仿宋" w:hAnsi="仿宋" w:eastAsia="仿宋" w:cs="仿宋"/>
          <w:color w:val="auto"/>
          <w:sz w:val="24"/>
          <w:highlight w:val="none"/>
          <w:lang w:eastAsia="zh-CN"/>
        </w:rPr>
        <w:t>由医院采购经办人完成</w:t>
      </w:r>
      <w:r>
        <w:rPr>
          <w:rFonts w:hint="default" w:ascii="仿宋" w:hAnsi="仿宋" w:eastAsia="仿宋" w:cs="仿宋"/>
          <w:color w:val="auto"/>
          <w:sz w:val="24"/>
          <w:highlight w:val="none"/>
          <w:lang w:eastAsia="zh-CN"/>
        </w:rPr>
        <w:t>该项目的考核</w:t>
      </w:r>
      <w:r>
        <w:rPr>
          <w:rFonts w:hint="eastAsia" w:ascii="仿宋" w:hAnsi="仿宋" w:eastAsia="仿宋" w:cs="仿宋"/>
          <w:color w:val="auto"/>
          <w:sz w:val="24"/>
          <w:highlight w:val="none"/>
          <w:lang w:eastAsia="zh-CN"/>
        </w:rPr>
        <w:t>评价，单项</w:t>
      </w:r>
      <w:r>
        <w:rPr>
          <w:rFonts w:hint="default" w:ascii="仿宋" w:hAnsi="仿宋" w:eastAsia="仿宋" w:cs="仿宋"/>
          <w:color w:val="auto"/>
          <w:sz w:val="24"/>
          <w:highlight w:val="none"/>
          <w:lang w:eastAsia="zh-CN"/>
        </w:rPr>
        <w:t>考核</w:t>
      </w:r>
      <w:r>
        <w:rPr>
          <w:rFonts w:hint="eastAsia" w:ascii="仿宋" w:hAnsi="仿宋" w:eastAsia="仿宋" w:cs="仿宋"/>
          <w:color w:val="auto"/>
          <w:sz w:val="24"/>
          <w:highlight w:val="none"/>
          <w:lang w:eastAsia="zh-CN"/>
        </w:rPr>
        <w:t>评价得分＜70分的，将启动退出机制，医院即有权单方决定终止合作，代理机构须无条件接受该决定并配合办理全部退出手续。</w:t>
      </w:r>
    </w:p>
    <w:p>
      <w:pPr>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服务期内如出现代理机构或其工作人员在采购过程中出现违法违规情形、丢失或未及时交付招投标档案资料、不配合医院依法依规进行招投标/采购工作、违反相关规定要求或变相额外收取代理服务费之外的费用等情况，将会被取消代理资格，如造成严重影响的将追究法律责任。 </w:t>
      </w:r>
    </w:p>
    <w:p>
      <w:pPr>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 xml:space="preserve">）服务期内，若代理过程中出现质疑，因代理机构处理不当导致投诉成功或矛盾升级，后果严重给医院造成不良影响的，医院将终止与其服务合同； </w:t>
      </w:r>
    </w:p>
    <w:p>
      <w:pPr>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 xml:space="preserve">）服务期内，若代理过程中出现代理机构与潜在投标人串通、勾连或弄虚作假、提供虚假报告、泄密等行为，一经查实，医院将终止与其合作。 </w:t>
      </w:r>
    </w:p>
    <w:p>
      <w:pPr>
        <w:spacing w:line="360" w:lineRule="auto"/>
        <w:ind w:firstLine="504" w:firstLineChars="210"/>
        <w:rPr>
          <w:rFonts w:hint="eastAsia" w:ascii="仿宋" w:hAnsi="仿宋" w:eastAsia="仿宋" w:cs="仿宋"/>
          <w:strike w:val="0"/>
          <w:color w:val="auto"/>
          <w:sz w:val="24"/>
          <w:highlight w:val="none"/>
          <w:lang w:eastAsia="zh-CN"/>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）因考核启动退出的，原则上</w:t>
      </w:r>
      <w:r>
        <w:rPr>
          <w:rFonts w:hint="eastAsia" w:ascii="仿宋" w:hAnsi="仿宋" w:eastAsia="仿宋" w:cs="仿宋"/>
          <w:color w:val="auto"/>
          <w:sz w:val="24"/>
          <w:highlight w:val="none"/>
          <w:lang w:eastAsia="zh-CN"/>
        </w:rPr>
        <w:t>自</w:t>
      </w:r>
      <w:r>
        <w:rPr>
          <w:rFonts w:hint="eastAsia" w:ascii="仿宋" w:hAnsi="仿宋" w:eastAsia="仿宋" w:cs="仿宋"/>
          <w:color w:val="auto"/>
          <w:sz w:val="24"/>
          <w:highlight w:val="none"/>
        </w:rPr>
        <w:t>退出</w:t>
      </w:r>
      <w:r>
        <w:rPr>
          <w:rFonts w:hint="eastAsia" w:ascii="仿宋" w:hAnsi="仿宋" w:eastAsia="仿宋" w:cs="仿宋"/>
          <w:color w:val="auto"/>
          <w:sz w:val="24"/>
          <w:highlight w:val="none"/>
          <w:lang w:eastAsia="zh-CN"/>
        </w:rPr>
        <w:t>之日起</w:t>
      </w:r>
      <w:r>
        <w:rPr>
          <w:rFonts w:hint="eastAsia" w:ascii="仿宋" w:hAnsi="仿宋" w:eastAsia="仿宋" w:cs="仿宋"/>
          <w:color w:val="auto"/>
          <w:sz w:val="24"/>
          <w:highlight w:val="none"/>
        </w:rPr>
        <w:t>三年内</w:t>
      </w:r>
      <w:r>
        <w:rPr>
          <w:rFonts w:hint="eastAsia" w:ascii="仿宋" w:hAnsi="仿宋" w:eastAsia="仿宋" w:cs="仿宋"/>
          <w:strike w:val="0"/>
          <w:dstrike w:val="0"/>
          <w:color w:val="auto"/>
          <w:sz w:val="24"/>
          <w:highlight w:val="none"/>
          <w:lang w:eastAsia="zh-CN"/>
        </w:rPr>
        <w:t>不得参加本院任何采购项目。</w:t>
      </w:r>
    </w:p>
    <w:p>
      <w:pPr>
        <w:spacing w:line="360" w:lineRule="auto"/>
        <w:ind w:firstLine="504" w:firstLineChars="21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）因触及考核评价第（</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）条至第（</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）条所列情形被终止合作的代理机构，直接列入本院供应商黑名单，永久不得参与本院任何采购活动。</w:t>
      </w:r>
    </w:p>
    <w:p>
      <w:pPr>
        <w:spacing w:line="360" w:lineRule="auto"/>
        <w:ind w:firstLine="504" w:firstLineChars="21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）合作终止后，代理机构应在采购人要求的合理期限内，妥善完成所有已委托项目的资料移交、工作交接及费用结算，并履行完毕保密义务。因代理机构原因导致交接迟延或造成损失的，应承担相应赔偿责任。</w:t>
      </w:r>
    </w:p>
    <w:p>
      <w:pPr>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违约责任</w:t>
      </w:r>
    </w:p>
    <w:p>
      <w:pPr>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代理机构</w:t>
      </w:r>
      <w:r>
        <w:rPr>
          <w:rFonts w:hint="eastAsia" w:ascii="仿宋" w:hAnsi="仿宋" w:eastAsia="仿宋" w:cs="仿宋"/>
          <w:color w:val="auto"/>
          <w:sz w:val="24"/>
          <w:highlight w:val="none"/>
        </w:rPr>
        <w:t>提供的服务不符合比选文件、报价文件或合同规定的，采购人有权拒绝其服务且不支付任何相关费用；</w:t>
      </w:r>
    </w:p>
    <w:p>
      <w:pPr>
        <w:spacing w:line="360" w:lineRule="auto"/>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ascii="仿宋" w:hAnsi="仿宋" w:eastAsia="仿宋" w:cs="仿宋"/>
          <w:color w:val="auto"/>
          <w:sz w:val="24"/>
          <w:highlight w:val="none"/>
        </w:rPr>
        <w:t>2</w:t>
      </w:r>
      <w:r>
        <w:rPr>
          <w:rFonts w:hint="eastAsia" w:ascii="仿宋" w:hAnsi="仿宋" w:eastAsia="仿宋" w:cs="仿宋"/>
          <w:color w:val="auto"/>
          <w:sz w:val="24"/>
          <w:highlight w:val="none"/>
        </w:rPr>
        <w:t>）本项目要求严格按照国家有关规范、技术标准</w:t>
      </w:r>
      <w:r>
        <w:rPr>
          <w:rFonts w:hint="eastAsia" w:ascii="仿宋" w:hAnsi="仿宋" w:eastAsia="仿宋" w:cs="仿宋"/>
          <w:color w:val="auto"/>
          <w:sz w:val="24"/>
          <w:highlight w:val="none"/>
          <w:lang w:eastAsia="zh-CN"/>
        </w:rPr>
        <w:t>实施</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代理机构</w:t>
      </w:r>
      <w:r>
        <w:rPr>
          <w:rFonts w:hint="eastAsia" w:ascii="仿宋" w:hAnsi="仿宋" w:eastAsia="仿宋" w:cs="仿宋"/>
          <w:color w:val="auto"/>
          <w:sz w:val="24"/>
          <w:highlight w:val="none"/>
        </w:rPr>
        <w:t>在服务中如果服务质量不符合要求和有关规定，采购人要求停止实施和重新实施时，</w:t>
      </w:r>
      <w:r>
        <w:rPr>
          <w:rFonts w:hint="eastAsia" w:ascii="仿宋" w:hAnsi="仿宋" w:eastAsia="仿宋" w:cs="仿宋"/>
          <w:color w:val="auto"/>
          <w:sz w:val="24"/>
          <w:highlight w:val="none"/>
          <w:lang w:val="en-US" w:eastAsia="zh-CN"/>
        </w:rPr>
        <w:t>代理机构</w:t>
      </w:r>
      <w:r>
        <w:rPr>
          <w:rFonts w:hint="eastAsia" w:ascii="仿宋" w:hAnsi="仿宋" w:eastAsia="仿宋" w:cs="仿宋"/>
          <w:color w:val="auto"/>
          <w:sz w:val="24"/>
          <w:highlight w:val="none"/>
        </w:rPr>
        <w:t>必须立即执行，并承担由此产生的各种费用。</w:t>
      </w:r>
    </w:p>
    <w:p>
      <w:pPr>
        <w:spacing w:line="360" w:lineRule="auto"/>
        <w:ind w:firstLine="504" w:firstLineChars="21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政策因素</w:t>
      </w:r>
    </w:p>
    <w:p>
      <w:pPr>
        <w:spacing w:line="360" w:lineRule="auto"/>
        <w:ind w:firstLine="504" w:firstLineChars="21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如因国家、省、市或相关主管部门等政策变动导致</w:t>
      </w:r>
      <w:r>
        <w:rPr>
          <w:rFonts w:hint="eastAsia" w:ascii="仿宋" w:hAnsi="仿宋" w:eastAsia="仿宋" w:cs="仿宋"/>
          <w:strike w:val="0"/>
          <w:dstrike w:val="0"/>
          <w:color w:val="auto"/>
          <w:sz w:val="24"/>
          <w:highlight w:val="none"/>
          <w:lang w:val="en-US" w:eastAsia="zh-CN"/>
        </w:rPr>
        <w:t>项目</w:t>
      </w:r>
      <w:r>
        <w:rPr>
          <w:rFonts w:hint="eastAsia" w:ascii="仿宋" w:hAnsi="仿宋" w:eastAsia="仿宋" w:cs="仿宋"/>
          <w:color w:val="auto"/>
          <w:sz w:val="24"/>
          <w:highlight w:val="none"/>
          <w:lang w:val="en-US" w:eastAsia="zh-CN"/>
        </w:rPr>
        <w:t>无法实施，采购人可单方终止本项目协议，协议双方均不承担违约责任。</w:t>
      </w:r>
    </w:p>
    <w:p>
      <w:pPr>
        <w:rPr>
          <w:rFonts w:hint="default"/>
          <w:color w:val="auto"/>
          <w:highlight w:val="none"/>
          <w:lang w:val="en-US" w:eastAsia="zh-CN"/>
        </w:rPr>
      </w:pPr>
    </w:p>
    <w:p>
      <w:pPr>
        <w:spacing w:line="380" w:lineRule="exact"/>
        <w:jc w:val="center"/>
        <w:rPr>
          <w:rFonts w:hint="eastAsia" w:ascii="仿宋" w:hAnsi="仿宋" w:eastAsia="仿宋" w:cs="仿宋"/>
          <w:b/>
          <w:color w:val="auto"/>
          <w:sz w:val="28"/>
          <w:szCs w:val="28"/>
          <w:highlight w:val="none"/>
        </w:rPr>
      </w:pPr>
      <w:r>
        <w:rPr>
          <w:rFonts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第三部分  响应供应商须知</w:t>
      </w:r>
    </w:p>
    <w:p>
      <w:pPr>
        <w:pStyle w:val="10"/>
        <w:adjustRightInd w:val="0"/>
        <w:snapToGrid w:val="0"/>
        <w:spacing w:line="380" w:lineRule="exact"/>
        <w:rPr>
          <w:rFonts w:hint="eastAsia" w:ascii="仿宋" w:hAnsi="仿宋" w:eastAsia="仿宋" w:cs="仿宋"/>
          <w:color w:val="auto"/>
          <w:sz w:val="28"/>
          <w:szCs w:val="28"/>
          <w:highlight w:val="none"/>
        </w:rPr>
      </w:pPr>
    </w:p>
    <w:p>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val="en-US" w:eastAsia="zh-CN"/>
        </w:rPr>
        <w:t xml:space="preserve">名词解释         </w:t>
      </w:r>
    </w:p>
    <w:p>
      <w:pPr>
        <w:pStyle w:val="10"/>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1.定义</w:t>
      </w:r>
    </w:p>
    <w:p>
      <w:pPr>
        <w:pStyle w:val="10"/>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“采购人”是指：</w:t>
      </w:r>
      <w:r>
        <w:rPr>
          <w:rFonts w:hint="eastAsia" w:ascii="仿宋" w:hAnsi="仿宋" w:eastAsia="仿宋" w:cs="仿宋"/>
          <w:color w:val="auto"/>
          <w:sz w:val="24"/>
          <w:szCs w:val="24"/>
          <w:highlight w:val="none"/>
          <w:u w:val="none"/>
          <w:lang w:eastAsia="zh-CN"/>
        </w:rPr>
        <w:t>惠州市第一妇幼保健院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是采购活动当事人之一，负责项目的整体规划、技术方案可行性设计论证与实施，作为合同采购方（用户）的主体承担质疑回复、履行合同、验收与评价等义务。</w:t>
      </w:r>
    </w:p>
    <w:p>
      <w:pPr>
        <w:pStyle w:val="1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“监管部门”是指：</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项目监督管理部门。</w:t>
      </w:r>
    </w:p>
    <w:p>
      <w:pPr>
        <w:pStyle w:val="1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“响应供应商”是指响应本文件要求，参加</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的法人或者其他组织。</w:t>
      </w:r>
    </w:p>
    <w:p>
      <w:pPr>
        <w:pStyle w:val="1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合格的响应</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是指符合以下条件的：</w:t>
      </w:r>
    </w:p>
    <w:p>
      <w:pPr>
        <w:pStyle w:val="10"/>
        <w:adjustRightInd w:val="0"/>
        <w:snapToGrid w:val="0"/>
        <w:spacing w:line="360" w:lineRule="auto"/>
        <w:ind w:firstLine="720" w:firstLineChars="3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snapToGrid w:val="0"/>
          <w:color w:val="auto"/>
          <w:kern w:val="0"/>
          <w:sz w:val="24"/>
          <w:szCs w:val="24"/>
          <w:highlight w:val="none"/>
        </w:rPr>
        <w:t>符合</w:t>
      </w:r>
      <w:r>
        <w:rPr>
          <w:rFonts w:hint="eastAsia" w:ascii="仿宋" w:hAnsi="仿宋" w:eastAsia="仿宋" w:cs="仿宋"/>
          <w:snapToGrid w:val="0"/>
          <w:color w:val="auto"/>
          <w:kern w:val="0"/>
          <w:sz w:val="24"/>
          <w:szCs w:val="24"/>
          <w:highlight w:val="none"/>
          <w:lang w:eastAsia="zh-CN"/>
        </w:rPr>
        <w:t>《政府采购法》</w:t>
      </w:r>
      <w:r>
        <w:rPr>
          <w:rFonts w:hint="eastAsia" w:ascii="仿宋" w:hAnsi="仿宋" w:eastAsia="仿宋" w:cs="仿宋"/>
          <w:snapToGrid w:val="0"/>
          <w:color w:val="auto"/>
          <w:kern w:val="0"/>
          <w:sz w:val="24"/>
          <w:szCs w:val="24"/>
          <w:highlight w:val="none"/>
        </w:rPr>
        <w:t>第二十二条规定的供应商。</w:t>
      </w:r>
    </w:p>
    <w:p>
      <w:pPr>
        <w:pStyle w:val="10"/>
        <w:adjustRightInd w:val="0"/>
        <w:snapToGrid w:val="0"/>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供应商资格</w:t>
      </w:r>
      <w:r>
        <w:rPr>
          <w:rFonts w:hint="eastAsia" w:ascii="仿宋" w:hAnsi="仿宋" w:eastAsia="仿宋" w:cs="仿宋"/>
          <w:color w:val="auto"/>
          <w:sz w:val="24"/>
          <w:szCs w:val="24"/>
          <w:highlight w:val="none"/>
        </w:rPr>
        <w:t>”规定要求；</w:t>
      </w:r>
    </w:p>
    <w:p>
      <w:pPr>
        <w:pStyle w:val="10"/>
        <w:adjustRightInd w:val="0"/>
        <w:snapToGrid w:val="0"/>
        <w:spacing w:line="360" w:lineRule="auto"/>
        <w:ind w:firstLine="720" w:firstLineChars="300"/>
        <w:rPr>
          <w:rFonts w:hint="eastAsia" w:ascii="仿宋" w:hAnsi="仿宋" w:eastAsia="仿宋" w:cs="仿宋"/>
          <w:color w:val="auto"/>
          <w:sz w:val="24"/>
          <w:szCs w:val="24"/>
          <w:highlight w:val="none"/>
          <w:lang w:val="hr-HR"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hr-HR" w:eastAsia="zh-CN"/>
        </w:rPr>
        <w:t>按要求进行</w:t>
      </w:r>
      <w:r>
        <w:rPr>
          <w:rFonts w:hint="eastAsia" w:ascii="仿宋" w:hAnsi="仿宋" w:eastAsia="仿宋" w:cs="仿宋"/>
          <w:color w:val="auto"/>
          <w:sz w:val="24"/>
          <w:szCs w:val="24"/>
          <w:highlight w:val="none"/>
          <w:lang w:val="en-US" w:eastAsia="zh-CN"/>
        </w:rPr>
        <w:t>资格性符合性审查（即满足采购条件和要求）</w:t>
      </w:r>
      <w:r>
        <w:rPr>
          <w:rFonts w:hint="eastAsia" w:ascii="仿宋" w:hAnsi="仿宋" w:eastAsia="仿宋" w:cs="仿宋"/>
          <w:color w:val="auto"/>
          <w:sz w:val="24"/>
          <w:szCs w:val="24"/>
          <w:highlight w:val="none"/>
          <w:lang w:val="hr-HR" w:eastAsia="zh-CN"/>
        </w:rPr>
        <w:t>并通过；</w:t>
      </w:r>
    </w:p>
    <w:p>
      <w:pPr>
        <w:pStyle w:val="1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供应商”是指经</w:t>
      </w: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rPr>
        <w:t>评审确定的对</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文件做出实质性响应，经采购人按照规定在</w:t>
      </w: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rPr>
        <w:t>推荐的</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候选人中确定的</w:t>
      </w:r>
      <w:r>
        <w:rPr>
          <w:rFonts w:hint="eastAsia" w:ascii="仿宋" w:hAnsi="仿宋" w:eastAsia="仿宋" w:cs="仿宋"/>
          <w:color w:val="auto"/>
          <w:sz w:val="24"/>
          <w:szCs w:val="24"/>
          <w:highlight w:val="none"/>
          <w:lang w:val="en-US" w:eastAsia="zh-CN"/>
        </w:rPr>
        <w:t>响应供应商</w:t>
      </w:r>
      <w:r>
        <w:rPr>
          <w:rFonts w:hint="eastAsia" w:ascii="仿宋" w:hAnsi="仿宋" w:eastAsia="仿宋" w:cs="仿宋"/>
          <w:color w:val="auto"/>
          <w:sz w:val="24"/>
          <w:szCs w:val="24"/>
          <w:highlight w:val="none"/>
        </w:rPr>
        <w:t>。</w:t>
      </w:r>
    </w:p>
    <w:p>
      <w:pPr>
        <w:pStyle w:val="10"/>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（6）采购</w:t>
      </w:r>
      <w:r>
        <w:rPr>
          <w:rFonts w:hint="eastAsia" w:ascii="仿宋" w:hAnsi="仿宋" w:eastAsia="仿宋" w:cs="仿宋"/>
          <w:color w:val="auto"/>
          <w:sz w:val="24"/>
          <w:szCs w:val="24"/>
          <w:highlight w:val="none"/>
        </w:rPr>
        <w:t>文件：是指包括</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公告和</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文件及其补充、变更和澄清等一系列文件。</w:t>
      </w:r>
    </w:p>
    <w:p>
      <w:pPr>
        <w:pStyle w:val="10"/>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（7）“响应文件”是指：供应商根据本文件要求，编制包含报价、技术和服务等所有内容的实质性响应文件。</w:t>
      </w:r>
    </w:p>
    <w:p>
      <w:pPr>
        <w:pStyle w:val="1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合格的货物和服务：</w:t>
      </w:r>
    </w:p>
    <w:p>
      <w:pPr>
        <w:pStyle w:val="10"/>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color w:val="auto"/>
          <w:sz w:val="24"/>
          <w:highlight w:val="none"/>
        </w:rPr>
        <w:t>“货物”是指</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制造或组织符合</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文件要求的货物等。</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文件中没有提及</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货物来源地的，根据</w:t>
      </w:r>
      <w:r>
        <w:rPr>
          <w:rFonts w:hint="eastAsia" w:ascii="仿宋" w:hAnsi="仿宋" w:eastAsia="仿宋" w:cs="仿宋"/>
          <w:color w:val="auto"/>
          <w:sz w:val="24"/>
          <w:highlight w:val="none"/>
          <w:lang w:eastAsia="zh-CN"/>
        </w:rPr>
        <w:t>《政府采购法》</w:t>
      </w:r>
      <w:r>
        <w:rPr>
          <w:rFonts w:hint="eastAsia" w:ascii="仿宋" w:hAnsi="仿宋" w:eastAsia="仿宋" w:cs="仿宋"/>
          <w:color w:val="auto"/>
          <w:sz w:val="24"/>
          <w:highlight w:val="none"/>
        </w:rPr>
        <w:t>的相关规定均应是本国货物。</w:t>
      </w:r>
      <w:r>
        <w:rPr>
          <w:rFonts w:hint="eastAsia" w:ascii="仿宋" w:hAnsi="仿宋" w:eastAsia="仿宋" w:cs="仿宋"/>
          <w:snapToGrid w:val="0"/>
          <w:color w:val="auto"/>
          <w:kern w:val="0"/>
          <w:sz w:val="24"/>
          <w:highlight w:val="none"/>
          <w:lang w:eastAsia="zh-CN"/>
        </w:rPr>
        <w:t>响应</w:t>
      </w:r>
      <w:r>
        <w:rPr>
          <w:rFonts w:hint="eastAsia" w:ascii="仿宋" w:hAnsi="仿宋" w:eastAsia="仿宋" w:cs="仿宋"/>
          <w:snapToGrid w:val="0"/>
          <w:color w:val="auto"/>
          <w:kern w:val="0"/>
          <w:sz w:val="24"/>
          <w:highlight w:val="none"/>
        </w:rPr>
        <w:t>的货物必须是其合法生产的符合国家有关标准要求的货物，并满足我院</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文件规定的规格、参数、质量、价格、有效期、售后服务等要求。</w:t>
      </w:r>
    </w:p>
    <w:p>
      <w:pPr>
        <w:pStyle w:val="10"/>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“服务”是指除货物和工程以外的采购对象，其中包括：</w:t>
      </w:r>
      <w:r>
        <w:rPr>
          <w:rFonts w:hint="eastAsia" w:ascii="仿宋" w:hAnsi="仿宋" w:eastAsia="仿宋" w:cs="仿宋"/>
          <w:snapToGrid w:val="0"/>
          <w:color w:val="auto"/>
          <w:kern w:val="0"/>
          <w:sz w:val="24"/>
          <w:highlight w:val="none"/>
          <w:lang w:val="en-US" w:eastAsia="zh-CN"/>
        </w:rPr>
        <w:t>响应供应商</w:t>
      </w:r>
      <w:r>
        <w:rPr>
          <w:rFonts w:hint="eastAsia" w:ascii="仿宋" w:hAnsi="仿宋" w:eastAsia="仿宋" w:cs="仿宋"/>
          <w:snapToGrid w:val="0"/>
          <w:color w:val="auto"/>
          <w:kern w:val="0"/>
          <w:sz w:val="24"/>
          <w:highlight w:val="none"/>
        </w:rPr>
        <w:t>需承担的运输、安装、技术支持、培训以及</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文件规定的其他服务。</w:t>
      </w:r>
    </w:p>
    <w:p>
      <w:pPr>
        <w:pStyle w:val="10"/>
        <w:adjustRightInd w:val="0"/>
        <w:snapToGrid w:val="0"/>
        <w:spacing w:line="360" w:lineRule="auto"/>
        <w:ind w:firstLine="480" w:firstLineChars="200"/>
        <w:rPr>
          <w:rFonts w:hint="eastAsia" w:ascii="仿宋" w:hAnsi="仿宋" w:eastAsia="仿宋" w:cs="仿宋"/>
          <w:b w:val="0"/>
          <w:bCs w:val="0"/>
          <w:snapToGrid w:val="0"/>
          <w:color w:val="auto"/>
          <w:kern w:val="0"/>
          <w:sz w:val="24"/>
          <w:highlight w:val="none"/>
          <w:u w:val="none"/>
        </w:rPr>
      </w:pPr>
      <w:r>
        <w:rPr>
          <w:rFonts w:hint="eastAsia" w:ascii="仿宋" w:hAnsi="仿宋" w:eastAsia="仿宋" w:cs="仿宋"/>
          <w:b w:val="0"/>
          <w:bCs w:val="0"/>
          <w:snapToGrid w:val="0"/>
          <w:color w:val="auto"/>
          <w:kern w:val="0"/>
          <w:sz w:val="24"/>
          <w:szCs w:val="21"/>
          <w:highlight w:val="none"/>
          <w:u w:val="none"/>
          <w:lang w:val="en-US" w:eastAsia="zh-CN" w:bidi="ar-SA"/>
        </w:rPr>
        <w:t>2</w:t>
      </w:r>
      <w:r>
        <w:rPr>
          <w:rFonts w:hint="eastAsia" w:ascii="仿宋" w:hAnsi="仿宋" w:eastAsia="仿宋" w:cs="仿宋"/>
          <w:b w:val="0"/>
          <w:bCs w:val="0"/>
          <w:snapToGrid w:val="0"/>
          <w:color w:val="auto"/>
          <w:kern w:val="0"/>
          <w:sz w:val="24"/>
          <w:highlight w:val="none"/>
          <w:u w:val="none"/>
          <w:lang w:val="en-US" w:eastAsia="zh-CN"/>
        </w:rPr>
        <w:t>.</w:t>
      </w:r>
      <w:r>
        <w:rPr>
          <w:rFonts w:hint="eastAsia" w:ascii="仿宋" w:hAnsi="仿宋" w:eastAsia="仿宋" w:cs="仿宋"/>
          <w:b w:val="0"/>
          <w:bCs w:val="0"/>
          <w:snapToGrid w:val="0"/>
          <w:color w:val="auto"/>
          <w:kern w:val="0"/>
          <w:sz w:val="24"/>
          <w:highlight w:val="none"/>
          <w:u w:val="none"/>
        </w:rPr>
        <w:t>响应费用：</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b w:val="0"/>
          <w:bCs w:val="0"/>
          <w:snapToGrid w:val="0"/>
          <w:color w:val="auto"/>
          <w:kern w:val="0"/>
          <w:sz w:val="24"/>
          <w:highlight w:val="none"/>
          <w:u w:val="none"/>
        </w:rPr>
        <w:t>应承担所有与准备和参加响应有关的费用。</w:t>
      </w:r>
    </w:p>
    <w:p>
      <w:pPr>
        <w:pStyle w:val="10"/>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3</w:t>
      </w:r>
      <w:r>
        <w:rPr>
          <w:rFonts w:hint="eastAsia" w:ascii="仿宋" w:hAnsi="仿宋" w:eastAsia="仿宋" w:cs="仿宋"/>
          <w:snapToGrid w:val="0"/>
          <w:color w:val="auto"/>
          <w:kern w:val="0"/>
          <w:sz w:val="24"/>
          <w:highlight w:val="none"/>
        </w:rPr>
        <w:t>.“响应供应商名称”及“</w:t>
      </w:r>
      <w:r>
        <w:rPr>
          <w:rFonts w:hint="eastAsia" w:ascii="仿宋" w:hAnsi="仿宋" w:eastAsia="仿宋" w:cs="仿宋"/>
          <w:snapToGrid w:val="0"/>
          <w:color w:val="auto"/>
          <w:kern w:val="0"/>
          <w:sz w:val="24"/>
          <w:highlight w:val="none"/>
          <w:lang w:eastAsia="zh-CN"/>
        </w:rPr>
        <w:t>盖章</w:t>
      </w:r>
      <w:r>
        <w:rPr>
          <w:rFonts w:hint="eastAsia" w:ascii="仿宋" w:hAnsi="仿宋" w:eastAsia="仿宋" w:cs="仿宋"/>
          <w:snapToGrid w:val="0"/>
          <w:color w:val="auto"/>
          <w:kern w:val="0"/>
          <w:sz w:val="24"/>
          <w:highlight w:val="none"/>
        </w:rPr>
        <w:t>”：在响应文件及相关的其他资料中，涉及“响应供应商名称”的应在对应文件编辑时使用文本录入方式，或在纸质响应文件上进行手写签名或电子印章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pPr>
        <w:pStyle w:val="10"/>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4.</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rPr>
        <w:t>响应供应商法定代表人</w:t>
      </w:r>
      <w:r>
        <w:rPr>
          <w:rFonts w:hint="eastAsia" w:ascii="仿宋" w:hAnsi="仿宋" w:eastAsia="仿宋" w:cs="仿宋"/>
          <w:snapToGrid w:val="0"/>
          <w:color w:val="auto"/>
          <w:kern w:val="0"/>
          <w:sz w:val="24"/>
          <w:highlight w:val="none"/>
        </w:rPr>
        <w:t>”及“</w:t>
      </w:r>
      <w:r>
        <w:rPr>
          <w:rFonts w:hint="eastAsia" w:ascii="仿宋" w:hAnsi="仿宋" w:eastAsia="仿宋" w:cs="仿宋"/>
          <w:color w:val="auto"/>
          <w:sz w:val="24"/>
          <w:highlight w:val="none"/>
        </w:rPr>
        <w:t>法定代表人授权代表</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响应供应商法定代表人（或法定代表人授权代表）</w:t>
      </w:r>
      <w:r>
        <w:rPr>
          <w:rFonts w:hint="eastAsia" w:ascii="仿宋" w:hAnsi="仿宋" w:eastAsia="仿宋" w:cs="仿宋"/>
          <w:color w:val="auto"/>
          <w:sz w:val="24"/>
          <w:highlight w:val="none"/>
          <w:lang w:eastAsia="zh-CN"/>
        </w:rPr>
        <w:t>”</w:t>
      </w:r>
      <w:r>
        <w:rPr>
          <w:rFonts w:hint="eastAsia" w:ascii="仿宋" w:hAnsi="仿宋" w:eastAsia="仿宋" w:cs="仿宋"/>
          <w:snapToGrid w:val="0"/>
          <w:color w:val="auto"/>
          <w:kern w:val="0"/>
          <w:sz w:val="24"/>
          <w:highlight w:val="none"/>
        </w:rPr>
        <w:t>：在响应文件及相关的其他资料中，涉及“</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snapToGrid w:val="0"/>
          <w:color w:val="auto"/>
          <w:kern w:val="0"/>
          <w:sz w:val="24"/>
          <w:highlight w:val="none"/>
        </w:rPr>
        <w:t>代表签字”或“授权代表”应在响应文件编辑时使用文本录入方式，或在纸质响应文件上进行手写签名或电子印章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pPr>
        <w:pStyle w:val="10"/>
        <w:adjustRightInd w:val="0"/>
        <w:snapToGrid w:val="0"/>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二、说明</w:t>
      </w:r>
    </w:p>
    <w:p>
      <w:pPr>
        <w:pStyle w:val="10"/>
        <w:adjustRightInd w:val="0"/>
        <w:snapToGrid w:val="0"/>
        <w:spacing w:line="360" w:lineRule="auto"/>
        <w:ind w:firstLine="481" w:firstLine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1.总则</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sz w:val="24"/>
          <w:szCs w:val="24"/>
          <w:highlight w:val="none"/>
        </w:rPr>
        <w:t>采购人及</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进行的本次采购活动</w:t>
      </w:r>
      <w:r>
        <w:rPr>
          <w:rFonts w:hint="eastAsia" w:ascii="仿宋" w:hAnsi="仿宋" w:eastAsia="仿宋" w:cs="仿宋"/>
          <w:color w:val="auto"/>
          <w:kern w:val="0"/>
          <w:sz w:val="24"/>
          <w:highlight w:val="none"/>
        </w:rPr>
        <w:t>参考</w:t>
      </w:r>
      <w:r>
        <w:rPr>
          <w:rFonts w:hint="eastAsia" w:ascii="仿宋" w:hAnsi="仿宋" w:eastAsia="仿宋" w:cs="仿宋"/>
          <w:color w:val="auto"/>
          <w:kern w:val="0"/>
          <w:sz w:val="24"/>
          <w:highlight w:val="none"/>
          <w:lang w:eastAsia="zh-CN"/>
        </w:rPr>
        <w:t>《政府采购法》</w:t>
      </w:r>
      <w:r>
        <w:rPr>
          <w:rFonts w:hint="eastAsia" w:ascii="仿宋" w:hAnsi="仿宋" w:eastAsia="仿宋" w:cs="仿宋"/>
          <w:color w:val="auto"/>
          <w:kern w:val="0"/>
          <w:sz w:val="24"/>
          <w:highlight w:val="none"/>
        </w:rPr>
        <w:t>及医院的采购制度。</w:t>
      </w:r>
    </w:p>
    <w:p>
      <w:pPr>
        <w:pStyle w:val="10"/>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应仔细阅读本项目</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公告及</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的所有内容（包括变更、补充、澄清以及修改等，且均为</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的组成部分），按照</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要求以及格式编制</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文件，并保证其真实性，否则一切后果自负。</w:t>
      </w:r>
    </w:p>
    <w:p>
      <w:pPr>
        <w:pStyle w:val="10"/>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本次</w:t>
      </w:r>
      <w:r>
        <w:rPr>
          <w:rFonts w:hint="eastAsia" w:ascii="仿宋" w:hAnsi="仿宋" w:eastAsia="仿宋" w:cs="仿宋"/>
          <w:bCs/>
          <w:color w:val="auto"/>
          <w:sz w:val="24"/>
          <w:szCs w:val="24"/>
          <w:highlight w:val="none"/>
          <w:lang w:eastAsia="zh-CN"/>
        </w:rPr>
        <w:t>院内比选</w:t>
      </w:r>
      <w:r>
        <w:rPr>
          <w:rFonts w:hint="eastAsia" w:ascii="仿宋" w:hAnsi="仿宋" w:eastAsia="仿宋" w:cs="仿宋"/>
          <w:bCs/>
          <w:color w:val="auto"/>
          <w:sz w:val="24"/>
          <w:szCs w:val="24"/>
          <w:highlight w:val="none"/>
        </w:rPr>
        <w:t>项目，是以</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公告的方式邀请非特定的</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参加</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w:t>
      </w:r>
    </w:p>
    <w:p>
      <w:pPr>
        <w:pStyle w:val="10"/>
        <w:adjustRightInd w:val="0"/>
        <w:snapToGrid w:val="0"/>
        <w:spacing w:line="360" w:lineRule="auto"/>
        <w:ind w:firstLine="482" w:firstLineChars="200"/>
        <w:rPr>
          <w:rFonts w:hint="eastAsia" w:ascii="仿宋" w:hAnsi="仿宋" w:eastAsia="仿宋" w:cs="仿宋"/>
          <w:strike w:val="0"/>
          <w:dstrike w:val="0"/>
          <w:color w:val="auto"/>
          <w:sz w:val="24"/>
          <w:szCs w:val="24"/>
          <w:highlight w:val="none"/>
        </w:rPr>
      </w:pPr>
      <w:r>
        <w:rPr>
          <w:rFonts w:hint="eastAsia" w:ascii="仿宋" w:hAnsi="仿宋" w:eastAsia="仿宋" w:cs="仿宋"/>
          <w:b/>
          <w:bCs/>
          <w:color w:val="auto"/>
          <w:sz w:val="24"/>
          <w:highlight w:val="none"/>
          <w:lang w:val="en-US" w:eastAsia="zh-CN"/>
        </w:rPr>
        <w:t>2.适用范围：</w:t>
      </w:r>
      <w:r>
        <w:rPr>
          <w:rFonts w:hint="eastAsia" w:ascii="仿宋" w:hAnsi="仿宋" w:eastAsia="仿宋" w:cs="仿宋"/>
          <w:strike w:val="0"/>
          <w:dstrike w:val="0"/>
          <w:color w:val="auto"/>
          <w:sz w:val="24"/>
          <w:szCs w:val="24"/>
          <w:highlight w:val="none"/>
        </w:rPr>
        <w:t>本</w:t>
      </w:r>
      <w:r>
        <w:rPr>
          <w:rFonts w:hint="eastAsia" w:ascii="仿宋" w:hAnsi="仿宋" w:eastAsia="仿宋" w:cs="仿宋"/>
          <w:strike w:val="0"/>
          <w:dstrike w:val="0"/>
          <w:color w:val="auto"/>
          <w:sz w:val="24"/>
          <w:szCs w:val="24"/>
          <w:highlight w:val="none"/>
          <w:lang w:eastAsia="zh-CN"/>
        </w:rPr>
        <w:t>比选</w:t>
      </w:r>
      <w:r>
        <w:rPr>
          <w:rFonts w:hint="eastAsia" w:ascii="仿宋" w:hAnsi="仿宋" w:eastAsia="仿宋" w:cs="仿宋"/>
          <w:strike w:val="0"/>
          <w:dstrike w:val="0"/>
          <w:color w:val="auto"/>
          <w:sz w:val="24"/>
          <w:szCs w:val="24"/>
          <w:highlight w:val="none"/>
        </w:rPr>
        <w:t>文件适用于本</w:t>
      </w:r>
      <w:r>
        <w:rPr>
          <w:rFonts w:hint="eastAsia" w:ascii="仿宋" w:hAnsi="仿宋" w:eastAsia="仿宋" w:cs="仿宋"/>
          <w:strike w:val="0"/>
          <w:dstrike w:val="0"/>
          <w:color w:val="auto"/>
          <w:sz w:val="24"/>
          <w:szCs w:val="24"/>
          <w:highlight w:val="none"/>
          <w:lang w:eastAsia="zh-CN"/>
        </w:rPr>
        <w:t>比</w:t>
      </w:r>
      <w:r>
        <w:rPr>
          <w:rFonts w:hint="eastAsia" w:ascii="仿宋" w:hAnsi="仿宋" w:eastAsia="仿宋" w:cs="仿宋"/>
          <w:strike w:val="0"/>
          <w:dstrike w:val="0"/>
          <w:color w:val="auto"/>
          <w:sz w:val="24"/>
          <w:szCs w:val="24"/>
          <w:highlight w:val="none"/>
          <w:lang w:val="en-US" w:eastAsia="zh-CN"/>
        </w:rPr>
        <w:t>选</w:t>
      </w:r>
      <w:r>
        <w:rPr>
          <w:rFonts w:hint="eastAsia" w:ascii="仿宋" w:hAnsi="仿宋" w:eastAsia="仿宋" w:cs="仿宋"/>
          <w:strike w:val="0"/>
          <w:dstrike w:val="0"/>
          <w:color w:val="auto"/>
          <w:sz w:val="24"/>
          <w:szCs w:val="24"/>
          <w:highlight w:val="none"/>
        </w:rPr>
        <w:t>邀请中所述项目的采购项目。</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strike w:val="0"/>
          <w:dstrike w:val="0"/>
          <w:color w:val="auto"/>
          <w:sz w:val="24"/>
          <w:szCs w:val="24"/>
          <w:highlight w:val="none"/>
          <w:lang w:val="en-US" w:eastAsia="zh-CN"/>
        </w:rPr>
        <w:t>3.</w:t>
      </w:r>
      <w:r>
        <w:rPr>
          <w:rFonts w:hint="eastAsia" w:ascii="仿宋" w:hAnsi="仿宋" w:eastAsia="仿宋" w:cs="仿宋"/>
          <w:b/>
          <w:bCs/>
          <w:color w:val="auto"/>
          <w:sz w:val="24"/>
          <w:szCs w:val="24"/>
          <w:highlight w:val="none"/>
        </w:rPr>
        <w:t>关于中小微企业</w:t>
      </w:r>
      <w:r>
        <w:rPr>
          <w:rFonts w:hint="eastAsia" w:ascii="仿宋" w:hAnsi="仿宋" w:eastAsia="仿宋" w:cs="仿宋"/>
          <w:b/>
          <w:bCs/>
          <w:color w:val="auto"/>
          <w:sz w:val="24"/>
          <w:szCs w:val="24"/>
          <w:highlight w:val="none"/>
          <w:lang w:eastAsia="zh-CN"/>
        </w:rPr>
        <w:t>响应</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见《关于印发中小企业划型标准规定的通知》（工信部联企业〔2011〕300号) 。</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小型和微型企业产品价格扣除（专门面向中小企业采购项目不予以价格扣除）根据财政部、工业和信息化部印发的《政府采购促进中小企业发展管理办法》（财库〔2020〕46号）的规定，对小型和微型企业产品的价格给予10%的扣除，用扣除后的价格参与评审；</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产品中仅有部分小型和微型企业产品的，则此部分按所投小型和微型企业产品的价格予以扣除。</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根据财库〔2014〕68号《财政部</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时，提供由省级以上监狱管理局、戒毒管理局(含新疆生产建设兵团)出具的属于监狱企业的证明文件，不再提供《中小企业声明函》。</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监狱企业视同小型、微型企业，享受评审中价格扣除。</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民政部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残疾人福利性单位视同小型、微型企业，享受评审中价格扣除。</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同时为小型、微型企业、监狱企业、残疾人福利性单位任两种或以上情况的，评审中只享受一次价格扣除，不重复进行价格扣除。</w:t>
      </w:r>
    </w:p>
    <w:p>
      <w:pPr>
        <w:pStyle w:val="10"/>
        <w:adjustRightInd w:val="0"/>
        <w:snapToGrid w:val="0"/>
        <w:spacing w:line="360" w:lineRule="auto"/>
        <w:ind w:firstLine="482"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b/>
          <w:bCs/>
          <w:strike w:val="0"/>
          <w:dstrike w:val="0"/>
          <w:color w:val="auto"/>
          <w:sz w:val="24"/>
          <w:szCs w:val="24"/>
          <w:highlight w:val="none"/>
          <w:lang w:val="en-US" w:eastAsia="zh-CN"/>
        </w:rPr>
        <w:t>4.纪律与保密</w:t>
      </w:r>
    </w:p>
    <w:p>
      <w:pPr>
        <w:pStyle w:val="10"/>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不得相互串通</w:t>
      </w:r>
      <w:r>
        <w:rPr>
          <w:rFonts w:hint="eastAsia" w:ascii="仿宋" w:hAnsi="仿宋" w:eastAsia="仿宋" w:cs="仿宋"/>
          <w:bCs/>
          <w:color w:val="auto"/>
          <w:sz w:val="24"/>
          <w:szCs w:val="24"/>
          <w:highlight w:val="none"/>
          <w:lang w:val="en-US" w:eastAsia="zh-CN"/>
        </w:rPr>
        <w:t>响应</w:t>
      </w:r>
      <w:r>
        <w:rPr>
          <w:rFonts w:hint="eastAsia" w:ascii="仿宋" w:hAnsi="仿宋" w:eastAsia="仿宋" w:cs="仿宋"/>
          <w:bCs/>
          <w:color w:val="auto"/>
          <w:sz w:val="24"/>
          <w:szCs w:val="24"/>
          <w:highlight w:val="none"/>
        </w:rPr>
        <w:t>报价，不得妨碍其他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的公平竞争，不得损害采购人或其他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的合法权益，</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不得以向采购人、</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行贿或者采取其他不正当手段谋取</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w:t>
      </w:r>
    </w:p>
    <w:p>
      <w:pPr>
        <w:pStyle w:val="10"/>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供应商之前，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不得与采购人就</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价格、</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方案等实质性内容进行谈判，也不得私下接触</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成员。</w:t>
      </w:r>
    </w:p>
    <w:p>
      <w:pPr>
        <w:pStyle w:val="10"/>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eastAsia="zh-CN"/>
        </w:rPr>
        <w:t>成交供应商</w:t>
      </w:r>
      <w:r>
        <w:rPr>
          <w:rFonts w:hint="eastAsia" w:ascii="仿宋" w:hAnsi="仿宋" w:eastAsia="仿宋" w:cs="仿宋"/>
          <w:bCs/>
          <w:color w:val="auto"/>
          <w:sz w:val="24"/>
          <w:szCs w:val="24"/>
          <w:highlight w:val="none"/>
        </w:rPr>
        <w:t>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试图在</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文件审查、澄清、比较和评价时对</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、采购人施加任何影响都可能导致其</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无效。</w:t>
      </w:r>
    </w:p>
    <w:p>
      <w:pPr>
        <w:pStyle w:val="10"/>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获得本</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者，须履行本项目下保密义务，不得将因本次项目获得的信息向第三人外传，不得将</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用作本次</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以外的任何用途。</w:t>
      </w:r>
    </w:p>
    <w:p>
      <w:pPr>
        <w:pStyle w:val="10"/>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由采购人向</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提供的图纸、详细资料、样品、模型、模件和所有其它资料，均为保密资料，仅被用于它所规定的用途。除非得到采购人的同意，不能向任何第三方透露。</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结束后，应采购人要求，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应归还所有从采购人处获得的保密资料。</w:t>
      </w:r>
    </w:p>
    <w:p>
      <w:pPr>
        <w:pStyle w:val="10"/>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采购人有权将供应商提供的所有资料向有关政府部门或评审小组披露。</w:t>
      </w:r>
    </w:p>
    <w:p>
      <w:pPr>
        <w:pStyle w:val="10"/>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10"/>
        <w:adjustRightInd w:val="0"/>
        <w:snapToGrid w:val="0"/>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5.</w:t>
      </w:r>
      <w:r>
        <w:rPr>
          <w:rFonts w:hint="eastAsia" w:ascii="仿宋" w:hAnsi="仿宋" w:eastAsia="仿宋" w:cs="仿宋"/>
          <w:b/>
          <w:bCs/>
          <w:color w:val="auto"/>
          <w:sz w:val="24"/>
          <w:szCs w:val="24"/>
          <w:highlight w:val="none"/>
        </w:rPr>
        <w:t>比选的语言及计量</w:t>
      </w:r>
    </w:p>
    <w:p>
      <w:pPr>
        <w:pStyle w:val="1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提交的响应文件以及供应商与采购人就有关比选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pStyle w:val="1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除非比选文件中另有规定，供应商在响应文件中及其与采购单位的所有往来文件中的计量单位均应采用中华人民共和国法定计量单位。</w:t>
      </w:r>
    </w:p>
    <w:p>
      <w:pPr>
        <w:pStyle w:val="10"/>
        <w:adjustRightInd w:val="0"/>
        <w:snapToGrid w:val="0"/>
        <w:spacing w:line="360" w:lineRule="auto"/>
        <w:ind w:firstLine="480"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响应文件的构成应符合法律法规及比选文件的要求。</w:t>
      </w:r>
    </w:p>
    <w:p>
      <w:pPr>
        <w:pStyle w:val="10"/>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6.</w:t>
      </w:r>
      <w:r>
        <w:rPr>
          <w:rFonts w:hint="eastAsia" w:ascii="仿宋" w:hAnsi="仿宋" w:eastAsia="仿宋" w:cs="仿宋"/>
          <w:b/>
          <w:bCs/>
          <w:color w:val="auto"/>
          <w:sz w:val="24"/>
          <w:szCs w:val="24"/>
          <w:highlight w:val="none"/>
        </w:rPr>
        <w:t>现场踏勘（如有）</w:t>
      </w:r>
    </w:p>
    <w:p>
      <w:pPr>
        <w:pStyle w:val="10"/>
        <w:adjustRightInd w:val="0"/>
        <w:snapToGrid w:val="0"/>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规定组织踏勘现场的，采购人按</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规定的时间、地点组织</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踏勘项目现场。</w:t>
      </w:r>
    </w:p>
    <w:p>
      <w:pPr>
        <w:pStyle w:val="10"/>
        <w:adjustRightInd w:val="0"/>
        <w:snapToGrid w:val="0"/>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自行承担踏勘现场发生的责任、风险和自身费用。</w:t>
      </w:r>
    </w:p>
    <w:p>
      <w:pPr>
        <w:pStyle w:val="1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采购人在踏勘现场中介绍的资料和数据等，只是为了使</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能够利用</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现有的资料。</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人对</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由此而作出的推论、解释和结论概不负责。</w:t>
      </w:r>
    </w:p>
    <w:p>
      <w:pPr>
        <w:pStyle w:val="10"/>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三、比选文件澄清和修改</w:t>
      </w:r>
    </w:p>
    <w:p>
      <w:pPr>
        <w:pStyle w:val="1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（1）比选文件的澄清是指</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对比选文件中的遗漏、错误、词义表达不清或对比较复杂的事项进行说明，回答供应商提出的各种问题。比选文件的修改是指采购人对比选文件中出现的错误进行修订。</w:t>
      </w:r>
    </w:p>
    <w:p>
      <w:pPr>
        <w:pStyle w:val="1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（2）任何要求对比选文件进行澄清的供应商，均应在比选文件规定的响应文件递交截止时间3日之前以书面形式通知</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对其收到的书面的对比选文件的澄清要求均以书面形式予以答复，同时将书面形式答复发给每个</w:t>
      </w:r>
      <w:r>
        <w:rPr>
          <w:rFonts w:hint="eastAsia" w:ascii="仿宋" w:hAnsi="仿宋" w:eastAsia="仿宋" w:cs="仿宋"/>
          <w:color w:val="auto"/>
          <w:sz w:val="24"/>
          <w:szCs w:val="24"/>
          <w:highlight w:val="none"/>
          <w:lang w:val="en-US" w:eastAsia="zh-CN"/>
        </w:rPr>
        <w:t>报名成功的</w:t>
      </w:r>
      <w:r>
        <w:rPr>
          <w:rFonts w:hint="eastAsia" w:ascii="仿宋" w:hAnsi="仿宋" w:eastAsia="仿宋" w:cs="仿宋"/>
          <w:color w:val="auto"/>
          <w:sz w:val="24"/>
          <w:szCs w:val="24"/>
          <w:highlight w:val="none"/>
        </w:rPr>
        <w:t>供应商（答复中不包括问题的来源）。不足3日的，顺延提交响应文件的截止时间。该答复作为比选文件的一部分，对供应商有约束力。</w:t>
      </w:r>
    </w:p>
    <w:p>
      <w:pPr>
        <w:pStyle w:val="1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（3）比选文件的修改将在比选文件规定的响应文件递交截止时间3日之前由</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以书面形式通知所有潜在（报名成功的）供应商，并对其具有约束力。</w:t>
      </w:r>
    </w:p>
    <w:p>
      <w:pPr>
        <w:pStyle w:val="1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）采购人可以视采购具体情况，延长响应文件递交截止时间，但至少应当在比选文件规定的响应文件递交截止时间3日前，并将变更时间书面通知所有已获取比选文件的潜在供应商。</w:t>
      </w:r>
    </w:p>
    <w:p>
      <w:pPr>
        <w:pStyle w:val="10"/>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四、响应要求</w:t>
      </w:r>
    </w:p>
    <w:p>
      <w:pPr>
        <w:pStyle w:val="10"/>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1.响应文件编制</w:t>
      </w:r>
    </w:p>
    <w:p>
      <w:pPr>
        <w:pStyle w:val="1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对比选文件中多个包（组）进行响应的，其响应文件的编制应按每个包（组）的要求进行页码编制并分别装订和封装。供应商应当对响应文件进行装订，对未经装订的响应文件可能发生的文件散落或缺损，由此产生的后果由供应商承担。</w:t>
      </w:r>
    </w:p>
    <w:p>
      <w:pPr>
        <w:pStyle w:val="10"/>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响应供应商应完整、真实、准确的填写比选文件中规定的所有内容，对响应文件所提供的全部资料的真实性承担法律责任，并无条件接受我院</w:t>
      </w:r>
      <w:r>
        <w:rPr>
          <w:rFonts w:hint="eastAsia" w:ascii="仿宋" w:hAnsi="仿宋" w:eastAsia="仿宋" w:cs="仿宋"/>
          <w:color w:val="auto"/>
          <w:sz w:val="24"/>
          <w:szCs w:val="24"/>
          <w:highlight w:val="none"/>
          <w:lang w:eastAsia="zh-CN"/>
        </w:rPr>
        <w:t>招采</w:t>
      </w:r>
      <w:r>
        <w:rPr>
          <w:rFonts w:hint="eastAsia" w:ascii="仿宋" w:hAnsi="仿宋" w:eastAsia="仿宋" w:cs="仿宋"/>
          <w:color w:val="auto"/>
          <w:sz w:val="24"/>
          <w:szCs w:val="24"/>
          <w:highlight w:val="none"/>
          <w:lang w:val="en-US" w:eastAsia="zh-CN"/>
        </w:rPr>
        <w:t>部门</w:t>
      </w:r>
      <w:r>
        <w:rPr>
          <w:rFonts w:hint="eastAsia" w:ascii="仿宋" w:hAnsi="仿宋" w:eastAsia="仿宋" w:cs="仿宋"/>
          <w:color w:val="auto"/>
          <w:sz w:val="24"/>
          <w:szCs w:val="24"/>
          <w:highlight w:val="none"/>
        </w:rPr>
        <w:t>和监督管理小组等对其中任何资料进行核实的要求。供应商必须对响应文件所提供的全部资料的真实性承担法律责任。</w:t>
      </w:r>
    </w:p>
    <w:p>
      <w:pPr>
        <w:pStyle w:val="1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如果因为供应商响应文件填报的内容不详，或没有提供比选文件中所要求的全部资料及数据，由此造成的后果，其责任由供应商承担。</w:t>
      </w:r>
    </w:p>
    <w:p>
      <w:pPr>
        <w:pStyle w:val="10"/>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响应文件的递交</w:t>
      </w:r>
    </w:p>
    <w:p>
      <w:pPr>
        <w:pStyle w:val="10"/>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供应商应将《报价单》单独密封提交，并在信封上清晰标明“报价信封”字样。供应商应将响应文件密封包装。</w:t>
      </w:r>
    </w:p>
    <w:p>
      <w:pPr>
        <w:pStyle w:val="1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响应的信封袋或者文件袋外包装上应注明采购项目名称、项目编号 “在（比选文件中规定的比选日期和时点）之前不得拆封”字样，封口处加盖公章。未按要求密封和标记的，我院对误投或提前启封概不负责。</w:t>
      </w:r>
    </w:p>
    <w:p>
      <w:pPr>
        <w:pStyle w:val="10"/>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在《比选邀请函》中规定的地点和响应截止时间之前接收响应文件，超过截止时间后的响应为无效响应，采购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将拒绝接收。</w:t>
      </w:r>
    </w:p>
    <w:p>
      <w:pPr>
        <w:pStyle w:val="10"/>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3.响应文件的修改、撤回与撤销</w:t>
      </w:r>
    </w:p>
    <w:p>
      <w:pPr>
        <w:pStyle w:val="10"/>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在响应截止时间前，可以对所提交的响应文件进行补充、修改或撤回，但必须书面告知；补充、修改的内容应当按比选文件要求签署、盖章，并作为响应文件的组成部分。在响应截止时间后，供应商不得对其响应文件做任何修改和补充或</w:t>
      </w:r>
      <w:r>
        <w:rPr>
          <w:rFonts w:ascii="仿宋" w:hAnsi="仿宋" w:eastAsia="仿宋" w:cs="仿宋"/>
          <w:color w:val="auto"/>
          <w:sz w:val="24"/>
          <w:szCs w:val="24"/>
          <w:highlight w:val="none"/>
        </w:rPr>
        <w:t>撤回</w:t>
      </w:r>
      <w:r>
        <w:rPr>
          <w:rFonts w:hint="eastAsia" w:ascii="仿宋" w:hAnsi="仿宋" w:eastAsia="仿宋" w:cs="仿宋"/>
          <w:color w:val="auto"/>
          <w:sz w:val="24"/>
          <w:szCs w:val="24"/>
          <w:highlight w:val="none"/>
        </w:rPr>
        <w:t>。</w:t>
      </w:r>
    </w:p>
    <w:p>
      <w:pPr>
        <w:pStyle w:val="1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供应商所提交的响应文件在比选结束后，无论成交与否都不予退还。</w:t>
      </w:r>
    </w:p>
    <w:p>
      <w:pPr>
        <w:pStyle w:val="10"/>
        <w:adjustRightInd w:val="0"/>
        <w:snapToGrid w:val="0"/>
        <w:spacing w:line="360" w:lineRule="auto"/>
        <w:ind w:firstLine="482" w:firstLineChars="200"/>
        <w:rPr>
          <w:rFonts w:hint="eastAsia" w:ascii="仿宋" w:hAnsi="仿宋" w:eastAsia="仿宋" w:cs="仿宋"/>
          <w:b/>
          <w:bCs/>
          <w:strike w:val="0"/>
          <w:color w:val="auto"/>
          <w:sz w:val="24"/>
          <w:szCs w:val="24"/>
          <w:highlight w:val="none"/>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strike w:val="0"/>
          <w:color w:val="auto"/>
          <w:sz w:val="24"/>
          <w:szCs w:val="24"/>
          <w:highlight w:val="none"/>
        </w:rPr>
        <w:t>有以下情形的，将视为响应供应商互相串通响应，不得报名或响应无效：</w:t>
      </w:r>
    </w:p>
    <w:p>
      <w:pPr>
        <w:pStyle w:val="10"/>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（1）不同供应商委托同一单位或个人办理报价事宜；</w:t>
      </w:r>
    </w:p>
    <w:p>
      <w:pPr>
        <w:pStyle w:val="10"/>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（2）不同供应商的报价文件出现同一公章或者签字的；</w:t>
      </w:r>
    </w:p>
    <w:p>
      <w:pPr>
        <w:pStyle w:val="10"/>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（3）不同供应商的响应文件异常一致或者非比选文件格式要求，响应文件中出现错误字/词/句位置一致的，雷同内容达到20字及以上的；</w:t>
      </w:r>
    </w:p>
    <w:p>
      <w:pPr>
        <w:pStyle w:val="10"/>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（4）不同供应商的响应文件载明的项目管理成员或者联系人员为同一人；</w:t>
      </w:r>
    </w:p>
    <w:p>
      <w:pPr>
        <w:pStyle w:val="10"/>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（5）不同供应商的响应文件相互混装；</w:t>
      </w:r>
    </w:p>
    <w:p>
      <w:pPr>
        <w:pStyle w:val="10"/>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（6）法定代表人为同一个人的两个及两个以上法人，母公司、全资子公司及其控股公司或有共同股东组成或主要管理人员中有共同人员的。</w:t>
      </w:r>
    </w:p>
    <w:p>
      <w:pPr>
        <w:pStyle w:val="10"/>
        <w:adjustRightInd w:val="0"/>
        <w:snapToGrid w:val="0"/>
        <w:spacing w:line="360" w:lineRule="auto"/>
        <w:ind w:firstLine="482" w:firstLineChars="200"/>
        <w:rPr>
          <w:rFonts w:hint="eastAsia" w:ascii="仿宋" w:hAnsi="仿宋" w:eastAsia="仿宋" w:cs="仿宋"/>
          <w:b/>
          <w:bCs/>
          <w:strike w:val="0"/>
          <w:color w:val="auto"/>
          <w:sz w:val="24"/>
          <w:szCs w:val="24"/>
          <w:highlight w:val="none"/>
        </w:rPr>
      </w:pPr>
      <w:r>
        <w:rPr>
          <w:rFonts w:hint="eastAsia" w:ascii="仿宋" w:hAnsi="仿宋" w:eastAsia="仿宋" w:cs="仿宋"/>
          <w:b/>
          <w:bCs/>
          <w:strike w:val="0"/>
          <w:color w:val="auto"/>
          <w:sz w:val="24"/>
          <w:szCs w:val="24"/>
          <w:highlight w:val="none"/>
          <w:lang w:val="en-US" w:eastAsia="zh-CN"/>
        </w:rPr>
        <w:t>5.</w:t>
      </w:r>
      <w:r>
        <w:rPr>
          <w:rFonts w:hint="eastAsia" w:ascii="仿宋" w:hAnsi="仿宋" w:eastAsia="仿宋" w:cs="仿宋"/>
          <w:b/>
          <w:bCs/>
          <w:strike w:val="0"/>
          <w:color w:val="auto"/>
          <w:sz w:val="24"/>
          <w:szCs w:val="24"/>
          <w:highlight w:val="none"/>
        </w:rPr>
        <w:t>响应供应商有下列弄虚作假的行为的，不得报名或响应无效：</w:t>
      </w:r>
    </w:p>
    <w:p>
      <w:pPr>
        <w:pStyle w:val="10"/>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（1）使用伪造、变造的许可证件；</w:t>
      </w:r>
    </w:p>
    <w:p>
      <w:pPr>
        <w:pStyle w:val="10"/>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（2）提供虚假的财务状况或者业绩；</w:t>
      </w:r>
    </w:p>
    <w:p>
      <w:pPr>
        <w:pStyle w:val="10"/>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（3）提供虚假的项目负责人或者主要技术人员简历、劳动关系证明；</w:t>
      </w:r>
    </w:p>
    <w:p>
      <w:pPr>
        <w:pStyle w:val="10"/>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（4）提供虚假的信用状况；</w:t>
      </w:r>
    </w:p>
    <w:p>
      <w:pPr>
        <w:pStyle w:val="10"/>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（5）其他弄虚作假的行为；</w:t>
      </w:r>
    </w:p>
    <w:p>
      <w:pPr>
        <w:pStyle w:val="10"/>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（6）响应文件或报价文件的签名为代签或冒签的；</w:t>
      </w:r>
    </w:p>
    <w:p>
      <w:pPr>
        <w:pStyle w:val="10"/>
        <w:adjustRightInd w:val="0"/>
        <w:snapToGrid w:val="0"/>
        <w:spacing w:line="360" w:lineRule="auto"/>
        <w:ind w:firstLine="480" w:firstLineChars="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（7）被授权人委托他人提交响应文件的，无委托书的。</w:t>
      </w:r>
    </w:p>
    <w:p>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6.</w:t>
      </w:r>
      <w:r>
        <w:rPr>
          <w:rFonts w:hint="eastAsia" w:ascii="仿宋" w:hAnsi="仿宋" w:eastAsia="仿宋" w:cs="仿宋"/>
          <w:b/>
          <w:bCs/>
          <w:color w:val="auto"/>
          <w:sz w:val="24"/>
          <w:highlight w:val="none"/>
        </w:rPr>
        <w:t>无效的报价认定</w:t>
      </w:r>
    </w:p>
    <w:p>
      <w:pPr>
        <w:pStyle w:val="10"/>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（1）报价文件没有有效签署的； </w:t>
      </w:r>
    </w:p>
    <w:p>
      <w:pPr>
        <w:pStyle w:val="10"/>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（2）报价文件不响应评审小组评审时质疑提出的问题，且该问题将可能给采购人造成重大影响的；</w:t>
      </w:r>
    </w:p>
    <w:p>
      <w:pPr>
        <w:pStyle w:val="10"/>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（3）报价文件的报价明显过低，可能低于其成本，而供应商又不能作出合理说明的；</w:t>
      </w:r>
    </w:p>
    <w:p>
      <w:pPr>
        <w:pStyle w:val="10"/>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（4）报价文件的总价超出采购预算且采购人不能接受的；</w:t>
      </w:r>
    </w:p>
    <w:p>
      <w:pPr>
        <w:pStyle w:val="10"/>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（5）报价文件附有采购人不能接受的条件的；</w:t>
      </w:r>
    </w:p>
    <w:p>
      <w:pPr>
        <w:pStyle w:val="10"/>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（6）评审小组认为本次报价不响应比选文件实质性要求的；</w:t>
      </w:r>
    </w:p>
    <w:p>
      <w:pPr>
        <w:pStyle w:val="10"/>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（7）其它评审小组一致认为应作为无效报价的。</w:t>
      </w:r>
    </w:p>
    <w:p>
      <w:pPr>
        <w:pStyle w:val="10"/>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color w:val="auto"/>
          <w:sz w:val="24"/>
          <w:szCs w:val="24"/>
          <w:highlight w:val="none"/>
        </w:rPr>
        <w:t>★”号条款：必须实质响应的条款，响应供应商不可偏离，负偏离将导致评审时认定为响应无效。“▲”号条款：可以偏离的响应条款，将影响响应供应商的得分。</w:t>
      </w:r>
    </w:p>
    <w:p>
      <w:pPr>
        <w:pStyle w:val="10"/>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以下情形，采购人有权拒收响应文件：</w:t>
      </w:r>
    </w:p>
    <w:p>
      <w:pPr>
        <w:pStyle w:val="10"/>
        <w:adjustRightInd w:val="0"/>
        <w:snapToGrid w:val="0"/>
        <w:spacing w:line="360" w:lineRule="auto"/>
        <w:ind w:firstLine="48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（1）逾期送达；</w:t>
      </w:r>
    </w:p>
    <w:p>
      <w:pPr>
        <w:pStyle w:val="10"/>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（2）未按比选文件要求密封。</w:t>
      </w:r>
    </w:p>
    <w:p>
      <w:pPr>
        <w:pStyle w:val="10"/>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有下列情形，评审小组将否决其响应：</w:t>
      </w:r>
    </w:p>
    <w:p>
      <w:pPr>
        <w:pStyle w:val="10"/>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（1）响应文件未经响应单位盖章和法人或单位负责人签字；</w:t>
      </w:r>
    </w:p>
    <w:p>
      <w:pPr>
        <w:pStyle w:val="10"/>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（2）响应联合体没有提交共同响应协议；</w:t>
      </w:r>
    </w:p>
    <w:p>
      <w:pPr>
        <w:pStyle w:val="10"/>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（3）同一响应供应商提交两个以上不同的响应文件或者响应报价，比选文件要求提交备选响应的除外；</w:t>
      </w:r>
    </w:p>
    <w:p>
      <w:pPr>
        <w:pStyle w:val="10"/>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（4）响应报价低于成本或者高于比选最高响应限价的；</w:t>
      </w:r>
    </w:p>
    <w:p>
      <w:pPr>
        <w:pStyle w:val="10"/>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（5）响应文件没有对比选文件的实质性要求和条件作出响应的，</w:t>
      </w:r>
      <w:r>
        <w:rPr>
          <w:rFonts w:hint="eastAsia" w:ascii="仿宋" w:hAnsi="仿宋" w:eastAsia="仿宋" w:cs="仿宋"/>
          <w:color w:val="auto"/>
          <w:sz w:val="24"/>
          <w:szCs w:val="24"/>
          <w:highlight w:val="none"/>
        </w:rPr>
        <w:t>评审小组认为明显不符合评审要求的技术规格、技术标准、采购数量；</w:t>
      </w:r>
    </w:p>
    <w:p>
      <w:pPr>
        <w:pStyle w:val="10"/>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（6）响应供应商有串通响应、弄虚作假等违法行为的；</w:t>
      </w:r>
    </w:p>
    <w:p>
      <w:pPr>
        <w:pStyle w:val="10"/>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（7）比选现场存在争议的。</w:t>
      </w:r>
    </w:p>
    <w:p>
      <w:pPr>
        <w:pStyle w:val="10"/>
        <w:adjustRightInd w:val="0"/>
        <w:snapToGrid w:val="0"/>
        <w:spacing w:line="360" w:lineRule="auto"/>
        <w:ind w:firstLine="48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10.</w:t>
      </w:r>
      <w:r>
        <w:rPr>
          <w:rFonts w:hint="eastAsia" w:ascii="仿宋" w:hAnsi="仿宋" w:eastAsia="仿宋" w:cs="仿宋"/>
          <w:b/>
          <w:color w:val="auto"/>
          <w:sz w:val="24"/>
          <w:szCs w:val="24"/>
          <w:highlight w:val="none"/>
        </w:rPr>
        <w:t>供应商在参加比选过程中出现的以下不良行为的，将列入我院黑名单管理，在此后的三年内不得参与我院任何采买活动：</w:t>
      </w:r>
    </w:p>
    <w:p>
      <w:pPr>
        <w:pStyle w:val="10"/>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（1）远低于成本价恶意竞价或提供虚假材料谋求成交的；</w:t>
      </w:r>
    </w:p>
    <w:p>
      <w:pPr>
        <w:pStyle w:val="10"/>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（2）采取不正当手段诋毁、排挤其他潜在供应商的；</w:t>
      </w:r>
    </w:p>
    <w:p>
      <w:pPr>
        <w:pStyle w:val="10"/>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（3）与其他潜在供应商恶意串通的；</w:t>
      </w:r>
    </w:p>
    <w:p>
      <w:pPr>
        <w:pStyle w:val="10"/>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（4）随意申请撤换或放弃成交结果的；</w:t>
      </w:r>
    </w:p>
    <w:p>
      <w:pPr>
        <w:pStyle w:val="10"/>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（5）成交后无正当理由拒绝或迟迟不签订采购合同的；</w:t>
      </w:r>
    </w:p>
    <w:p>
      <w:pPr>
        <w:pStyle w:val="10"/>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（6）成交后，超过合同约定的供货（或服务）时间未按要求执行，给采购人造成损害的；</w:t>
      </w:r>
    </w:p>
    <w:p>
      <w:pPr>
        <w:pStyle w:val="10"/>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（7）在比选采购过程中，与相关部门协商谈判的；</w:t>
      </w:r>
    </w:p>
    <w:p>
      <w:pPr>
        <w:pStyle w:val="10"/>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（8）向医院涉及的相关部门行贿或者提供不正当利益的；</w:t>
      </w:r>
    </w:p>
    <w:p>
      <w:pPr>
        <w:pStyle w:val="10"/>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（9）拒绝有关部门监督检查或者提供虚假情况的；</w:t>
      </w:r>
    </w:p>
    <w:p>
      <w:pPr>
        <w:pStyle w:val="10"/>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（10）无正当理由拒绝履行合同和有关承诺，或擅自变更、中止（终止）采购合同的；</w:t>
      </w:r>
    </w:p>
    <w:p>
      <w:pPr>
        <w:pStyle w:val="10"/>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（11）提供假冒伪劣产品或走私物品的；</w:t>
      </w:r>
    </w:p>
    <w:p>
      <w:pPr>
        <w:pStyle w:val="10"/>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（12）不遵守比选现场纪律，扰乱评审现场，影响采购活动继续进行的；</w:t>
      </w:r>
    </w:p>
    <w:p>
      <w:pPr>
        <w:pStyle w:val="10"/>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（13）采购后擅自撤回采购相应文件，影响采购活动继续进行的；</w:t>
      </w:r>
    </w:p>
    <w:p>
      <w:pPr>
        <w:pStyle w:val="10"/>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（14）成交后，擅自将采购合同转包或分包给其他供应商的；</w:t>
      </w:r>
    </w:p>
    <w:p>
      <w:pPr>
        <w:pStyle w:val="10"/>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（15）不按比选、响应文件的要求和承诺执行或擅自降低响应承诺的产品质量和售后服务或以次充好、偷工减料的；</w:t>
      </w:r>
    </w:p>
    <w:p>
      <w:pPr>
        <w:pStyle w:val="10"/>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（16）实际提供的有关产品性能指标和技术服务能力明显低于采购响应文件时的承诺的；</w:t>
      </w:r>
    </w:p>
    <w:p>
      <w:pPr>
        <w:pStyle w:val="10"/>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（17）2年内有一次以上投诉查无实据、捏造事实或者提供虚假投诉材料的；</w:t>
      </w:r>
    </w:p>
    <w:p>
      <w:pPr>
        <w:pStyle w:val="10"/>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（18）累计两次供应商履约诚信量化评价得分不合格的供应商</w:t>
      </w:r>
      <w:r>
        <w:rPr>
          <w:rFonts w:hint="eastAsia" w:ascii="仿宋" w:hAnsi="仿宋" w:eastAsia="仿宋" w:cs="仿宋"/>
          <w:bCs/>
          <w:color w:val="auto"/>
          <w:sz w:val="24"/>
          <w:szCs w:val="24"/>
          <w:highlight w:val="yellow"/>
        </w:rPr>
        <w:t>的</w:t>
      </w:r>
      <w:r>
        <w:rPr>
          <w:rFonts w:hint="eastAsia" w:ascii="仿宋" w:hAnsi="仿宋" w:eastAsia="仿宋" w:cs="仿宋"/>
          <w:bCs/>
          <w:color w:val="auto"/>
          <w:sz w:val="24"/>
          <w:szCs w:val="24"/>
          <w:highlight w:val="none"/>
        </w:rPr>
        <w:t>；</w:t>
      </w:r>
    </w:p>
    <w:p>
      <w:pPr>
        <w:pStyle w:val="10"/>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（19）2年内累计达两次报名成功后未按规定提前一天发函告知不参加比选的。</w:t>
      </w:r>
    </w:p>
    <w:p>
      <w:pPr>
        <w:pStyle w:val="10"/>
        <w:widowControl/>
        <w:numPr>
          <w:ilvl w:val="0"/>
          <w:numId w:val="0"/>
        </w:numPr>
        <w:adjustRightInd w:val="0"/>
        <w:snapToGrid w:val="0"/>
        <w:spacing w:line="360" w:lineRule="auto"/>
        <w:ind w:firstLine="482" w:firstLineChars="200"/>
        <w:rPr>
          <w:rFonts w:hint="default" w:ascii="仿宋" w:hAnsi="仿宋" w:eastAsia="仿宋" w:cs="仿宋"/>
          <w:strike w:val="0"/>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11.</w:t>
      </w:r>
      <w:r>
        <w:rPr>
          <w:rFonts w:hint="eastAsia" w:ascii="仿宋" w:hAnsi="仿宋" w:eastAsia="仿宋" w:cs="仿宋"/>
          <w:b/>
          <w:color w:val="auto"/>
          <w:sz w:val="24"/>
          <w:szCs w:val="24"/>
          <w:highlight w:val="none"/>
        </w:rPr>
        <w:t>响应供应商在响应比选文件中必须列出具体数值，如果响应供应商只注明“差不多”“接近”等不明确表述，或擅自修改比选文件的比选服务、商务等要求的将导致评审小组拒绝其响应。</w:t>
      </w:r>
    </w:p>
    <w:p>
      <w:pPr>
        <w:pStyle w:val="10"/>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五、比选</w:t>
      </w:r>
    </w:p>
    <w:p>
      <w:pPr>
        <w:pStyle w:val="10"/>
        <w:adjustRightInd w:val="0"/>
        <w:snapToGrid w:val="0"/>
        <w:spacing w:line="360" w:lineRule="auto"/>
        <w:ind w:right="32" w:firstLine="482"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（一）比选前</w:t>
      </w:r>
    </w:p>
    <w:p>
      <w:pPr>
        <w:pStyle w:val="1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在本比选文件规定的日期、时间和地点组织比选。参加比选的代表应签到以证明其出席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并出示有效身份证件以供查验。原则上要求法</w:t>
      </w:r>
      <w:r>
        <w:rPr>
          <w:rFonts w:hint="eastAsia" w:ascii="仿宋" w:hAnsi="仿宋" w:eastAsia="仿宋" w:cs="仿宋"/>
          <w:color w:val="auto"/>
          <w:sz w:val="24"/>
          <w:szCs w:val="24"/>
          <w:highlight w:val="none"/>
          <w:lang w:eastAsia="zh-CN"/>
        </w:rPr>
        <w:t>定代表</w:t>
      </w:r>
      <w:r>
        <w:rPr>
          <w:rFonts w:hint="eastAsia" w:ascii="仿宋" w:hAnsi="仿宋" w:eastAsia="仿宋" w:cs="仿宋"/>
          <w:color w:val="auto"/>
          <w:sz w:val="24"/>
          <w:szCs w:val="24"/>
          <w:highlight w:val="none"/>
        </w:rPr>
        <w:t>人或被授权人亲自前来参加比选。确因不可抗拒之原因，委托他人前来的，应出具授权委托书（含被授权人身份证复印件）并加盖公章，授权委托书必须具有法</w:t>
      </w:r>
      <w:r>
        <w:rPr>
          <w:rFonts w:hint="eastAsia" w:ascii="仿宋" w:hAnsi="仿宋" w:eastAsia="仿宋" w:cs="仿宋"/>
          <w:color w:val="auto"/>
          <w:sz w:val="24"/>
          <w:szCs w:val="24"/>
          <w:highlight w:val="none"/>
          <w:lang w:eastAsia="zh-CN"/>
        </w:rPr>
        <w:t>定代表人</w:t>
      </w:r>
      <w:r>
        <w:rPr>
          <w:rFonts w:hint="eastAsia" w:ascii="仿宋" w:hAnsi="仿宋" w:eastAsia="仿宋" w:cs="仿宋"/>
          <w:color w:val="auto"/>
          <w:sz w:val="24"/>
          <w:szCs w:val="24"/>
          <w:highlight w:val="none"/>
        </w:rPr>
        <w:t>签名</w:t>
      </w:r>
      <w:r>
        <w:rPr>
          <w:rFonts w:hint="eastAsia" w:ascii="仿宋" w:hAnsi="仿宋" w:eastAsia="仿宋" w:cs="仿宋"/>
          <w:color w:val="auto"/>
          <w:sz w:val="24"/>
          <w:szCs w:val="24"/>
          <w:highlight w:val="none"/>
          <w:lang w:val="en-US" w:eastAsia="zh-CN"/>
        </w:rPr>
        <w:t>/盖章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否则</w:t>
      </w:r>
      <w:r>
        <w:rPr>
          <w:rFonts w:hint="eastAsia" w:ascii="仿宋" w:hAnsi="仿宋" w:eastAsia="仿宋" w:cs="仿宋"/>
          <w:color w:val="auto"/>
          <w:sz w:val="24"/>
          <w:szCs w:val="24"/>
          <w:highlight w:val="none"/>
        </w:rPr>
        <w:t>无效。如缺少上述资料，按响应无效处理。</w:t>
      </w:r>
    </w:p>
    <w:p>
      <w:pPr>
        <w:pStyle w:val="10"/>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供应商不参加现场比选的，视为无条件认同比选报价结果。</w:t>
      </w:r>
    </w:p>
    <w:p>
      <w:pPr>
        <w:pStyle w:val="1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szCs w:val="24"/>
          <w:highlight w:val="none"/>
        </w:rPr>
        <w:t>选派监督代表参加比选现场监督，只负责监督不负责评审工作。</w:t>
      </w:r>
    </w:p>
    <w:p>
      <w:pPr>
        <w:pStyle w:val="10"/>
        <w:adjustRightInd w:val="0"/>
        <w:snapToGrid w:val="0"/>
        <w:spacing w:line="360" w:lineRule="auto"/>
        <w:ind w:right="0" w:firstLine="480"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在响应供应商见证下、医院监督代表验证文件的密封性，并由工作人员现场宣读响应供应商名称、响应价格等实质内容。</w:t>
      </w:r>
    </w:p>
    <w:p>
      <w:pPr>
        <w:pStyle w:val="10"/>
        <w:adjustRightInd w:val="0"/>
        <w:snapToGrid w:val="0"/>
        <w:spacing w:line="360" w:lineRule="auto"/>
        <w:ind w:right="32" w:firstLine="482" w:firstLineChars="2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（二）评审</w:t>
      </w:r>
    </w:p>
    <w:p>
      <w:pPr>
        <w:pStyle w:val="10"/>
        <w:adjustRightInd w:val="0"/>
        <w:snapToGrid w:val="0"/>
        <w:spacing w:line="360" w:lineRule="auto"/>
        <w:ind w:right="32"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评审小组的组成</w:t>
      </w:r>
    </w:p>
    <w:p>
      <w:pPr>
        <w:pStyle w:val="1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评审小组按医院规定从专家库中随机抽取三名专家组成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highlight w:val="none"/>
        </w:rPr>
        <w:t>同一任职科室评审专家</w:t>
      </w:r>
      <w:r>
        <w:rPr>
          <w:rFonts w:hint="eastAsia" w:ascii="仿宋" w:hAnsi="仿宋" w:eastAsia="仿宋" w:cs="仿宋"/>
          <w:color w:val="auto"/>
          <w:kern w:val="0"/>
          <w:sz w:val="24"/>
          <w:highlight w:val="none"/>
          <w:lang w:val="en-US" w:eastAsia="zh-CN"/>
        </w:rPr>
        <w:t>不</w:t>
      </w:r>
      <w:r>
        <w:rPr>
          <w:rFonts w:hint="eastAsia" w:ascii="仿宋" w:hAnsi="仿宋" w:eastAsia="仿宋" w:cs="仿宋"/>
          <w:color w:val="auto"/>
          <w:kern w:val="0"/>
          <w:sz w:val="24"/>
          <w:highlight w:val="none"/>
        </w:rPr>
        <w:t>超过</w:t>
      </w:r>
      <w:r>
        <w:rPr>
          <w:rFonts w:hint="eastAsia" w:ascii="仿宋" w:hAnsi="仿宋" w:eastAsia="仿宋" w:cs="仿宋"/>
          <w:color w:val="auto"/>
          <w:kern w:val="0"/>
          <w:sz w:val="24"/>
          <w:highlight w:val="none"/>
          <w:lang w:eastAsia="zh-CN"/>
        </w:rPr>
        <w:t>两名</w:t>
      </w:r>
      <w:r>
        <w:rPr>
          <w:rFonts w:hint="eastAsia"/>
          <w:color w:val="auto"/>
          <w:highlight w:val="none"/>
          <w:lang w:eastAsia="zh-CN"/>
        </w:rPr>
        <w:t>。</w:t>
      </w:r>
      <w:r>
        <w:rPr>
          <w:rFonts w:hint="eastAsia" w:ascii="仿宋" w:hAnsi="仿宋" w:eastAsia="仿宋" w:cs="仿宋"/>
          <w:color w:val="auto"/>
          <w:sz w:val="24"/>
          <w:szCs w:val="24"/>
          <w:highlight w:val="none"/>
        </w:rPr>
        <w:t>评审小组将本着公平、公正、科学、择优的原则，严格按照医院的</w:t>
      </w:r>
      <w:r>
        <w:rPr>
          <w:rFonts w:hint="eastAsia" w:ascii="仿宋" w:hAnsi="仿宋" w:eastAsia="仿宋" w:cs="仿宋"/>
          <w:color w:val="auto"/>
          <w:sz w:val="24"/>
          <w:szCs w:val="24"/>
          <w:highlight w:val="none"/>
          <w:lang w:val="en-US" w:eastAsia="zh-CN"/>
        </w:rPr>
        <w:t>医院招标</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工作</w:t>
      </w:r>
      <w:r>
        <w:rPr>
          <w:rFonts w:hint="eastAsia" w:ascii="仿宋" w:hAnsi="仿宋" w:eastAsia="仿宋" w:cs="仿宋"/>
          <w:color w:val="auto"/>
          <w:sz w:val="24"/>
          <w:szCs w:val="24"/>
          <w:highlight w:val="none"/>
        </w:rPr>
        <w:t>实施细则和比选文件的要求进行评审及推荐</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w:t>
      </w:r>
    </w:p>
    <w:p>
      <w:pPr>
        <w:pStyle w:val="1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成员对需要共同认定的事项存在争议的，评审小组组长应当组织评审成员讨论，按照少数服从多数的原则做出结论。持不同意见的评审小组成员应当在评审报告上签署不同意见并说明理由，否则视为同意。</w:t>
      </w:r>
    </w:p>
    <w:p>
      <w:pPr>
        <w:pStyle w:val="10"/>
        <w:adjustRightInd w:val="0"/>
        <w:snapToGrid w:val="0"/>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color w:val="auto"/>
          <w:kern w:val="0"/>
          <w:sz w:val="24"/>
          <w:szCs w:val="24"/>
          <w:highlight w:val="none"/>
        </w:rPr>
        <w:t>评审</w:t>
      </w:r>
      <w:r>
        <w:rPr>
          <w:rFonts w:hint="eastAsia" w:ascii="仿宋" w:hAnsi="仿宋" w:eastAsia="仿宋" w:cs="仿宋"/>
          <w:b/>
          <w:color w:val="auto"/>
          <w:sz w:val="24"/>
          <w:szCs w:val="24"/>
          <w:highlight w:val="none"/>
        </w:rPr>
        <w:t>方法、步骤及标准</w:t>
      </w:r>
    </w:p>
    <w:p>
      <w:pPr>
        <w:pStyle w:val="10"/>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根据比选响应相关法规确定以下评审方法、步骤及标准：</w:t>
      </w:r>
    </w:p>
    <w:p>
      <w:pPr>
        <w:pStyle w:val="10"/>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（一）评审方法</w:t>
      </w:r>
    </w:p>
    <w:p>
      <w:pPr>
        <w:pStyle w:val="10"/>
        <w:adjustRightInd w:val="0"/>
        <w:snapToGrid w:val="0"/>
        <w:spacing w:line="360" w:lineRule="auto"/>
        <w:ind w:firstLine="480" w:firstLineChars="200"/>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color w:val="auto"/>
          <w:sz w:val="24"/>
          <w:szCs w:val="24"/>
          <w:highlight w:val="none"/>
          <w:lang w:eastAsia="zh-CN"/>
        </w:rPr>
        <w:t>本项目采用“定量评审”方式。</w:t>
      </w:r>
      <w:r>
        <w:rPr>
          <w:rFonts w:hint="eastAsia" w:ascii="仿宋" w:hAnsi="仿宋" w:eastAsia="仿宋" w:cs="仿宋"/>
          <w:color w:val="auto"/>
          <w:sz w:val="24"/>
          <w:szCs w:val="24"/>
          <w:highlight w:val="none"/>
          <w:lang w:val="en-US" w:eastAsia="zh-CN"/>
        </w:rPr>
        <w:t>采用“定量评审”方式推荐成交候选人的，评审小组根据比选文件规定的评审办法对通过资格性、符合性审查的响应文件进行评审，按评审结果顺序，推荐前3名成交候选人。</w:t>
      </w:r>
    </w:p>
    <w:p>
      <w:pPr>
        <w:pStyle w:val="10"/>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(二)评审步骤</w:t>
      </w:r>
    </w:p>
    <w:p>
      <w:pPr>
        <w:pStyle w:val="10"/>
        <w:adjustRightInd w:val="0"/>
        <w:snapToGrid w:val="0"/>
        <w:spacing w:line="360" w:lineRule="auto"/>
        <w:ind w:right="32" w:firstLine="460" w:firstLineChars="192"/>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宣读评审纪律</w:t>
      </w:r>
    </w:p>
    <w:p>
      <w:pPr>
        <w:pStyle w:val="10"/>
        <w:adjustRightInd w:val="0"/>
        <w:snapToGrid w:val="0"/>
        <w:spacing w:line="360" w:lineRule="auto"/>
        <w:ind w:firstLine="460" w:firstLineChars="19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评审专家签到，</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在评审开始前宣读评审纪律及比选文件说明。</w:t>
      </w:r>
    </w:p>
    <w:p>
      <w:pPr>
        <w:autoSpaceDE w:val="0"/>
        <w:autoSpaceDN w:val="0"/>
        <w:adjustRightInd w:val="0"/>
        <w:snapToGrid w:val="0"/>
        <w:spacing w:line="360" w:lineRule="auto"/>
        <w:ind w:right="32" w:firstLine="460" w:firstLineChars="192"/>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kern w:val="0"/>
          <w:sz w:val="24"/>
          <w:highlight w:val="none"/>
        </w:rPr>
        <w:t>评审专家有下列情形之一的，受到邀请应主动提出回避，采购当事人也可以要求该评审专家回避：</w:t>
      </w:r>
    </w:p>
    <w:tbl>
      <w:tblPr>
        <w:tblStyle w:val="17"/>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评审专家回避情形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现在或者在采购活动发生前三年内，与供应商存在雇佣关系；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现在或者在采购活动发生前三年内担任供应商的财务顾问、法律顾问或技术顾问；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现在或者在采购活动发生前三年内是供应商的控股股东或者实际控制人；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评审专家与参加该采购项目供应商发生过法律纠纷的；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与供应商的法定代表人或者负责人有直系血亲、三代以内旁系血亲及姻亲关系；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6</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与供应商之间存在其他影响或可能影响政府采购活动依法进行的利害关系。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7</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法律、法规、规章规定应当回避以及其他可能影响公正评审的。</w:t>
            </w:r>
          </w:p>
        </w:tc>
      </w:tr>
    </w:tbl>
    <w:p>
      <w:pPr>
        <w:autoSpaceDE w:val="0"/>
        <w:autoSpaceDN w:val="0"/>
        <w:adjustRightInd w:val="0"/>
        <w:snapToGrid w:val="0"/>
        <w:spacing w:line="360" w:lineRule="auto"/>
        <w:ind w:right="32"/>
        <w:rPr>
          <w:rFonts w:hint="eastAsia" w:ascii="仿宋" w:hAnsi="仿宋" w:eastAsia="仿宋" w:cs="仿宋"/>
          <w:b/>
          <w:color w:val="auto"/>
          <w:sz w:val="24"/>
          <w:highlight w:val="none"/>
        </w:rPr>
      </w:pPr>
    </w:p>
    <w:p>
      <w:pPr>
        <w:autoSpaceDE w:val="0"/>
        <w:autoSpaceDN w:val="0"/>
        <w:adjustRightInd w:val="0"/>
        <w:snapToGrid w:val="0"/>
        <w:spacing w:line="360" w:lineRule="auto"/>
        <w:ind w:right="32"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3</w:t>
      </w:r>
      <w:r>
        <w:rPr>
          <w:rFonts w:hint="eastAsia" w:ascii="仿宋" w:hAnsi="仿宋" w:eastAsia="仿宋" w:cs="仿宋"/>
          <w:b w:val="0"/>
          <w:bCs/>
          <w:color w:val="auto"/>
          <w:sz w:val="24"/>
          <w:highlight w:val="none"/>
          <w:lang w:val="en-US" w:eastAsia="zh-CN"/>
        </w:rPr>
        <w:t>.</w:t>
      </w:r>
      <w:r>
        <w:rPr>
          <w:rFonts w:hint="eastAsia" w:ascii="仿宋" w:hAnsi="仿宋" w:eastAsia="仿宋" w:cs="仿宋"/>
          <w:b w:val="0"/>
          <w:bCs/>
          <w:color w:val="auto"/>
          <w:sz w:val="24"/>
          <w:highlight w:val="none"/>
        </w:rPr>
        <w:t>推荐评审小组组长</w:t>
      </w:r>
    </w:p>
    <w:p>
      <w:pPr>
        <w:autoSpaceDE w:val="0"/>
        <w:autoSpaceDN w:val="0"/>
        <w:adjustRightInd w:val="0"/>
        <w:snapToGrid w:val="0"/>
        <w:spacing w:line="360" w:lineRule="auto"/>
        <w:ind w:right="32" w:firstLine="458" w:firstLineChars="191"/>
        <w:rPr>
          <w:rFonts w:hint="eastAsia" w:ascii="仿宋" w:hAnsi="仿宋" w:eastAsia="仿宋" w:cs="仿宋"/>
          <w:b w:val="0"/>
          <w:bCs/>
          <w:color w:val="auto"/>
          <w:kern w:val="0"/>
          <w:sz w:val="24"/>
          <w:highlight w:val="none"/>
        </w:rPr>
      </w:pPr>
      <w:r>
        <w:rPr>
          <w:rFonts w:hint="eastAsia" w:ascii="仿宋" w:hAnsi="仿宋" w:eastAsia="仿宋" w:cs="仿宋"/>
          <w:b w:val="0"/>
          <w:bCs/>
          <w:color w:val="auto"/>
          <w:kern w:val="0"/>
          <w:sz w:val="24"/>
          <w:highlight w:val="none"/>
          <w:lang w:eastAsia="zh-CN"/>
        </w:rPr>
        <w:t>评审小组</w:t>
      </w:r>
      <w:r>
        <w:rPr>
          <w:rFonts w:hint="eastAsia" w:ascii="仿宋" w:hAnsi="仿宋" w:eastAsia="仿宋" w:cs="仿宋"/>
          <w:b w:val="0"/>
          <w:bCs/>
          <w:color w:val="auto"/>
          <w:kern w:val="0"/>
          <w:sz w:val="24"/>
          <w:highlight w:val="none"/>
        </w:rPr>
        <w:t>按照少数服从多数的原则推荐组长。评</w:t>
      </w:r>
      <w:r>
        <w:rPr>
          <w:rFonts w:hint="eastAsia" w:ascii="仿宋" w:hAnsi="仿宋" w:eastAsia="仿宋" w:cs="仿宋"/>
          <w:b w:val="0"/>
          <w:bCs/>
          <w:color w:val="auto"/>
          <w:sz w:val="24"/>
          <w:highlight w:val="none"/>
        </w:rPr>
        <w:t>审</w:t>
      </w:r>
      <w:r>
        <w:rPr>
          <w:rFonts w:hint="eastAsia" w:ascii="仿宋" w:hAnsi="仿宋" w:eastAsia="仿宋" w:cs="仿宋"/>
          <w:b w:val="0"/>
          <w:bCs/>
          <w:color w:val="auto"/>
          <w:kern w:val="0"/>
          <w:sz w:val="24"/>
          <w:highlight w:val="none"/>
        </w:rPr>
        <w:t>小组成员在履行独立评审权利义务的同时，不得发表有失公正和不负责任的言论，不得相互串通和压制他人意见，不得将个人倾向性意见诱导、暗示或强加于他人认同。</w:t>
      </w:r>
    </w:p>
    <w:p>
      <w:pPr>
        <w:pStyle w:val="10"/>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响应文件的资格性、符合性审查</w:t>
      </w:r>
    </w:p>
    <w:p>
      <w:pPr>
        <w:pStyle w:val="10"/>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资格性、符合性审查内容主要为对响应文件的响应函、法定代表人/负责人资格证明书及授权委托书、</w:t>
      </w:r>
      <w:r>
        <w:rPr>
          <w:rFonts w:hint="eastAsia" w:ascii="仿宋" w:hAnsi="仿宋" w:eastAsia="仿宋" w:cs="仿宋"/>
          <w:bCs/>
          <w:color w:val="auto"/>
          <w:sz w:val="24"/>
          <w:szCs w:val="24"/>
          <w:highlight w:val="none"/>
          <w:lang w:val="en-US" w:eastAsia="zh-CN"/>
        </w:rPr>
        <w:t>供应商资格、技术商务实质性响应</w:t>
      </w:r>
      <w:r>
        <w:rPr>
          <w:rFonts w:hint="eastAsia" w:ascii="仿宋" w:hAnsi="仿宋" w:eastAsia="仿宋" w:cs="仿宋"/>
          <w:bCs/>
          <w:color w:val="auto"/>
          <w:sz w:val="24"/>
          <w:szCs w:val="24"/>
          <w:highlight w:val="none"/>
        </w:rPr>
        <w:t>及报价的唯一性等，审查不合格者按响应无效处理。只有资格性符合性全部审查合格才能进入后续评审。</w:t>
      </w:r>
    </w:p>
    <w:p>
      <w:pPr>
        <w:pStyle w:val="10"/>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评审</w:t>
      </w:r>
      <w:r>
        <w:rPr>
          <w:rFonts w:hint="eastAsia" w:ascii="仿宋" w:hAnsi="仿宋" w:eastAsia="仿宋" w:cs="仿宋"/>
          <w:bCs/>
          <w:color w:val="auto"/>
          <w:sz w:val="24"/>
          <w:szCs w:val="24"/>
          <w:highlight w:val="none"/>
          <w:lang w:val="en-US" w:eastAsia="zh-CN"/>
        </w:rPr>
        <w:t>小组</w:t>
      </w:r>
      <w:r>
        <w:rPr>
          <w:rFonts w:hint="eastAsia" w:ascii="仿宋" w:hAnsi="仿宋" w:eastAsia="仿宋" w:cs="仿宋"/>
          <w:bCs/>
          <w:color w:val="auto"/>
          <w:sz w:val="24"/>
          <w:szCs w:val="24"/>
          <w:highlight w:val="none"/>
        </w:rPr>
        <w:t>对大小写金额不一致、单价汇总与总价不一致的，按以下方法更正：响应文件的大写金额和小写金额不一致的，以大写金额为准；总价金额与按单价汇总金额不一致的，以单价金额计算结果为准；单价金额小数点明显错位的，应以总价为准，并修改单价。如果响应不接受对其错误的更正，其响应将被视为响应无效。</w:t>
      </w:r>
    </w:p>
    <w:p>
      <w:pPr>
        <w:pStyle w:val="10"/>
        <w:adjustRightInd w:val="0"/>
        <w:snapToGrid w:val="0"/>
        <w:spacing w:line="360" w:lineRule="auto"/>
        <w:ind w:right="32" w:firstLine="460" w:firstLineChars="191"/>
        <w:rPr>
          <w:rFonts w:hint="eastAsia" w:ascii="仿宋" w:hAnsi="仿宋" w:eastAsia="仿宋" w:cs="仿宋"/>
          <w:bCs/>
          <w:color w:val="auto"/>
          <w:sz w:val="24"/>
          <w:szCs w:val="24"/>
          <w:highlight w:val="none"/>
        </w:rPr>
      </w:pP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不得恶意竞价，对于报价差异巨大的，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有权要求</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在规定的时间内提供相关证明材料，在规定时间内不能提供材料或者无法证明的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有权裁定该报价是否为恶意报价。恶意竞价的</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将被取消成交资格，并列入黑名单，在此后五年内不得参与我院任何采买活动。</w:t>
      </w:r>
    </w:p>
    <w:tbl>
      <w:tblPr>
        <w:tblStyle w:val="17"/>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032"/>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gridSpan w:val="2"/>
            <w:noWrap w:val="0"/>
            <w:vAlign w:val="top"/>
          </w:tcPr>
          <w:p>
            <w:pPr>
              <w:keepNext w:val="0"/>
              <w:keepLines w:val="0"/>
              <w:suppressLineNumbers w:val="0"/>
              <w:spacing w:before="0" w:beforeAutospacing="0" w:after="0" w:afterAutospacing="0" w:line="380" w:lineRule="exact"/>
              <w:ind w:left="0" w:right="0"/>
              <w:jc w:val="center"/>
              <w:rPr>
                <w:rFonts w:hint="eastAsia"/>
                <w:color w:val="auto"/>
                <w:highlight w:val="none"/>
              </w:rPr>
            </w:pPr>
            <w:r>
              <w:rPr>
                <w:rFonts w:hint="eastAsia" w:ascii="仿宋" w:hAnsi="仿宋" w:eastAsia="仿宋" w:cs="仿宋"/>
                <w:b/>
                <w:bCs/>
                <w:color w:val="auto"/>
                <w:szCs w:val="21"/>
                <w:highlight w:val="none"/>
              </w:rPr>
              <w:t>评审内容</w:t>
            </w:r>
          </w:p>
        </w:tc>
        <w:tc>
          <w:tcPr>
            <w:tcW w:w="5760" w:type="dxa"/>
            <w:noWrap w:val="0"/>
            <w:vAlign w:val="center"/>
          </w:tcPr>
          <w:p>
            <w:pPr>
              <w:keepNext w:val="0"/>
              <w:keepLines w:val="0"/>
              <w:suppressLineNumbers w:val="0"/>
              <w:spacing w:before="0" w:beforeAutospacing="0" w:after="0" w:afterAutospacing="0" w:line="380" w:lineRule="exact"/>
              <w:ind w:left="-171" w:right="0"/>
              <w:jc w:val="center"/>
              <w:rPr>
                <w:rFonts w:hint="eastAsia"/>
                <w:color w:val="auto"/>
                <w:highlight w:val="none"/>
              </w:rPr>
            </w:pPr>
            <w:r>
              <w:rPr>
                <w:rFonts w:hint="eastAsia" w:ascii="仿宋" w:hAnsi="仿宋" w:eastAsia="仿宋" w:cs="仿宋"/>
                <w:b/>
                <w:bCs/>
                <w:color w:val="auto"/>
                <w:szCs w:val="21"/>
                <w:highlight w:val="none"/>
              </w:rPr>
              <w:t>比选/采购文件要求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1" w:type="dxa"/>
            <w:vMerge w:val="restart"/>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资格性审查</w:t>
            </w: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具有独立承担民事责任能力</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具有良好的商业信誉和健全的财务会计制度</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highlight w:val="none"/>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年至今任意一年经审计的审计报告复印件（包含审计报告中所涉及的财务报表和报表附注）；或②</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3.有</w:t>
            </w:r>
            <w:r>
              <w:rPr>
                <w:rFonts w:hint="eastAsia" w:ascii="仿宋" w:hAnsi="仿宋" w:eastAsia="仿宋" w:cs="仿宋"/>
                <w:color w:val="auto"/>
                <w:highlight w:val="none"/>
              </w:rPr>
              <w:t>依法缴纳税收</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r>
              <w:rPr>
                <w:rFonts w:hint="eastAsia" w:ascii="仿宋" w:hAnsi="仿宋" w:eastAsia="仿宋" w:cs="仿宋"/>
                <w:color w:val="auto"/>
                <w:szCs w:val="21"/>
                <w:highlight w:val="none"/>
                <w:lang w:eastAsia="zh-CN"/>
              </w:rPr>
              <w:t>或书面声明</w:t>
            </w:r>
            <w:r>
              <w:rPr>
                <w:rFonts w:hint="eastAsia" w:ascii="仿宋" w:hAnsi="仿宋" w:eastAsia="仿宋" w:cs="仿宋"/>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4.有</w:t>
            </w:r>
            <w:r>
              <w:rPr>
                <w:rFonts w:hint="eastAsia" w:ascii="仿宋" w:hAnsi="仿宋" w:eastAsia="仿宋" w:cs="仿宋"/>
                <w:color w:val="auto"/>
                <w:highlight w:val="none"/>
              </w:rPr>
              <w:t>依法缴纳社会保险凭据</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w:t>
            </w:r>
            <w:r>
              <w:rPr>
                <w:rFonts w:hint="eastAsia" w:ascii="仿宋" w:hAnsi="仿宋" w:eastAsia="仿宋" w:cs="仿宋"/>
                <w:color w:val="auto"/>
                <w:szCs w:val="21"/>
                <w:highlight w:val="none"/>
              </w:rPr>
              <w:t>要缴纳）</w:t>
            </w:r>
            <w:r>
              <w:rPr>
                <w:rFonts w:hint="eastAsia" w:ascii="仿宋" w:hAnsi="仿宋" w:eastAsia="仿宋" w:cs="仿宋"/>
                <w:color w:val="auto"/>
                <w:szCs w:val="21"/>
                <w:highlight w:val="none"/>
                <w:lang w:eastAsia="zh-CN"/>
              </w:rPr>
              <w:t>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履行合同所必需的设备和专业技术能力</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履行合同所必需的设备和专业技术能力的证明材料或书面声明；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没有重大违法记录</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7.信用记录</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8.控股关系</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或者未划分包号的同一采购项目。(代理机构出具声明函)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9.不得参加本项目情况</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为本采购项目提供整体设计、规范编制或者项目管理、监理、检测等服务的供应商，不得再参加本采购项目的采购活动。(代理机构出具声明函)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10.联合体</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本项目不接受联合体参加比选，不允许响应供应商对各比选项目进行分包或转包(代理机构出具声明函)</w:t>
            </w:r>
            <w:r>
              <w:rPr>
                <w:rFonts w:hint="eastAsia" w:ascii="仿宋" w:hAnsi="仿宋" w:eastAsia="仿宋" w:cs="仿宋"/>
                <w:color w:val="auto"/>
                <w:szCs w:val="21"/>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11.网站备案</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eastAsia="zh-CN"/>
              </w:rPr>
            </w:pPr>
            <w:r>
              <w:rPr>
                <w:rFonts w:hint="eastAsia" w:ascii="仿宋" w:hAnsi="仿宋" w:eastAsia="仿宋" w:cs="仿宋"/>
                <w:color w:val="auto"/>
                <w:szCs w:val="21"/>
                <w:highlight w:val="none"/>
                <w:lang w:val="en-US" w:eastAsia="zh-CN"/>
              </w:rPr>
              <w:t>在省级及以上政府采购网站备案。（代理机构提供“广东省政府采购网”或“中国政府采购网”的备案信息截图。）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12.固定场所</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在惠州市内有固定经营场所，具备招标采购工作必须的开评标场地和录音录像等监控设备设施。（提供：①房屋产权证明资料或租赁合同复印件②开标室、评标室及录音录像监控设备设施等照片，提供的照片需明确标注开标室、评标室、监控设备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13.人员要求</w:t>
            </w:r>
          </w:p>
        </w:tc>
        <w:tc>
          <w:tcPr>
            <w:tcW w:w="5760" w:type="dxa"/>
            <w:noWrap w:val="0"/>
            <w:vAlign w:val="center"/>
          </w:tcPr>
          <w:p>
            <w:pPr>
              <w:keepNext w:val="0"/>
              <w:keepLines w:val="0"/>
              <w:suppressLineNumbers w:val="0"/>
              <w:spacing w:before="0" w:beforeAutospacing="0" w:after="0" w:afterAutospacing="0" w:line="380" w:lineRule="exact"/>
              <w:ind w:right="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GB" w:eastAsia="zh-CN"/>
              </w:rPr>
              <w:t>拥有≥5名熟悉政府采购法律法规、具备编制采购文件和组织采购活动等相应能力的专职从业人员。（提供专职从业人员名单、身份证复印件及比选截止日前近6个月内任意一个月由代理机构为其缴纳的社保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14.落实政府采购政策需满足的资格要求</w:t>
            </w:r>
          </w:p>
        </w:tc>
        <w:tc>
          <w:tcPr>
            <w:tcW w:w="5760"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GB" w:eastAsia="zh-CN"/>
              </w:rPr>
              <w:t>本项目不属于专门面向中小企业采购的项目，本项目中小企业划分标准所属行业为：未列明行业。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15.报名</w:t>
            </w:r>
          </w:p>
        </w:tc>
        <w:tc>
          <w:tcPr>
            <w:tcW w:w="5760"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已在医院办公室报名。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1" w:type="dxa"/>
            <w:vMerge w:val="restart"/>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符合性审查</w:t>
            </w: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文件签署</w:t>
            </w:r>
          </w:p>
        </w:tc>
        <w:tc>
          <w:tcPr>
            <w:tcW w:w="5760" w:type="dxa"/>
            <w:tcBorders>
              <w:bottom w:val="single" w:color="auto" w:sz="4" w:space="0"/>
            </w:tcBorders>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响应有效期</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商务要求评审</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实质性（“★”项）商务条款是否全部完全响应；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技术</w:t>
            </w:r>
            <w:r>
              <w:rPr>
                <w:rFonts w:hint="eastAsia" w:ascii="仿宋" w:hAnsi="仿宋" w:eastAsia="仿宋" w:cs="仿宋"/>
                <w:color w:val="auto"/>
                <w:szCs w:val="21"/>
                <w:highlight w:val="none"/>
              </w:rPr>
              <w:t>要求评审</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实质性（“★”项）技术要求条款是否全部完全响应；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报价合理性</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其他</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按有关法律、法规、规章和比选文件中规定的其他无效响应情形。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c>
          <w:tcPr>
            <w:tcW w:w="7792" w:type="dxa"/>
            <w:gridSpan w:val="2"/>
            <w:noWrap w:val="0"/>
            <w:vAlign w:val="center"/>
          </w:tcPr>
          <w:p>
            <w:pPr>
              <w:keepNext w:val="0"/>
              <w:keepLines w:val="0"/>
              <w:suppressLineNumbers w:val="0"/>
              <w:tabs>
                <w:tab w:val="left" w:pos="2880"/>
              </w:tabs>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响应文件一式</w:t>
            </w:r>
            <w:r>
              <w:rPr>
                <w:rFonts w:hint="eastAsia" w:ascii="仿宋" w:hAnsi="仿宋" w:eastAsia="仿宋" w:cs="仿宋"/>
                <w:color w:val="auto"/>
                <w:szCs w:val="21"/>
                <w:highlight w:val="none"/>
                <w:lang w:eastAsia="zh-CN"/>
              </w:rPr>
              <w:t>两</w:t>
            </w:r>
            <w:r>
              <w:rPr>
                <w:rFonts w:hint="eastAsia" w:ascii="仿宋" w:hAnsi="仿宋" w:eastAsia="仿宋" w:cs="仿宋"/>
                <w:color w:val="auto"/>
                <w:szCs w:val="21"/>
                <w:highlight w:val="none"/>
              </w:rPr>
              <w:t>份，其中正本一份和副本</w:t>
            </w:r>
            <w:r>
              <w:rPr>
                <w:rFonts w:hint="eastAsia" w:ascii="仿宋" w:hAnsi="仿宋" w:eastAsia="仿宋" w:cs="仿宋"/>
                <w:color w:val="auto"/>
                <w:szCs w:val="21"/>
                <w:highlight w:val="none"/>
                <w:lang w:eastAsia="zh-CN"/>
              </w:rPr>
              <w:t>一</w:t>
            </w:r>
            <w:r>
              <w:rPr>
                <w:rFonts w:hint="eastAsia" w:ascii="仿宋" w:hAnsi="仿宋" w:eastAsia="仿宋" w:cs="仿宋"/>
                <w:color w:val="auto"/>
                <w:szCs w:val="21"/>
                <w:highlight w:val="none"/>
              </w:rPr>
              <w:t>份</w:t>
            </w:r>
          </w:p>
        </w:tc>
      </w:tr>
    </w:tbl>
    <w:p>
      <w:pPr>
        <w:pStyle w:val="10"/>
        <w:adjustRightInd w:val="0"/>
        <w:snapToGrid w:val="0"/>
        <w:spacing w:line="360" w:lineRule="auto"/>
        <w:ind w:right="32"/>
        <w:rPr>
          <w:rFonts w:hint="eastAsia" w:ascii="仿宋" w:hAnsi="仿宋" w:eastAsia="仿宋" w:cs="仿宋"/>
          <w:b w:val="0"/>
          <w:bCs/>
          <w:color w:val="auto"/>
          <w:sz w:val="24"/>
          <w:szCs w:val="24"/>
          <w:highlight w:val="none"/>
        </w:rPr>
      </w:pPr>
    </w:p>
    <w:p>
      <w:pPr>
        <w:pStyle w:val="10"/>
        <w:adjustRightInd w:val="0"/>
        <w:snapToGrid w:val="0"/>
        <w:spacing w:line="360" w:lineRule="auto"/>
        <w:ind w:right="32" w:firstLine="480" w:firstLineChars="200"/>
        <w:rPr>
          <w:rFonts w:hint="eastAsia" w:ascii="仿宋" w:hAnsi="仿宋" w:eastAsia="仿宋" w:cs="仿宋"/>
          <w:bCs/>
          <w:color w:val="auto"/>
          <w:sz w:val="24"/>
          <w:szCs w:val="24"/>
          <w:highlight w:val="none"/>
        </w:rPr>
      </w:pP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文件澄清</w:t>
      </w:r>
    </w:p>
    <w:p>
      <w:pPr>
        <w:pStyle w:val="10"/>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对于</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文件中含义不明确、同类问题表述不一致或者有明显文字和计算错误的内容，</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应当在评审过程中发起澄清，要求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针对价格或内容做出必要的澄清、说明或补正。若因</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联系方式错误未接收短信、未接听电话或超时未进行澄清（响应）造成的不利后果由供应商自行承担。</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的澄清、说明或者补正不得超出</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文件的范围或者改变</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文件的实质性内容。</w:t>
      </w:r>
    </w:p>
    <w:p>
      <w:pPr>
        <w:pStyle w:val="10"/>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不接受</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主动提出的澄清、说明或补正。</w:t>
      </w:r>
    </w:p>
    <w:p>
      <w:pPr>
        <w:pStyle w:val="10"/>
        <w:adjustRightInd w:val="0"/>
        <w:snapToGrid w:val="0"/>
        <w:spacing w:line="360" w:lineRule="auto"/>
        <w:ind w:right="32" w:firstLine="458" w:firstLineChars="191"/>
        <w:rPr>
          <w:rFonts w:hint="default" w:ascii="仿宋" w:hAnsi="仿宋" w:eastAsia="仿宋" w:cs="仿宋"/>
          <w:b w:val="0"/>
          <w:bCs/>
          <w:color w:val="auto"/>
          <w:sz w:val="24"/>
          <w:szCs w:val="24"/>
          <w:highlight w:val="none"/>
          <w:lang w:val="en-US"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对</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提交的澄清、说明或补正有疑问的，可以要求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进一步澄清、说明或补正。</w:t>
      </w:r>
    </w:p>
    <w:p>
      <w:pPr>
        <w:pStyle w:val="10"/>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响应文件的比较和评价</w:t>
      </w:r>
    </w:p>
    <w:p>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小组按比选文件中规定的评审方法和标准，对审查合格的响应文件的商务、技术、服务和价格进行评估，最后进行综合比较与评价。</w:t>
      </w:r>
    </w:p>
    <w:p>
      <w:pPr>
        <w:autoSpaceDE w:val="0"/>
        <w:autoSpaceDN w:val="0"/>
        <w:adjustRightInd w:val="0"/>
        <w:snapToGrid w:val="0"/>
        <w:spacing w:line="360" w:lineRule="auto"/>
        <w:ind w:right="32" w:firstLine="458" w:firstLineChars="191"/>
        <w:rPr>
          <w:rFonts w:hint="eastAsia" w:ascii="仿宋" w:hAnsi="仿宋" w:eastAsia="仿宋" w:cs="仿宋"/>
          <w:color w:val="auto"/>
          <w:sz w:val="28"/>
          <w:szCs w:val="28"/>
          <w:highlight w:val="none"/>
        </w:rPr>
      </w:pPr>
      <w:r>
        <w:rPr>
          <w:rFonts w:hint="eastAsia" w:ascii="仿宋" w:hAnsi="仿宋" w:eastAsia="仿宋" w:cs="仿宋"/>
          <w:color w:val="auto"/>
          <w:kern w:val="0"/>
          <w:sz w:val="24"/>
          <w:highlight w:val="none"/>
        </w:rPr>
        <w:t>评审小组对技术规格偏离表、服务响应偏离表的响应资料等进行评审，并填写相关表格。</w:t>
      </w:r>
    </w:p>
    <w:tbl>
      <w:tblPr>
        <w:tblStyle w:val="17"/>
        <w:tblpPr w:leftFromText="180" w:rightFromText="180" w:vertAnchor="text" w:horzAnchor="page" w:tblpX="1848" w:tblpY="1401"/>
        <w:tblOverlap w:val="never"/>
        <w:tblW w:w="8729" w:type="dxa"/>
        <w:tblInd w:w="0" w:type="dxa"/>
        <w:tblLayout w:type="fixed"/>
        <w:tblCellMar>
          <w:top w:w="0" w:type="dxa"/>
          <w:left w:w="108" w:type="dxa"/>
          <w:bottom w:w="0" w:type="dxa"/>
          <w:right w:w="108" w:type="dxa"/>
        </w:tblCellMar>
      </w:tblPr>
      <w:tblGrid>
        <w:gridCol w:w="745"/>
        <w:gridCol w:w="1515"/>
        <w:gridCol w:w="777"/>
        <w:gridCol w:w="5692"/>
      </w:tblGrid>
      <w:tr>
        <w:tblPrEx>
          <w:tblCellMar>
            <w:top w:w="0" w:type="dxa"/>
            <w:left w:w="108" w:type="dxa"/>
            <w:bottom w:w="0" w:type="dxa"/>
            <w:right w:w="108" w:type="dxa"/>
          </w:tblCellMar>
        </w:tblPrEx>
        <w:trPr>
          <w:trHeight w:val="434" w:hRule="atLeast"/>
        </w:trPr>
        <w:tc>
          <w:tcPr>
            <w:tcW w:w="8729"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D0D0D" w:themeColor="text1" w:themeTint="F2"/>
                <w:kern w:val="0"/>
                <w:sz w:val="24"/>
                <w:szCs w:val="24"/>
                <w:highlight w:val="none"/>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highlight w:val="none"/>
                <w:lang w:eastAsia="zh-CN"/>
                <w14:textFill>
                  <w14:solidFill>
                    <w14:schemeClr w14:val="tx1">
                      <w14:lumMod w14:val="95000"/>
                      <w14:lumOff w14:val="5000"/>
                    </w14:schemeClr>
                  </w14:solidFill>
                </w14:textFill>
              </w:rPr>
              <w:t>评审标准（</w:t>
            </w:r>
            <w:r>
              <w:rPr>
                <w:rFonts w:hint="eastAsia" w:ascii="仿宋" w:hAnsi="仿宋" w:eastAsia="仿宋" w:cs="仿宋"/>
                <w:color w:val="0D0D0D" w:themeColor="text1" w:themeTint="F2"/>
                <w:kern w:val="0"/>
                <w:sz w:val="24"/>
                <w:szCs w:val="24"/>
                <w:highlight w:val="none"/>
                <w:lang w:val="en-US" w:eastAsia="zh-CN"/>
                <w14:textFill>
                  <w14:solidFill>
                    <w14:schemeClr w14:val="tx1">
                      <w14:lumMod w14:val="95000"/>
                      <w14:lumOff w14:val="5000"/>
                    </w14:schemeClr>
                  </w14:solidFill>
                </w14:textFill>
              </w:rPr>
              <w:t>100分</w:t>
            </w:r>
            <w:r>
              <w:rPr>
                <w:rFonts w:hint="eastAsia" w:ascii="仿宋" w:hAnsi="仿宋" w:eastAsia="仿宋" w:cs="仿宋"/>
                <w:color w:val="0D0D0D" w:themeColor="text1" w:themeTint="F2"/>
                <w:kern w:val="0"/>
                <w:sz w:val="24"/>
                <w:szCs w:val="24"/>
                <w:highlight w:val="none"/>
                <w:lang w:eastAsia="zh-CN"/>
                <w14:textFill>
                  <w14:solidFill>
                    <w14:schemeClr w14:val="tx1">
                      <w14:lumMod w14:val="95000"/>
                      <w14:lumOff w14:val="5000"/>
                    </w14:schemeClr>
                  </w14:solidFill>
                </w14:textFill>
              </w:rPr>
              <w:t>）</w:t>
            </w:r>
          </w:p>
        </w:tc>
      </w:tr>
      <w:tr>
        <w:tblPrEx>
          <w:tblCellMar>
            <w:top w:w="0" w:type="dxa"/>
            <w:left w:w="108" w:type="dxa"/>
            <w:bottom w:w="0" w:type="dxa"/>
            <w:right w:w="108" w:type="dxa"/>
          </w:tblCellMar>
        </w:tblPrEx>
        <w:trPr>
          <w:trHeight w:val="446"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D0D0D" w:themeColor="text1" w:themeTint="F2"/>
                <w:sz w:val="24"/>
                <w:szCs w:val="24"/>
                <w:highlight w:val="none"/>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highlight w:val="none"/>
                <w14:textFill>
                  <w14:solidFill>
                    <w14:schemeClr w14:val="tx1">
                      <w14:lumMod w14:val="95000"/>
                      <w14:lumOff w14:val="5000"/>
                    </w14:schemeClr>
                  </w14:solidFill>
                </w14:textFill>
              </w:rPr>
              <w:t>序号</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D0D0D" w:themeColor="text1" w:themeTint="F2"/>
                <w:kern w:val="0"/>
                <w:sz w:val="24"/>
                <w:szCs w:val="24"/>
                <w:highlight w:val="non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highlight w:val="none"/>
                <w14:textFill>
                  <w14:solidFill>
                    <w14:schemeClr w14:val="tx1">
                      <w14:lumMod w14:val="95000"/>
                      <w14:lumOff w14:val="5000"/>
                    </w14:schemeClr>
                  </w14:solidFill>
                </w14:textFill>
              </w:rPr>
              <w:t>评审内容</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D0D0D" w:themeColor="text1" w:themeTint="F2"/>
                <w:kern w:val="0"/>
                <w:sz w:val="24"/>
                <w:szCs w:val="24"/>
                <w:highlight w:val="none"/>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highlight w:val="none"/>
                <w:lang w:eastAsia="zh-CN"/>
                <w14:textFill>
                  <w14:solidFill>
                    <w14:schemeClr w14:val="tx1">
                      <w14:lumMod w14:val="95000"/>
                      <w14:lumOff w14:val="5000"/>
                    </w14:schemeClr>
                  </w14:solidFill>
                </w14:textFill>
              </w:rPr>
              <w:t>分值</w:t>
            </w:r>
          </w:p>
        </w:tc>
        <w:tc>
          <w:tcPr>
            <w:tcW w:w="56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D0D0D" w:themeColor="text1" w:themeTint="F2"/>
                <w:kern w:val="0"/>
                <w:sz w:val="24"/>
                <w:szCs w:val="24"/>
                <w:highlight w:val="non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highlight w:val="none"/>
                <w14:textFill>
                  <w14:solidFill>
                    <w14:schemeClr w14:val="tx1">
                      <w14:lumMod w14:val="95000"/>
                      <w14:lumOff w14:val="5000"/>
                    </w14:schemeClr>
                  </w14:solidFill>
                </w14:textFill>
              </w:rPr>
              <w:t>评分细则</w:t>
            </w:r>
          </w:p>
        </w:tc>
      </w:tr>
      <w:tr>
        <w:tblPrEx>
          <w:tblCellMar>
            <w:top w:w="0" w:type="dxa"/>
            <w:left w:w="108" w:type="dxa"/>
            <w:bottom w:w="0" w:type="dxa"/>
            <w:right w:w="108" w:type="dxa"/>
          </w:tblCellMar>
        </w:tblPrEx>
        <w:trPr>
          <w:trHeight w:val="90"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40" w:firstLineChars="100"/>
              <w:jc w:val="center"/>
              <w:rPr>
                <w:rFonts w:hint="eastAsia" w:ascii="仿宋" w:hAnsi="仿宋" w:eastAsia="仿宋" w:cs="仿宋"/>
                <w:color w:val="0D0D0D" w:themeColor="text1" w:themeTint="F2"/>
                <w:kern w:val="0"/>
                <w:sz w:val="24"/>
                <w:szCs w:val="24"/>
                <w:highlight w:val="none"/>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highlight w:val="none"/>
                <w:lang w:val="en-US" w:eastAsia="zh-CN"/>
                <w14:textFill>
                  <w14:solidFill>
                    <w14:schemeClr w14:val="tx1">
                      <w14:lumMod w14:val="95000"/>
                      <w14:lumOff w14:val="5000"/>
                    </w14:schemeClr>
                  </w14:solidFill>
                </w14:textFill>
              </w:rPr>
              <w:t>1</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D0D0D" w:themeColor="text1" w:themeTint="F2"/>
                <w:sz w:val="24"/>
                <w:szCs w:val="24"/>
                <w:highlight w:val="non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highlight w:val="none"/>
                <w14:textFill>
                  <w14:solidFill>
                    <w14:schemeClr w14:val="tx1">
                      <w14:lumMod w14:val="95000"/>
                      <w14:lumOff w14:val="5000"/>
                    </w14:schemeClr>
                  </w14:solidFill>
                </w14:textFill>
              </w:rPr>
              <w:t>技术响应程度</w:t>
            </w:r>
            <w:r>
              <w:rPr>
                <w:rFonts w:hint="eastAsia" w:ascii="仿宋" w:hAnsi="仿宋" w:eastAsia="仿宋" w:cs="仿宋"/>
                <w:color w:val="0D0D0D" w:themeColor="text1" w:themeTint="F2"/>
                <w:kern w:val="0"/>
                <w:sz w:val="24"/>
                <w:szCs w:val="24"/>
                <w:highlight w:val="none"/>
                <w:lang w:val="en-US" w:eastAsia="zh-CN"/>
                <w14:textFill>
                  <w14:solidFill>
                    <w14:schemeClr w14:val="tx1">
                      <w14:lumMod w14:val="95000"/>
                      <w14:lumOff w14:val="5000"/>
                    </w14:schemeClr>
                  </w14:solidFill>
                </w14:textFill>
              </w:rPr>
              <w:t>(带▲号条款）</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highlight w:val="none"/>
                <w:lang w:val="en-US" w:eastAsia="zh-CN" w:bidi="ar-SA"/>
                <w14:textFill>
                  <w14:solidFill>
                    <w14:schemeClr w14:val="tx1">
                      <w14:lumMod w14:val="95000"/>
                      <w14:lumOff w14:val="5000"/>
                    </w14:schemeClr>
                  </w14:solidFill>
                </w14:textFill>
              </w:rPr>
              <w:t>5</w:t>
            </w:r>
          </w:p>
        </w:tc>
        <w:tc>
          <w:tcPr>
            <w:tcW w:w="5692" w:type="dxa"/>
            <w:tcBorders>
              <w:top w:val="single" w:color="000000" w:sz="4" w:space="0"/>
              <w:left w:val="single" w:color="000000" w:sz="4" w:space="0"/>
              <w:bottom w:val="single" w:color="000000" w:sz="4" w:space="0"/>
              <w:right w:val="single" w:color="000000" w:sz="4" w:space="0"/>
            </w:tcBorders>
            <w:noWrap w:val="0"/>
            <w:vAlign w:val="center"/>
          </w:tcPr>
          <w:p>
            <w:pPr>
              <w:pStyle w:val="8"/>
              <w:keepNext w:val="0"/>
              <w:keepLines w:val="0"/>
              <w:suppressLineNumbers w:val="0"/>
              <w:spacing w:before="0" w:beforeAutospacing="0" w:after="0" w:afterAutospacing="0"/>
              <w:ind w:left="0" w:right="0"/>
              <w:jc w:val="left"/>
              <w:rPr>
                <w:rFonts w:hint="eastAsia" w:ascii="仿宋" w:hAnsi="仿宋" w:eastAsia="仿宋" w:cs="仿宋"/>
                <w:color w:val="0D0D0D" w:themeColor="text1" w:themeTint="F2"/>
                <w:kern w:val="0"/>
                <w:sz w:val="24"/>
                <w:szCs w:val="24"/>
                <w:highlight w:val="none"/>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highlight w:val="none"/>
                <w:lang w:eastAsia="zh-CN"/>
                <w14:textFill>
                  <w14:solidFill>
                    <w14:schemeClr w14:val="tx1">
                      <w14:lumMod w14:val="95000"/>
                      <w14:lumOff w14:val="5000"/>
                    </w14:schemeClr>
                  </w14:solidFill>
                </w14:textFill>
              </w:rPr>
              <w:t>完全满足</w:t>
            </w:r>
            <w:r>
              <w:rPr>
                <w:rFonts w:hint="eastAsia" w:ascii="仿宋" w:hAnsi="仿宋" w:eastAsia="仿宋" w:cs="仿宋"/>
                <w:color w:val="0D0D0D" w:themeColor="text1" w:themeTint="F2"/>
                <w:kern w:val="0"/>
                <w:sz w:val="24"/>
                <w:szCs w:val="24"/>
                <w:highlight w:val="none"/>
                <w:lang w:val="en-US" w:eastAsia="zh-CN"/>
                <w14:textFill>
                  <w14:solidFill>
                    <w14:schemeClr w14:val="tx1">
                      <w14:lumMod w14:val="95000"/>
                      <w14:lumOff w14:val="5000"/>
                    </w14:schemeClr>
                  </w14:solidFill>
                </w14:textFill>
              </w:rPr>
              <w:t>采购项目用户需求书</w:t>
            </w:r>
            <w:r>
              <w:rPr>
                <w:rFonts w:hint="eastAsia" w:ascii="仿宋" w:hAnsi="仿宋" w:eastAsia="仿宋" w:cs="仿宋"/>
                <w:color w:val="0D0D0D" w:themeColor="text1" w:themeTint="F2"/>
                <w:kern w:val="0"/>
                <w:sz w:val="24"/>
                <w:szCs w:val="24"/>
                <w:highlight w:val="none"/>
                <w:lang w:eastAsia="zh-CN"/>
                <w14:textFill>
                  <w14:solidFill>
                    <w14:schemeClr w14:val="tx1">
                      <w14:lumMod w14:val="95000"/>
                      <w14:lumOff w14:val="5000"/>
                    </w14:schemeClr>
                  </w14:solidFill>
                </w14:textFill>
              </w:rPr>
              <w:t>中带▲的重要技术参数的，得</w:t>
            </w:r>
            <w:r>
              <w:rPr>
                <w:rFonts w:hint="eastAsia" w:ascii="仿宋" w:hAnsi="仿宋" w:eastAsia="仿宋" w:cs="仿宋"/>
                <w:color w:val="0D0D0D" w:themeColor="text1" w:themeTint="F2"/>
                <w:kern w:val="0"/>
                <w:sz w:val="24"/>
                <w:szCs w:val="24"/>
                <w:highlight w:val="none"/>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4"/>
                <w:szCs w:val="24"/>
                <w:highlight w:val="none"/>
                <w:lang w:eastAsia="zh-CN"/>
                <w14:textFill>
                  <w14:solidFill>
                    <w14:schemeClr w14:val="tx1">
                      <w14:lumMod w14:val="95000"/>
                      <w14:lumOff w14:val="5000"/>
                    </w14:schemeClr>
                  </w14:solidFill>
                </w14:textFill>
              </w:rPr>
              <w:t>分；不满足一项带▲的重要技术参数视为严重偏离本项不得分。</w:t>
            </w:r>
          </w:p>
          <w:p>
            <w:pPr>
              <w:pStyle w:val="8"/>
              <w:keepNext w:val="0"/>
              <w:keepLines w:val="0"/>
              <w:suppressLineNumbers w:val="0"/>
              <w:spacing w:before="0" w:beforeAutospacing="0" w:after="0" w:afterAutospacing="0"/>
              <w:ind w:left="0" w:leftChars="0" w:right="0" w:rightChars="0"/>
              <w:jc w:val="left"/>
              <w:rPr>
                <w:rFonts w:hint="eastAsia" w:ascii="仿宋" w:hAnsi="仿宋" w:eastAsia="仿宋" w:cs="仿宋"/>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highlight w:val="none"/>
                <w:lang w:eastAsia="zh-CN"/>
                <w14:textFill>
                  <w14:solidFill>
                    <w14:schemeClr w14:val="tx1">
                      <w14:lumMod w14:val="95000"/>
                      <w14:lumOff w14:val="5000"/>
                    </w14:schemeClr>
                  </w14:solidFill>
                </w14:textFill>
              </w:rPr>
              <w:t>注：在每项带“▲”号的技术条款中，若要求提供佐证材料的则应按要求提供；未要求提供证明材料的技术参数，以响应文件格式技术和服务要求响应表为准。</w:t>
            </w:r>
          </w:p>
        </w:tc>
      </w:tr>
      <w:tr>
        <w:tblPrEx>
          <w:tblCellMar>
            <w:top w:w="0" w:type="dxa"/>
            <w:left w:w="108" w:type="dxa"/>
            <w:bottom w:w="0" w:type="dxa"/>
            <w:right w:w="108" w:type="dxa"/>
          </w:tblCellMar>
        </w:tblPrEx>
        <w:trPr>
          <w:trHeight w:val="90"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40" w:firstLineChars="100"/>
              <w:jc w:val="center"/>
              <w:rPr>
                <w:rFonts w:hint="eastAsia" w:ascii="仿宋" w:hAnsi="仿宋" w:eastAsia="仿宋" w:cs="仿宋"/>
                <w:color w:val="0D0D0D" w:themeColor="text1" w:themeTint="F2"/>
                <w:kern w:val="0"/>
                <w:sz w:val="24"/>
                <w:szCs w:val="24"/>
                <w:highlight w:val="none"/>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highlight w:val="none"/>
                <w:lang w:val="en-US" w:eastAsia="zh-CN"/>
                <w14:textFill>
                  <w14:solidFill>
                    <w14:schemeClr w14:val="tx1">
                      <w14:lumMod w14:val="95000"/>
                      <w14:lumOff w14:val="5000"/>
                    </w14:schemeClr>
                  </w14:solidFill>
                </w14:textFill>
              </w:rPr>
              <w:t>2</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D0D0D" w:themeColor="text1" w:themeTint="F2"/>
                <w:sz w:val="24"/>
                <w:szCs w:val="24"/>
                <w:highlight w:val="non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highlight w:val="none"/>
                <w:lang w:val="en-US" w:eastAsia="zh-CN"/>
                <w14:textFill>
                  <w14:solidFill>
                    <w14:schemeClr w14:val="tx1">
                      <w14:lumMod w14:val="95000"/>
                      <w14:lumOff w14:val="5000"/>
                    </w14:schemeClr>
                  </w14:solidFill>
                </w14:textFill>
              </w:rPr>
              <w:t>技术响应程度(非▲号条款）</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highlight w:val="none"/>
                <w:lang w:val="en-US" w:eastAsia="zh-CN"/>
                <w14:textFill>
                  <w14:solidFill>
                    <w14:schemeClr w14:val="tx1">
                      <w14:lumMod w14:val="95000"/>
                      <w14:lumOff w14:val="5000"/>
                    </w14:schemeClr>
                  </w14:solidFill>
                </w14:textFill>
              </w:rPr>
              <w:t>20</w:t>
            </w:r>
          </w:p>
        </w:tc>
        <w:tc>
          <w:tcPr>
            <w:tcW w:w="56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0D0D0D" w:themeColor="text1" w:themeTint="F2"/>
                <w:kern w:val="0"/>
                <w:sz w:val="24"/>
                <w:szCs w:val="24"/>
                <w:highlight w:val="none"/>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highlight w:val="none"/>
                <w:lang w:eastAsia="zh-CN"/>
                <w14:textFill>
                  <w14:solidFill>
                    <w14:schemeClr w14:val="tx1">
                      <w14:lumMod w14:val="95000"/>
                      <w14:lumOff w14:val="5000"/>
                    </w14:schemeClr>
                  </w14:solidFill>
                </w14:textFill>
              </w:rPr>
              <w:t>完全满足</w:t>
            </w:r>
            <w:r>
              <w:rPr>
                <w:rFonts w:hint="eastAsia" w:ascii="仿宋" w:hAnsi="仿宋" w:eastAsia="仿宋" w:cs="仿宋"/>
                <w:color w:val="0D0D0D" w:themeColor="text1" w:themeTint="F2"/>
                <w:kern w:val="0"/>
                <w:sz w:val="24"/>
                <w:szCs w:val="24"/>
                <w:highlight w:val="none"/>
                <w:lang w:val="en-US" w:eastAsia="zh-CN"/>
                <w14:textFill>
                  <w14:solidFill>
                    <w14:schemeClr w14:val="tx1">
                      <w14:lumMod w14:val="95000"/>
                      <w14:lumOff w14:val="5000"/>
                    </w14:schemeClr>
                  </w14:solidFill>
                </w14:textFill>
              </w:rPr>
              <w:t>采购项目用户需求书</w:t>
            </w:r>
            <w:r>
              <w:rPr>
                <w:rFonts w:hint="eastAsia" w:ascii="仿宋" w:hAnsi="仿宋" w:eastAsia="仿宋" w:cs="仿宋"/>
                <w:color w:val="0D0D0D" w:themeColor="text1" w:themeTint="F2"/>
                <w:kern w:val="0"/>
                <w:sz w:val="24"/>
                <w:szCs w:val="24"/>
                <w:highlight w:val="none"/>
                <w:lang w:eastAsia="zh-CN"/>
                <w14:textFill>
                  <w14:solidFill>
                    <w14:schemeClr w14:val="tx1">
                      <w14:lumMod w14:val="95000"/>
                      <w14:lumOff w14:val="5000"/>
                    </w14:schemeClr>
                  </w14:solidFill>
                </w14:textFill>
              </w:rPr>
              <w:t>中</w:t>
            </w:r>
            <w:r>
              <w:rPr>
                <w:rFonts w:hint="eastAsia" w:ascii="仿宋" w:hAnsi="仿宋" w:eastAsia="仿宋" w:cs="仿宋"/>
                <w:color w:val="0D0D0D" w:themeColor="text1" w:themeTint="F2"/>
                <w:kern w:val="0"/>
                <w:sz w:val="24"/>
                <w:szCs w:val="24"/>
                <w:highlight w:val="none"/>
                <w:lang w:val="en-US" w:eastAsia="zh-CN"/>
                <w14:textFill>
                  <w14:solidFill>
                    <w14:schemeClr w14:val="tx1">
                      <w14:lumMod w14:val="95000"/>
                      <w14:lumOff w14:val="5000"/>
                    </w14:schemeClr>
                  </w14:solidFill>
                </w14:textFill>
              </w:rPr>
              <w:t>不带▲号的一般技术参数，得20分；有一项不带▲号条款负偏离，得19分；有二项不带▲号条款负偏离，得18分；有三项不带▲号条款负偏离，得17分；以此类推，当不带▲号条款负偏离达到20项（含）以上时，视为严重偏离此评分项不得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highlight w:val="none"/>
                <w:lang w:eastAsia="zh-CN"/>
                <w14:textFill>
                  <w14:solidFill>
                    <w14:schemeClr w14:val="tx1">
                      <w14:lumMod w14:val="95000"/>
                      <w14:lumOff w14:val="5000"/>
                    </w14:schemeClr>
                  </w14:solidFill>
                </w14:textFill>
              </w:rPr>
              <w:t>注：比选文件未要求提供证明材料的技术参数，以响应文件格式技术和服务要求响应表为准。</w:t>
            </w:r>
          </w:p>
        </w:tc>
      </w:tr>
      <w:tr>
        <w:tblPrEx>
          <w:tblCellMar>
            <w:top w:w="0" w:type="dxa"/>
            <w:left w:w="108" w:type="dxa"/>
            <w:bottom w:w="0" w:type="dxa"/>
            <w:right w:w="108" w:type="dxa"/>
          </w:tblCellMar>
        </w:tblPrEx>
        <w:trPr>
          <w:trHeight w:val="618"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40" w:firstLineChars="100"/>
              <w:jc w:val="both"/>
              <w:rPr>
                <w:rFonts w:hint="eastAsia" w:ascii="仿宋" w:hAnsi="仿宋" w:eastAsia="仿宋" w:cs="仿宋"/>
                <w:color w:val="0D0D0D" w:themeColor="text1" w:themeTint="F2"/>
                <w:kern w:val="0"/>
                <w:sz w:val="24"/>
                <w:szCs w:val="24"/>
                <w:highlight w:val="none"/>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highlight w:val="none"/>
                <w:lang w:val="en-US" w:eastAsia="zh-CN" w:bidi="ar-SA"/>
                <w14:textFill>
                  <w14:solidFill>
                    <w14:schemeClr w14:val="tx1">
                      <w14:lumMod w14:val="95000"/>
                      <w14:lumOff w14:val="5000"/>
                    </w14:schemeClr>
                  </w14:solidFill>
                </w14:textFill>
              </w:rPr>
              <w:t>3</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t>招标采购代理服务方案</w:t>
            </w:r>
          </w:p>
          <w:p>
            <w:pPr>
              <w:jc w:val="left"/>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t>8</w:t>
            </w:r>
          </w:p>
        </w:tc>
        <w:tc>
          <w:tcPr>
            <w:tcW w:w="569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t>根据项目的服务内容、服务要求，对代理机构提供的招标采购代理服务方案的完整性、合理性、科学性、可操作性、详尽程度等进行评审：</w:t>
            </w:r>
          </w:p>
          <w:p>
            <w:pPr>
              <w:jc w:val="left"/>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t>1.整体服务方案完整详细，科学合理，可操作性强，对本项目需求理解深刻，符合且优于项目需求的，得8分；</w:t>
            </w:r>
          </w:p>
          <w:p>
            <w:pPr>
              <w:jc w:val="left"/>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t>2.整体服务方案比较完整，比较合理，可操作性一般，基本理解本项目需求，符合项目需求的，得5分；</w:t>
            </w:r>
          </w:p>
          <w:p>
            <w:pPr>
              <w:jc w:val="left"/>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t>3.整体服务方案不够详细，可操作性较差，不够了解本项目需求，不符合项目需求，得2分；</w:t>
            </w:r>
          </w:p>
          <w:p>
            <w:pPr>
              <w:jc w:val="left"/>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t>未提供方案不得分。</w:t>
            </w:r>
          </w:p>
        </w:tc>
      </w:tr>
      <w:tr>
        <w:tblPrEx>
          <w:tblCellMar>
            <w:top w:w="0" w:type="dxa"/>
            <w:left w:w="108" w:type="dxa"/>
            <w:bottom w:w="0" w:type="dxa"/>
            <w:right w:w="108" w:type="dxa"/>
          </w:tblCellMar>
        </w:tblPrEx>
        <w:trPr>
          <w:trHeight w:val="617"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40" w:firstLineChars="100"/>
              <w:jc w:val="both"/>
              <w:rPr>
                <w:rFonts w:hint="eastAsia" w:ascii="仿宋" w:hAnsi="仿宋" w:eastAsia="仿宋" w:cs="仿宋"/>
                <w:color w:val="0D0D0D" w:themeColor="text1" w:themeTint="F2"/>
                <w:kern w:val="0"/>
                <w:sz w:val="24"/>
                <w:szCs w:val="24"/>
                <w:highlight w:val="none"/>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highlight w:val="none"/>
                <w:lang w:val="en-US" w:eastAsia="zh-CN"/>
                <w14:textFill>
                  <w14:solidFill>
                    <w14:schemeClr w14:val="tx1">
                      <w14:lumMod w14:val="95000"/>
                      <w14:lumOff w14:val="5000"/>
                    </w14:schemeClr>
                  </w14:solidFill>
                </w14:textFill>
              </w:rPr>
              <w:t>4</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t>专家论证服务方案</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t>8</w:t>
            </w:r>
          </w:p>
        </w:tc>
        <w:tc>
          <w:tcPr>
            <w:tcW w:w="569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t>根据项目的服务内容、服务要求，对各代理机构提供的组织专家论证方案的完整性、时间安排的合理性、选取专家方式的科学性、整体可操作性等进行综合评审：</w:t>
            </w:r>
          </w:p>
          <w:p>
            <w:pPr>
              <w:jc w:val="left"/>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t>1.组织专家论证方案描述详细、选取专家方式、时间安排合理，可行性高，符合且优于项目需求的，得8分；</w:t>
            </w:r>
          </w:p>
          <w:p>
            <w:pPr>
              <w:jc w:val="left"/>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t>2.组织专家论证方案基本满足但描述不够详细、选取专家方式、时间安排较合理，可行性一般，符合项目需求的，得5分；</w:t>
            </w:r>
          </w:p>
          <w:p>
            <w:pPr>
              <w:jc w:val="left"/>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t>3.组织专家论证方案不够完整、选取专家方式、时间安排不合理，不符合项目需求，得2分；</w:t>
            </w:r>
          </w:p>
          <w:p>
            <w:pPr>
              <w:jc w:val="left"/>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t>未提供方案不得分。</w:t>
            </w:r>
          </w:p>
        </w:tc>
      </w:tr>
      <w:tr>
        <w:tblPrEx>
          <w:tblCellMar>
            <w:top w:w="0" w:type="dxa"/>
            <w:left w:w="108" w:type="dxa"/>
            <w:bottom w:w="0" w:type="dxa"/>
            <w:right w:w="108" w:type="dxa"/>
          </w:tblCellMar>
        </w:tblPrEx>
        <w:trPr>
          <w:trHeight w:val="354"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40" w:firstLineChars="100"/>
              <w:jc w:val="both"/>
              <w:rPr>
                <w:rFonts w:hint="eastAsia" w:ascii="仿宋" w:hAnsi="仿宋" w:eastAsia="仿宋" w:cs="仿宋"/>
                <w:color w:val="0D0D0D" w:themeColor="text1" w:themeTint="F2"/>
                <w:kern w:val="0"/>
                <w:sz w:val="24"/>
                <w:szCs w:val="24"/>
                <w:highlight w:val="none"/>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highlight w:val="none"/>
                <w:lang w:val="en-US" w:eastAsia="zh-CN"/>
                <w14:textFill>
                  <w14:solidFill>
                    <w14:schemeClr w14:val="tx1">
                      <w14:lumMod w14:val="95000"/>
                      <w14:lumOff w14:val="5000"/>
                    </w14:schemeClr>
                  </w14:solidFill>
                </w14:textFill>
              </w:rPr>
              <w:t>5</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D0D0D" w:themeColor="text1" w:themeTint="F2"/>
                <w:kern w:val="0"/>
                <w:sz w:val="24"/>
                <w:highlight w:val="none"/>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highlight w:val="none"/>
                <w:lang w:val="en-US" w:eastAsia="zh-CN"/>
                <w14:textFill>
                  <w14:solidFill>
                    <w14:schemeClr w14:val="tx1">
                      <w14:lumMod w14:val="95000"/>
                      <w14:lumOff w14:val="5000"/>
                    </w14:schemeClr>
                  </w14:solidFill>
                </w14:textFill>
              </w:rPr>
              <w:t>招标代理服务质量保障措施</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trike/>
                <w:color w:val="0D0D0D" w:themeColor="text1" w:themeTint="F2"/>
                <w:kern w:val="0"/>
                <w:sz w:val="24"/>
                <w:szCs w:val="24"/>
                <w:highlight w:val="none"/>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t>6</w:t>
            </w:r>
          </w:p>
        </w:tc>
        <w:tc>
          <w:tcPr>
            <w:tcW w:w="5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t>根据各代理机构提供的招标采购代理服务质量保障措施进行综合评审，包括采购文件编制、公告发布、开标评审现场等采购过程的质量保障措施：</w:t>
            </w:r>
          </w:p>
          <w:p>
            <w:pPr>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t>1.方案描述详细、措施科学合理，可行性高，符合且优于项目需求的，得6分；</w:t>
            </w:r>
          </w:p>
          <w:p>
            <w:pPr>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t>2.方案基本满足但描述不够详细、措施较合理，可行性一般，符合项目需求的，得4分；</w:t>
            </w:r>
          </w:p>
          <w:p>
            <w:pPr>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t>3.方案不够完整、措施可行性差的，不符合项目需求，得2分；</w:t>
            </w:r>
          </w:p>
          <w:p>
            <w:pPr>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t>未提供方案不得分。</w:t>
            </w:r>
          </w:p>
        </w:tc>
      </w:tr>
      <w:tr>
        <w:tblPrEx>
          <w:tblCellMar>
            <w:top w:w="0" w:type="dxa"/>
            <w:left w:w="108" w:type="dxa"/>
            <w:bottom w:w="0" w:type="dxa"/>
            <w:right w:w="108" w:type="dxa"/>
          </w:tblCellMar>
        </w:tblPrEx>
        <w:trPr>
          <w:trHeight w:val="90" w:hRule="atLeast"/>
        </w:trPr>
        <w:tc>
          <w:tcPr>
            <w:tcW w:w="745" w:type="dxa"/>
            <w:tcBorders>
              <w:top w:val="single" w:color="000000" w:sz="4" w:space="0"/>
              <w:left w:val="single" w:color="000000" w:sz="4" w:space="0"/>
              <w:bottom w:val="single" w:color="auto" w:sz="4" w:space="0"/>
              <w:right w:val="single" w:color="000000" w:sz="4" w:space="0"/>
            </w:tcBorders>
            <w:noWrap w:val="0"/>
            <w:vAlign w:val="center"/>
          </w:tcPr>
          <w:p>
            <w:pPr>
              <w:widowControl/>
              <w:ind w:firstLine="240" w:firstLineChars="100"/>
              <w:jc w:val="left"/>
              <w:rPr>
                <w:rFonts w:hint="default" w:ascii="仿宋" w:hAnsi="仿宋" w:eastAsia="仿宋" w:cs="仿宋"/>
                <w:color w:val="0D0D0D" w:themeColor="text1" w:themeTint="F2"/>
                <w:kern w:val="0"/>
                <w:sz w:val="24"/>
                <w:szCs w:val="24"/>
                <w:highlight w:val="none"/>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highlight w:val="none"/>
                <w:lang w:val="en-US" w:eastAsia="zh-CN"/>
                <w14:textFill>
                  <w14:solidFill>
                    <w14:schemeClr w14:val="tx1">
                      <w14:lumMod w14:val="95000"/>
                      <w14:lumOff w14:val="5000"/>
                    </w14:schemeClr>
                  </w14:solidFill>
                </w14:textFill>
              </w:rPr>
              <w:t>6</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D0D0D" w:themeColor="text1" w:themeTint="F2"/>
                <w:kern w:val="0"/>
                <w:sz w:val="24"/>
                <w:szCs w:val="24"/>
                <w:highlight w:val="none"/>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highlight w:val="none"/>
                <w:lang w:val="en-US" w:eastAsia="zh-CN" w:bidi="ar-SA"/>
                <w14:textFill>
                  <w14:solidFill>
                    <w14:schemeClr w14:val="tx1">
                      <w14:lumMod w14:val="95000"/>
                      <w14:lumOff w14:val="5000"/>
                    </w14:schemeClr>
                  </w14:solidFill>
                </w14:textFill>
              </w:rPr>
              <w:t>全流程电子化采购能力</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adjustRightInd w:val="0"/>
              <w:spacing w:line="340" w:lineRule="exact"/>
              <w:jc w:val="center"/>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t>5</w:t>
            </w:r>
          </w:p>
        </w:tc>
        <w:tc>
          <w:tcPr>
            <w:tcW w:w="5692" w:type="dxa"/>
            <w:tcBorders>
              <w:top w:val="single" w:color="000000" w:sz="4" w:space="0"/>
              <w:left w:val="single" w:color="000000" w:sz="4" w:space="0"/>
              <w:bottom w:val="single" w:color="000000" w:sz="4" w:space="0"/>
              <w:right w:val="single" w:color="000000" w:sz="4" w:space="0"/>
            </w:tcBorders>
            <w:noWrap w:val="0"/>
            <w:vAlign w:val="center"/>
          </w:tcPr>
          <w:p>
            <w:pPr>
              <w:adjustRightInd w:val="0"/>
              <w:spacing w:line="340" w:lineRule="exact"/>
              <w:jc w:val="left"/>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t>具有全流程电子化采购能力，提供可通过电子化采购平台实现线上报名、投标、开标、评审等采购全过程电子化相关材料。</w:t>
            </w:r>
          </w:p>
          <w:p>
            <w:pPr>
              <w:pStyle w:val="8"/>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t>注：需提供可实现政府采购项目、自主采购项目的全流程电子化采购的相关材料；需提供承诺函或相关证明材料（包括但不限于系统操作界面、有效的系统/平台租赁/合作合同关键页复印件等）。</w:t>
            </w:r>
          </w:p>
        </w:tc>
      </w:tr>
      <w:tr>
        <w:tblPrEx>
          <w:tblCellMar>
            <w:top w:w="0" w:type="dxa"/>
            <w:left w:w="108" w:type="dxa"/>
            <w:bottom w:w="0" w:type="dxa"/>
            <w:right w:w="108" w:type="dxa"/>
          </w:tblCellMar>
        </w:tblPrEx>
        <w:trPr>
          <w:trHeight w:val="3134" w:hRule="atLeast"/>
        </w:trPr>
        <w:tc>
          <w:tcPr>
            <w:tcW w:w="745" w:type="dxa"/>
            <w:tcBorders>
              <w:top w:val="single" w:color="000000" w:sz="4" w:space="0"/>
              <w:left w:val="single" w:color="000000" w:sz="4" w:space="0"/>
              <w:bottom w:val="single" w:color="auto" w:sz="4" w:space="0"/>
              <w:right w:val="single" w:color="000000" w:sz="4" w:space="0"/>
            </w:tcBorders>
            <w:noWrap w:val="0"/>
            <w:vAlign w:val="center"/>
          </w:tcPr>
          <w:p>
            <w:pPr>
              <w:widowControl/>
              <w:ind w:firstLine="240" w:firstLineChars="100"/>
              <w:jc w:val="left"/>
              <w:rPr>
                <w:rFonts w:hint="eastAsia" w:ascii="仿宋" w:hAnsi="仿宋" w:eastAsia="仿宋" w:cs="仿宋"/>
                <w:color w:val="0D0D0D" w:themeColor="text1" w:themeTint="F2"/>
                <w:kern w:val="0"/>
                <w:sz w:val="24"/>
                <w:szCs w:val="24"/>
                <w:highlight w:val="none"/>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highlight w:val="none"/>
                <w:lang w:val="en-US" w:eastAsia="zh-CN"/>
                <w14:textFill>
                  <w14:solidFill>
                    <w14:schemeClr w14:val="tx1">
                      <w14:lumMod w14:val="95000"/>
                      <w14:lumOff w14:val="5000"/>
                    </w14:schemeClr>
                  </w14:solidFill>
                </w14:textFill>
              </w:rPr>
              <w:t>7</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D0D0D" w:themeColor="text1" w:themeTint="F2"/>
                <w:kern w:val="0"/>
                <w:sz w:val="24"/>
                <w:szCs w:val="24"/>
                <w:highlight w:val="none"/>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highlight w:val="none"/>
                <w:lang w:val="en-US" w:eastAsia="zh-CN" w:bidi="ar-SA"/>
                <w14:textFill>
                  <w14:solidFill>
                    <w14:schemeClr w14:val="tx1">
                      <w14:lumMod w14:val="95000"/>
                      <w14:lumOff w14:val="5000"/>
                    </w14:schemeClr>
                  </w14:solidFill>
                </w14:textFill>
              </w:rPr>
              <w:t>人员配备</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adjustRightInd w:val="0"/>
              <w:spacing w:line="340" w:lineRule="exact"/>
              <w:jc w:val="center"/>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t>9</w:t>
            </w:r>
          </w:p>
        </w:tc>
        <w:tc>
          <w:tcPr>
            <w:tcW w:w="5692" w:type="dxa"/>
            <w:tcBorders>
              <w:top w:val="single" w:color="000000" w:sz="4" w:space="0"/>
              <w:left w:val="single" w:color="000000" w:sz="4" w:space="0"/>
              <w:bottom w:val="single" w:color="000000" w:sz="4" w:space="0"/>
              <w:right w:val="single" w:color="000000" w:sz="4" w:space="0"/>
            </w:tcBorders>
            <w:noWrap w:val="0"/>
            <w:vAlign w:val="center"/>
          </w:tcPr>
          <w:p>
            <w:pPr>
              <w:adjustRightInd w:val="0"/>
              <w:spacing w:line="340" w:lineRule="exact"/>
              <w:jc w:val="left"/>
              <w:rPr>
                <w:rFonts w:hint="eastAsia" w:ascii="仿宋" w:hAnsi="仿宋" w:eastAsia="仿宋" w:cs="仿宋"/>
                <w:color w:val="auto"/>
                <w:sz w:val="24"/>
                <w:szCs w:val="24"/>
                <w:highlight w:val="none"/>
                <w:lang w:val="zh-CN" w:eastAsia="zh-CN" w:bidi="ar"/>
              </w:rPr>
            </w:pPr>
            <w:r>
              <w:rPr>
                <w:rFonts w:hint="eastAsia" w:ascii="仿宋" w:hAnsi="仿宋" w:eastAsia="仿宋" w:cs="仿宋"/>
                <w:color w:val="auto"/>
                <w:sz w:val="24"/>
                <w:szCs w:val="24"/>
                <w:highlight w:val="none"/>
                <w:lang w:val="en-US" w:eastAsia="zh-CN" w:bidi="ar"/>
              </w:rPr>
              <w:t>根据代理机构拟派出人员团队进行评审</w:t>
            </w:r>
            <w:r>
              <w:rPr>
                <w:rFonts w:hint="eastAsia" w:ascii="仿宋" w:hAnsi="仿宋" w:eastAsia="仿宋" w:cs="仿宋"/>
                <w:color w:val="auto"/>
                <w:sz w:val="24"/>
                <w:szCs w:val="24"/>
                <w:highlight w:val="none"/>
                <w:lang w:val="zh-CN" w:eastAsia="zh-CN" w:bidi="ar"/>
              </w:rPr>
              <w:t>：</w:t>
            </w:r>
          </w:p>
          <w:p>
            <w:pPr>
              <w:adjustRightInd w:val="0"/>
              <w:spacing w:line="340" w:lineRule="exact"/>
              <w:jc w:val="left"/>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1.招标采购主管1人：</w:t>
            </w:r>
          </w:p>
          <w:p>
            <w:pPr>
              <w:adjustRightInd w:val="0"/>
              <w:spacing w:line="340" w:lineRule="exact"/>
              <w:jc w:val="left"/>
              <w:rPr>
                <w:rFonts w:hint="default"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1）具备：①官方机构颁发的招标师证书：②中国招标投标协会颁发的招标采购从业人员专业技术能力评价初级或以上证书；③广东省政府采购协会颁发的政府采购代理机构从业人员专业能力评价初级或以上证书，满足以上任意一条得3分，最高得3分。</w:t>
            </w:r>
          </w:p>
          <w:p>
            <w:pPr>
              <w:adjustRightInd w:val="0"/>
              <w:spacing w:line="340" w:lineRule="exact"/>
              <w:jc w:val="left"/>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（2）具有行业主管部门或广东省政府采购协会颁发的与招标或采购相关的培训类证书，每提供一份得1分，最高得2分。</w:t>
            </w:r>
          </w:p>
          <w:p>
            <w:pPr>
              <w:adjustRightInd w:val="0"/>
              <w:spacing w:line="340" w:lineRule="exact"/>
              <w:jc w:val="left"/>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2.专职人员至少2名（招标采购主管不能兼任）：</w:t>
            </w:r>
          </w:p>
          <w:p>
            <w:pPr>
              <w:adjustRightInd w:val="0"/>
              <w:spacing w:line="340" w:lineRule="exact"/>
              <w:jc w:val="left"/>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具有行业主管部门或广东省政府采购协会颁发的与招标或采购相关的培训类证书，每提供一份得1分，最高得4分（本小点中同一人重复计算分数不超过2分）。</w:t>
            </w:r>
          </w:p>
          <w:p>
            <w:pPr>
              <w:adjustRightInd w:val="0"/>
              <w:spacing w:line="340" w:lineRule="exact"/>
              <w:jc w:val="left"/>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仿宋" w:hAnsi="仿宋" w:eastAsia="仿宋" w:cs="仿宋"/>
                <w:color w:val="auto"/>
                <w:sz w:val="24"/>
                <w:szCs w:val="24"/>
                <w:highlight w:val="none"/>
                <w:lang w:val="en-US" w:eastAsia="zh-CN" w:bidi="ar"/>
              </w:rPr>
              <w:t>注：需提供以上人员的有效证书及代理机构为其缴纳的距离递交响应文件截止</w:t>
            </w:r>
            <w:r>
              <w:rPr>
                <w:rFonts w:hint="eastAsia" w:ascii="仿宋" w:hAnsi="仿宋" w:eastAsia="仿宋" w:cs="仿宋"/>
                <w:color w:val="auto"/>
                <w:sz w:val="24"/>
                <w:szCs w:val="24"/>
                <w:highlight w:val="none"/>
                <w:lang w:val="zh-CN" w:eastAsia="zh-CN" w:bidi="ar"/>
              </w:rPr>
              <w:t>日</w:t>
            </w:r>
            <w:r>
              <w:rPr>
                <w:rFonts w:hint="eastAsia" w:ascii="仿宋" w:hAnsi="仿宋" w:eastAsia="仿宋" w:cs="仿宋"/>
                <w:color w:val="auto"/>
                <w:sz w:val="24"/>
                <w:szCs w:val="24"/>
                <w:highlight w:val="none"/>
                <w:lang w:val="en-US" w:eastAsia="zh-CN" w:bidi="ar"/>
              </w:rPr>
              <w:t>前近6个月内任意一个月社保缴纳记录，无提供不得分。</w:t>
            </w:r>
          </w:p>
        </w:tc>
      </w:tr>
      <w:tr>
        <w:tblPrEx>
          <w:tblCellMar>
            <w:top w:w="0" w:type="dxa"/>
            <w:left w:w="108" w:type="dxa"/>
            <w:bottom w:w="0" w:type="dxa"/>
            <w:right w:w="108" w:type="dxa"/>
          </w:tblCellMar>
        </w:tblPrEx>
        <w:trPr>
          <w:trHeight w:val="90" w:hRule="atLeast"/>
        </w:trPr>
        <w:tc>
          <w:tcPr>
            <w:tcW w:w="745" w:type="dxa"/>
            <w:tcBorders>
              <w:top w:val="single" w:color="000000" w:sz="4" w:space="0"/>
              <w:left w:val="single" w:color="000000" w:sz="4" w:space="0"/>
              <w:bottom w:val="single" w:color="auto" w:sz="4" w:space="0"/>
              <w:right w:val="single" w:color="000000" w:sz="4" w:space="0"/>
            </w:tcBorders>
            <w:noWrap w:val="0"/>
            <w:vAlign w:val="center"/>
          </w:tcPr>
          <w:p>
            <w:pPr>
              <w:widowControl/>
              <w:ind w:firstLine="240" w:firstLineChars="100"/>
              <w:jc w:val="left"/>
              <w:rPr>
                <w:rFonts w:hint="eastAsia" w:ascii="仿宋" w:hAnsi="仿宋" w:eastAsia="仿宋" w:cs="仿宋"/>
                <w:color w:val="0D0D0D" w:themeColor="text1" w:themeTint="F2"/>
                <w:kern w:val="0"/>
                <w:sz w:val="24"/>
                <w:szCs w:val="24"/>
                <w:highlight w:val="none"/>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highlight w:val="none"/>
                <w:lang w:val="en-US" w:eastAsia="zh-CN"/>
                <w14:textFill>
                  <w14:solidFill>
                    <w14:schemeClr w14:val="tx1">
                      <w14:lumMod w14:val="95000"/>
                      <w14:lumOff w14:val="5000"/>
                    </w14:schemeClr>
                  </w14:solidFill>
                </w14:textFill>
              </w:rPr>
              <w:t>8</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 w:hAnsi="仿宋" w:eastAsia="仿宋" w:cs="仿宋"/>
                <w:color w:val="0D0D0D" w:themeColor="text1" w:themeTint="F2"/>
                <w:kern w:val="0"/>
                <w:sz w:val="24"/>
                <w:szCs w:val="24"/>
                <w:highlight w:val="none"/>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highlight w:val="none"/>
                <w14:textFill>
                  <w14:solidFill>
                    <w14:schemeClr w14:val="tx1">
                      <w14:lumMod w14:val="95000"/>
                      <w14:lumOff w14:val="5000"/>
                    </w14:schemeClr>
                  </w14:solidFill>
                </w14:textFill>
              </w:rPr>
              <w:t>同类业绩</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adjustRightInd w:val="0"/>
              <w:spacing w:line="340" w:lineRule="exact"/>
              <w:jc w:val="center"/>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t>8</w:t>
            </w:r>
          </w:p>
        </w:tc>
        <w:tc>
          <w:tcPr>
            <w:tcW w:w="5692" w:type="dxa"/>
            <w:tcBorders>
              <w:top w:val="single" w:color="000000" w:sz="4" w:space="0"/>
              <w:left w:val="single" w:color="000000" w:sz="4" w:space="0"/>
              <w:bottom w:val="single" w:color="000000" w:sz="4" w:space="0"/>
              <w:right w:val="single" w:color="000000" w:sz="4" w:space="0"/>
            </w:tcBorders>
            <w:noWrap w:val="0"/>
            <w:vAlign w:val="center"/>
          </w:tcPr>
          <w:p>
            <w:pPr>
              <w:adjustRightInd w:val="0"/>
              <w:spacing w:line="340" w:lineRule="exact"/>
              <w:jc w:val="left"/>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t>根据各代理机构提供2022年1月1日至今承担过的同类业绩情况进行评分：</w:t>
            </w:r>
          </w:p>
          <w:p>
            <w:pPr>
              <w:adjustRightInd w:val="0"/>
              <w:spacing w:line="340" w:lineRule="exact"/>
              <w:jc w:val="left"/>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t>1.每提供一份建设工程招标业绩得1分，最高得2分；</w:t>
            </w:r>
          </w:p>
          <w:p>
            <w:pPr>
              <w:adjustRightInd w:val="0"/>
              <w:spacing w:line="340" w:lineRule="exact"/>
              <w:jc w:val="left"/>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t>2.每提供一份产权交易项目业绩得2分，最高得2分；</w:t>
            </w:r>
          </w:p>
          <w:p>
            <w:pPr>
              <w:adjustRightInd w:val="0"/>
              <w:spacing w:line="340" w:lineRule="exact"/>
              <w:jc w:val="left"/>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t>3.每提供一份政府采购业绩得1分，最高得4分。</w:t>
            </w:r>
          </w:p>
          <w:p>
            <w:pPr>
              <w:adjustRightInd w:val="0"/>
              <w:spacing w:line="340" w:lineRule="exact"/>
              <w:jc w:val="left"/>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t>注：以上同类业绩需提供有效清晰的合同/协议关键页复印件并加盖公章（合同关键页要素包括以下清晰可辨的页面：①合同项目名称及服务内容；②签订合同双方的单位名称；③合同双方的签章、单位公章及能够判断业绩时间的日期，未按要求提供或不能体现上述要求的不得分）。</w:t>
            </w:r>
          </w:p>
        </w:tc>
      </w:tr>
      <w:tr>
        <w:tblPrEx>
          <w:tblCellMar>
            <w:top w:w="0" w:type="dxa"/>
            <w:left w:w="108" w:type="dxa"/>
            <w:bottom w:w="0" w:type="dxa"/>
            <w:right w:w="108" w:type="dxa"/>
          </w:tblCellMar>
        </w:tblPrEx>
        <w:trPr>
          <w:trHeight w:val="725" w:hRule="atLeast"/>
        </w:trPr>
        <w:tc>
          <w:tcPr>
            <w:tcW w:w="745" w:type="dxa"/>
            <w:tcBorders>
              <w:top w:val="single" w:color="000000" w:sz="4" w:space="0"/>
              <w:left w:val="single" w:color="000000" w:sz="4" w:space="0"/>
              <w:bottom w:val="single" w:color="auto" w:sz="4" w:space="0"/>
              <w:right w:val="single" w:color="000000" w:sz="4" w:space="0"/>
            </w:tcBorders>
            <w:noWrap w:val="0"/>
            <w:vAlign w:val="center"/>
          </w:tcPr>
          <w:p>
            <w:pPr>
              <w:adjustRightInd w:val="0"/>
              <w:spacing w:line="340" w:lineRule="exact"/>
              <w:jc w:val="center"/>
              <w:rPr>
                <w:rFonts w:hint="default"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t>9</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adjustRightInd w:val="0"/>
              <w:spacing w:line="340" w:lineRule="exact"/>
              <w:jc w:val="center"/>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t>服务便利性</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adjustRightInd w:val="0"/>
              <w:spacing w:line="340" w:lineRule="exact"/>
              <w:jc w:val="center"/>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t>6</w:t>
            </w:r>
          </w:p>
        </w:tc>
        <w:tc>
          <w:tcPr>
            <w:tcW w:w="5692" w:type="dxa"/>
            <w:tcBorders>
              <w:top w:val="single" w:color="000000" w:sz="4" w:space="0"/>
              <w:left w:val="single" w:color="000000" w:sz="4" w:space="0"/>
              <w:bottom w:val="single" w:color="000000" w:sz="4" w:space="0"/>
              <w:right w:val="single" w:color="000000" w:sz="4" w:space="0"/>
            </w:tcBorders>
            <w:noWrap w:val="0"/>
            <w:vAlign w:val="center"/>
          </w:tcPr>
          <w:p>
            <w:pPr>
              <w:adjustRightInd w:val="0"/>
              <w:spacing w:line="340" w:lineRule="exact"/>
              <w:jc w:val="left"/>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t>根据各代理机构办公地点或者分支机构至采购人响应到达时间进行评审，本项目满分6分：</w:t>
            </w:r>
          </w:p>
          <w:p>
            <w:pPr>
              <w:adjustRightInd w:val="0"/>
              <w:spacing w:line="340" w:lineRule="exact"/>
              <w:jc w:val="left"/>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t>1.到达时间≤30分钟：得6分；</w:t>
            </w:r>
          </w:p>
          <w:p>
            <w:pPr>
              <w:adjustRightInd w:val="0"/>
              <w:spacing w:line="340" w:lineRule="exact"/>
              <w:jc w:val="left"/>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t>2.30分钟＜到达时间≤35分钟，得3分；</w:t>
            </w:r>
          </w:p>
          <w:p>
            <w:pPr>
              <w:adjustRightInd w:val="0"/>
              <w:spacing w:line="340" w:lineRule="exact"/>
              <w:jc w:val="left"/>
              <w:rPr>
                <w:rFonts w:hint="default"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t>3.到达时间＞35分钟，得0分。</w:t>
            </w:r>
          </w:p>
          <w:p>
            <w:pPr>
              <w:adjustRightInd w:val="0"/>
              <w:spacing w:line="340" w:lineRule="exact"/>
              <w:jc w:val="left"/>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t>注：</w:t>
            </w:r>
          </w:p>
          <w:p>
            <w:pPr>
              <w:adjustRightInd w:val="0"/>
              <w:spacing w:line="340" w:lineRule="exact"/>
              <w:jc w:val="left"/>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t>（1）使用常规地图软件进行测算；</w:t>
            </w:r>
          </w:p>
          <w:p>
            <w:pPr>
              <w:adjustRightInd w:val="0"/>
              <w:spacing w:line="340" w:lineRule="exact"/>
              <w:jc w:val="left"/>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t>（2）起点：与前述资格条件要求的固定办公场所一致；</w:t>
            </w:r>
          </w:p>
          <w:p>
            <w:pPr>
              <w:adjustRightInd w:val="0"/>
              <w:spacing w:line="340" w:lineRule="exact"/>
              <w:jc w:val="left"/>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t>（3）终点：惠州市第一妇幼保健院（惠城区演达四路5号）</w:t>
            </w:r>
          </w:p>
          <w:p>
            <w:pPr>
              <w:adjustRightInd w:val="0"/>
              <w:spacing w:line="340" w:lineRule="exact"/>
              <w:jc w:val="left"/>
              <w:rPr>
                <w:rFonts w:hint="default"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t>（4）模式</w:t>
            </w:r>
            <w:r>
              <w:rPr>
                <w:rFonts w:hint="default"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t>：选择 “驾车” 模式及“时间最短”或“推荐”路线。</w:t>
            </w:r>
          </w:p>
          <w:p>
            <w:pPr>
              <w:adjustRightInd w:val="0"/>
              <w:spacing w:line="340" w:lineRule="exact"/>
              <w:jc w:val="left"/>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t>（5）截图时间：统一设定为响应文件递交截止日前任意一个工作日的交通平峰时段：北京时间上午9：00-10:00。</w:t>
            </w:r>
          </w:p>
          <w:p>
            <w:pPr>
              <w:adjustRightInd w:val="0"/>
              <w:spacing w:line="340" w:lineRule="exact"/>
              <w:jc w:val="left"/>
              <w:rPr>
                <w:rFonts w:hint="default"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t>（6）截图要求：截取的图片必须清晰、完整地显示</w:t>
            </w:r>
            <w:r>
              <w:rPr>
                <w:rFonts w:hint="default"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t>起终点名称、完整的推荐路线、及软件预估的</w:t>
            </w:r>
            <w:r>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t>到达</w:t>
            </w:r>
            <w:r>
              <w:rPr>
                <w:rFonts w:hint="default"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t>时间。截图需打印后加盖</w:t>
            </w:r>
            <w:r>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t>代理机构</w:t>
            </w:r>
            <w:r>
              <w:rPr>
                <w:rFonts w:hint="default"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t>公章。</w:t>
            </w:r>
          </w:p>
          <w:p>
            <w:pPr>
              <w:adjustRightInd w:val="0"/>
              <w:spacing w:line="340" w:lineRule="exact"/>
              <w:jc w:val="left"/>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t>无提供或不按要求提供不得分。</w:t>
            </w:r>
          </w:p>
        </w:tc>
      </w:tr>
      <w:tr>
        <w:tblPrEx>
          <w:tblCellMar>
            <w:top w:w="0" w:type="dxa"/>
            <w:left w:w="108" w:type="dxa"/>
            <w:bottom w:w="0" w:type="dxa"/>
            <w:right w:w="108" w:type="dxa"/>
          </w:tblCellMar>
        </w:tblPrEx>
        <w:trPr>
          <w:trHeight w:val="1097" w:hRule="atLeast"/>
        </w:trPr>
        <w:tc>
          <w:tcPr>
            <w:tcW w:w="745" w:type="dxa"/>
            <w:tcBorders>
              <w:top w:val="single" w:color="000000" w:sz="4" w:space="0"/>
              <w:left w:val="single" w:color="000000" w:sz="4" w:space="0"/>
              <w:bottom w:val="single" w:color="auto" w:sz="4" w:space="0"/>
              <w:right w:val="single" w:color="000000" w:sz="4" w:space="0"/>
            </w:tcBorders>
            <w:noWrap w:val="0"/>
            <w:vAlign w:val="center"/>
          </w:tcPr>
          <w:p>
            <w:pPr>
              <w:adjustRightInd w:val="0"/>
              <w:spacing w:line="340" w:lineRule="exact"/>
              <w:jc w:val="center"/>
              <w:rPr>
                <w:rFonts w:hint="default"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t>10</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D0D0D" w:themeColor="text1" w:themeTint="F2"/>
                <w:kern w:val="0"/>
                <w:sz w:val="24"/>
                <w:szCs w:val="24"/>
                <w:highlight w:val="none"/>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highlight w:val="none"/>
                <w:lang w:val="en-GB" w:eastAsia="zh-CN"/>
                <w14:textFill>
                  <w14:solidFill>
                    <w14:schemeClr w14:val="tx1">
                      <w14:lumMod w14:val="95000"/>
                      <w14:lumOff w14:val="5000"/>
                    </w14:schemeClr>
                  </w14:solidFill>
                </w14:textFill>
              </w:rPr>
              <w:t>对</w:t>
            </w:r>
            <w:r>
              <w:rPr>
                <w:rFonts w:hint="eastAsia" w:ascii="仿宋" w:hAnsi="仿宋" w:eastAsia="仿宋" w:cs="仿宋"/>
                <w:color w:val="0D0D0D" w:themeColor="text1" w:themeTint="F2"/>
                <w:kern w:val="0"/>
                <w:sz w:val="24"/>
                <w:highlight w:val="none"/>
                <w:lang w:val="en-US" w:eastAsia="zh-CN"/>
                <w14:textFill>
                  <w14:solidFill>
                    <w14:schemeClr w14:val="tx1">
                      <w14:lumMod w14:val="95000"/>
                      <w14:lumOff w14:val="5000"/>
                    </w14:schemeClr>
                  </w14:solidFill>
                </w14:textFill>
              </w:rPr>
              <w:t>商务条款</w:t>
            </w:r>
            <w:r>
              <w:rPr>
                <w:rFonts w:hint="eastAsia" w:ascii="仿宋" w:hAnsi="仿宋" w:eastAsia="仿宋" w:cs="仿宋"/>
                <w:color w:val="0D0D0D" w:themeColor="text1" w:themeTint="F2"/>
                <w:kern w:val="0"/>
                <w:sz w:val="24"/>
                <w:highlight w:val="none"/>
                <w:lang w:val="en-GB" w:eastAsia="zh-CN"/>
                <w14:textFill>
                  <w14:solidFill>
                    <w14:schemeClr w14:val="tx1">
                      <w14:lumMod w14:val="95000"/>
                      <w14:lumOff w14:val="5000"/>
                    </w14:schemeClr>
                  </w14:solidFill>
                </w14:textFill>
              </w:rPr>
              <w:t>响应程度</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D0D0D" w:themeColor="text1" w:themeTint="F2"/>
                <w:kern w:val="0"/>
                <w:sz w:val="24"/>
                <w:szCs w:val="24"/>
                <w:highlight w:val="none"/>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highlight w:val="none"/>
                <w:lang w:val="en-US" w:eastAsia="zh-CN"/>
                <w14:textFill>
                  <w14:solidFill>
                    <w14:schemeClr w14:val="tx1">
                      <w14:lumMod w14:val="95000"/>
                      <w14:lumOff w14:val="5000"/>
                    </w14:schemeClr>
                  </w14:solidFill>
                </w14:textFill>
              </w:rPr>
              <w:t>5</w:t>
            </w:r>
          </w:p>
        </w:tc>
        <w:tc>
          <w:tcPr>
            <w:tcW w:w="5692"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仿宋" w:hAnsi="仿宋" w:eastAsia="仿宋" w:cs="仿宋"/>
                <w:color w:val="0D0D0D" w:themeColor="text1" w:themeTint="F2"/>
                <w:kern w:val="0"/>
                <w:sz w:val="24"/>
                <w:szCs w:val="24"/>
                <w:highlight w:val="none"/>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highlight w:val="none"/>
                <w14:textFill>
                  <w14:solidFill>
                    <w14:schemeClr w14:val="tx1">
                      <w14:lumMod w14:val="95000"/>
                      <w14:lumOff w14:val="5000"/>
                    </w14:schemeClr>
                  </w14:solidFill>
                </w14:textFill>
              </w:rPr>
              <w:t>各响应供应商对</w:t>
            </w:r>
            <w:r>
              <w:rPr>
                <w:rFonts w:hint="eastAsia" w:ascii="仿宋" w:hAnsi="仿宋" w:eastAsia="仿宋" w:cs="仿宋"/>
                <w:color w:val="0D0D0D" w:themeColor="text1" w:themeTint="F2"/>
                <w:kern w:val="0"/>
                <w:sz w:val="24"/>
                <w:highlight w:val="none"/>
                <w:lang w:eastAsia="zh-CN"/>
                <w14:textFill>
                  <w14:solidFill>
                    <w14:schemeClr w14:val="tx1">
                      <w14:lumMod w14:val="95000"/>
                      <w14:lumOff w14:val="5000"/>
                    </w14:schemeClr>
                  </w14:solidFill>
                </w14:textFill>
              </w:rPr>
              <w:t>比选</w:t>
            </w:r>
            <w:r>
              <w:rPr>
                <w:rFonts w:hint="eastAsia" w:ascii="仿宋" w:hAnsi="仿宋" w:eastAsia="仿宋" w:cs="仿宋"/>
                <w:color w:val="0D0D0D" w:themeColor="text1" w:themeTint="F2"/>
                <w:kern w:val="0"/>
                <w:sz w:val="24"/>
                <w:highlight w:val="none"/>
                <w14:textFill>
                  <w14:solidFill>
                    <w14:schemeClr w14:val="tx1">
                      <w14:lumMod w14:val="95000"/>
                      <w14:lumOff w14:val="5000"/>
                    </w14:schemeClr>
                  </w14:solidFill>
                </w14:textFill>
              </w:rPr>
              <w:t>文件</w:t>
            </w:r>
            <w:r>
              <w:rPr>
                <w:rFonts w:hint="eastAsia" w:ascii="仿宋" w:hAnsi="仿宋" w:eastAsia="仿宋" w:cs="仿宋"/>
                <w:b/>
                <w:color w:val="0D0D0D" w:themeColor="text1" w:themeTint="F2"/>
                <w:kern w:val="0"/>
                <w:sz w:val="24"/>
                <w:highlight w:val="none"/>
                <w14:textFill>
                  <w14:solidFill>
                    <w14:schemeClr w14:val="tx1">
                      <w14:lumMod w14:val="95000"/>
                      <w14:lumOff w14:val="5000"/>
                    </w14:schemeClr>
                  </w14:solidFill>
                </w14:textFill>
              </w:rPr>
              <w:t>商务</w:t>
            </w:r>
            <w:r>
              <w:rPr>
                <w:rFonts w:hint="eastAsia" w:ascii="仿宋" w:hAnsi="仿宋" w:eastAsia="仿宋" w:cs="仿宋"/>
                <w:color w:val="0D0D0D" w:themeColor="text1" w:themeTint="F2"/>
                <w:kern w:val="0"/>
                <w:sz w:val="24"/>
                <w:highlight w:val="none"/>
                <w14:textFill>
                  <w14:solidFill>
                    <w14:schemeClr w14:val="tx1">
                      <w14:lumMod w14:val="95000"/>
                      <w14:lumOff w14:val="5000"/>
                    </w14:schemeClr>
                  </w14:solidFill>
                </w14:textFill>
              </w:rPr>
              <w:t>条款的响应程度：完全满足</w:t>
            </w:r>
            <w:r>
              <w:rPr>
                <w:rFonts w:hint="eastAsia" w:ascii="仿宋" w:hAnsi="仿宋" w:eastAsia="仿宋" w:cs="仿宋"/>
                <w:color w:val="0D0D0D" w:themeColor="text1" w:themeTint="F2"/>
                <w:kern w:val="0"/>
                <w:sz w:val="24"/>
                <w:highlight w:val="none"/>
                <w:lang w:eastAsia="zh-CN"/>
                <w14:textFill>
                  <w14:solidFill>
                    <w14:schemeClr w14:val="tx1">
                      <w14:lumMod w14:val="95000"/>
                      <w14:lumOff w14:val="5000"/>
                    </w14:schemeClr>
                  </w14:solidFill>
                </w14:textFill>
              </w:rPr>
              <w:t>比选</w:t>
            </w:r>
            <w:r>
              <w:rPr>
                <w:rFonts w:hint="eastAsia" w:ascii="仿宋" w:hAnsi="仿宋" w:eastAsia="仿宋" w:cs="仿宋"/>
                <w:color w:val="0D0D0D" w:themeColor="text1" w:themeTint="F2"/>
                <w:kern w:val="0"/>
                <w:sz w:val="24"/>
                <w:highlight w:val="none"/>
                <w14:textFill>
                  <w14:solidFill>
                    <w14:schemeClr w14:val="tx1">
                      <w14:lumMod w14:val="95000"/>
                      <w14:lumOff w14:val="5000"/>
                    </w14:schemeClr>
                  </w14:solidFill>
                </w14:textFill>
              </w:rPr>
              <w:t>文件</w:t>
            </w:r>
            <w:r>
              <w:rPr>
                <w:rFonts w:hint="eastAsia" w:ascii="仿宋" w:hAnsi="仿宋" w:eastAsia="仿宋" w:cs="仿宋"/>
                <w:color w:val="0D0D0D" w:themeColor="text1" w:themeTint="F2"/>
                <w:kern w:val="0"/>
                <w:sz w:val="24"/>
                <w:highlight w:val="none"/>
                <w:lang w:eastAsia="zh-CN"/>
                <w14:textFill>
                  <w14:solidFill>
                    <w14:schemeClr w14:val="tx1">
                      <w14:lumMod w14:val="95000"/>
                      <w14:lumOff w14:val="5000"/>
                    </w14:schemeClr>
                  </w14:solidFill>
                </w14:textFill>
              </w:rPr>
              <w:t>的得</w:t>
            </w:r>
            <w:r>
              <w:rPr>
                <w:rFonts w:hint="eastAsia" w:ascii="仿宋" w:hAnsi="仿宋" w:eastAsia="仿宋" w:cs="仿宋"/>
                <w:color w:val="0D0D0D" w:themeColor="text1" w:themeTint="F2"/>
                <w:kern w:val="0"/>
                <w:sz w:val="24"/>
                <w:highlight w:val="none"/>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4"/>
                <w:highlight w:val="none"/>
                <w:lang w:eastAsia="zh-CN"/>
                <w14:textFill>
                  <w14:solidFill>
                    <w14:schemeClr w14:val="tx1">
                      <w14:lumMod w14:val="95000"/>
                      <w14:lumOff w14:val="5000"/>
                    </w14:schemeClr>
                  </w14:solidFill>
                </w14:textFill>
              </w:rPr>
              <w:t>分，</w:t>
            </w:r>
            <w:r>
              <w:rPr>
                <w:rFonts w:hint="eastAsia" w:ascii="仿宋" w:hAnsi="仿宋" w:eastAsia="仿宋" w:cs="仿宋"/>
                <w:color w:val="0D0D0D" w:themeColor="text1" w:themeTint="F2"/>
                <w:sz w:val="24"/>
                <w:highlight w:val="none"/>
                <w:lang w:val="en-US" w:eastAsia="zh-CN"/>
                <w14:textFill>
                  <w14:solidFill>
                    <w14:schemeClr w14:val="tx1">
                      <w14:lumMod w14:val="95000"/>
                      <w14:lumOff w14:val="5000"/>
                    </w14:schemeClr>
                  </w14:solidFill>
                </w14:textFill>
              </w:rPr>
              <w:t>有不满足或不利于采购人条件的得0分。</w:t>
            </w:r>
          </w:p>
        </w:tc>
      </w:tr>
      <w:tr>
        <w:tblPrEx>
          <w:tblCellMar>
            <w:top w:w="0" w:type="dxa"/>
            <w:left w:w="108" w:type="dxa"/>
            <w:bottom w:w="0" w:type="dxa"/>
            <w:right w:w="108" w:type="dxa"/>
          </w:tblCellMar>
        </w:tblPrEx>
        <w:trPr>
          <w:trHeight w:val="985"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40" w:lineRule="exact"/>
              <w:jc w:val="center"/>
              <w:rPr>
                <w:rFonts w:hint="default"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t>11</w:t>
            </w:r>
          </w:p>
          <w:p>
            <w:pPr>
              <w:adjustRightInd w:val="0"/>
              <w:spacing w:line="340" w:lineRule="exact"/>
              <w:jc w:val="center"/>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pPr>
          </w:p>
        </w:tc>
        <w:tc>
          <w:tcPr>
            <w:tcW w:w="1515"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rPr>
              <w:t>代理服务费报价</w:t>
            </w:r>
            <w:r>
              <w:rPr>
                <w:rFonts w:hint="eastAsia" w:ascii="仿宋" w:hAnsi="仿宋" w:eastAsia="仿宋" w:cs="仿宋"/>
                <w:color w:val="auto"/>
                <w:kern w:val="0"/>
                <w:sz w:val="24"/>
                <w:highlight w:val="none"/>
                <w:lang w:eastAsia="zh-CN"/>
              </w:rPr>
              <w:t>情况</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15</w:t>
            </w:r>
          </w:p>
        </w:tc>
        <w:tc>
          <w:tcPr>
            <w:tcW w:w="5692"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价格得分满分</w:t>
            </w:r>
            <w:r>
              <w:rPr>
                <w:rFonts w:hint="eastAsia" w:ascii="仿宋" w:hAnsi="仿宋" w:eastAsia="仿宋" w:cs="仿宋"/>
                <w:color w:val="auto"/>
                <w:kern w:val="0"/>
                <w:sz w:val="24"/>
                <w:highlight w:val="none"/>
                <w:lang w:val="en-US" w:eastAsia="zh-CN"/>
              </w:rPr>
              <w:t>15</w:t>
            </w:r>
            <w:r>
              <w:rPr>
                <w:rFonts w:hint="eastAsia" w:ascii="仿宋" w:hAnsi="仿宋" w:eastAsia="仿宋" w:cs="仿宋"/>
                <w:color w:val="auto"/>
                <w:kern w:val="0"/>
                <w:sz w:val="24"/>
                <w:highlight w:val="none"/>
              </w:rPr>
              <w:t>分，满足比选文件要求且响应价格最低（下浮率最高）的响应报价为评审基准价，其价格分为满分。响应报价得分=</w:t>
            </w:r>
            <w:r>
              <w:rPr>
                <w:rFonts w:hint="eastAsia" w:ascii="仿宋" w:hAnsi="仿宋" w:eastAsia="仿宋" w:cs="仿宋"/>
                <w:color w:val="auto"/>
                <w:kern w:val="0"/>
                <w:sz w:val="24"/>
                <w:highlight w:val="none"/>
                <w:lang w:val="en-US" w:eastAsia="zh-CN"/>
              </w:rPr>
              <w:t>15</w:t>
            </w:r>
            <w:r>
              <w:rPr>
                <w:rFonts w:hint="eastAsia" w:ascii="仿宋" w:hAnsi="仿宋" w:eastAsia="仿宋" w:cs="仿宋"/>
                <w:color w:val="auto"/>
                <w:kern w:val="0"/>
                <w:sz w:val="24"/>
                <w:highlight w:val="none"/>
              </w:rPr>
              <w:t>％×（1-评标基准价）/（1-响应报价）×100</w:t>
            </w:r>
            <w:r>
              <w:rPr>
                <w:rFonts w:hint="eastAsia" w:ascii="仿宋" w:hAnsi="仿宋" w:eastAsia="仿宋" w:cs="仿宋"/>
                <w:color w:val="auto"/>
                <w:kern w:val="0"/>
                <w:sz w:val="24"/>
                <w:highlight w:val="none"/>
                <w:lang w:eastAsia="zh-CN"/>
              </w:rPr>
              <w:t>。结算结果保留小数点后两位，第三位四舍五入。</w:t>
            </w:r>
          </w:p>
        </w:tc>
      </w:tr>
      <w:tr>
        <w:tblPrEx>
          <w:tblCellMar>
            <w:top w:w="0" w:type="dxa"/>
            <w:left w:w="108" w:type="dxa"/>
            <w:bottom w:w="0" w:type="dxa"/>
            <w:right w:w="108" w:type="dxa"/>
          </w:tblCellMar>
        </w:tblPrEx>
        <w:trPr>
          <w:trHeight w:val="1019"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40" w:lineRule="exact"/>
              <w:jc w:val="center"/>
              <w:rPr>
                <w:rFonts w:hint="default"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highlight w:val="none"/>
                <w:lang w:val="en-US" w:eastAsia="zh-CN" w:bidi="ar"/>
                <w14:textFill>
                  <w14:solidFill>
                    <w14:schemeClr w14:val="tx1">
                      <w14:lumMod w14:val="95000"/>
                      <w14:lumOff w14:val="5000"/>
                    </w14:schemeClr>
                  </w14:solidFill>
                </w14:textFill>
              </w:rPr>
              <w:t>12</w:t>
            </w:r>
          </w:p>
        </w:tc>
        <w:tc>
          <w:tcPr>
            <w:tcW w:w="1515"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专家论证服务费报价</w:t>
            </w:r>
            <w:r>
              <w:rPr>
                <w:rFonts w:hint="eastAsia" w:ascii="仿宋" w:hAnsi="仿宋" w:eastAsia="仿宋" w:cs="仿宋"/>
                <w:color w:val="auto"/>
                <w:sz w:val="24"/>
                <w:highlight w:val="none"/>
                <w:lang w:eastAsia="zh-CN"/>
              </w:rPr>
              <w:t>情况</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rPr>
              <w:t>5</w:t>
            </w:r>
          </w:p>
        </w:tc>
        <w:tc>
          <w:tcPr>
            <w:tcW w:w="5692"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价格得分满分</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分，</w:t>
            </w:r>
            <w:r>
              <w:rPr>
                <w:rFonts w:hint="eastAsia" w:ascii="仿宋" w:hAnsi="仿宋" w:eastAsia="仿宋" w:cs="仿宋"/>
                <w:color w:val="auto"/>
                <w:kern w:val="0"/>
                <w:sz w:val="24"/>
                <w:highlight w:val="none"/>
                <w:lang w:eastAsia="zh-CN"/>
              </w:rPr>
              <w:t>响应报价得分＝（评审基准价/响应报价）×价格分值</w:t>
            </w:r>
          </w:p>
          <w:p>
            <w:pPr>
              <w:widowControl/>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eastAsia="zh-CN"/>
              </w:rPr>
              <w:t>【注：满足比选文件要求且响应价格最低的响应报价为评审基准价。】最低报价不是成交的唯一依据。因落实政府采购政策进行价格调整的，以调整后的价格计算评审基准价和响应报价。结算结果保留小数点后两位，第三位四舍五入。</w:t>
            </w:r>
          </w:p>
        </w:tc>
      </w:tr>
    </w:tbl>
    <w:p>
      <w:pPr>
        <w:widowControl/>
        <w:jc w:val="center"/>
        <w:rPr>
          <w:rFonts w:hint="eastAsia" w:ascii="仿宋" w:hAnsi="仿宋" w:eastAsia="仿宋" w:cs="仿宋"/>
          <w:color w:val="auto"/>
          <w:kern w:val="0"/>
          <w:sz w:val="24"/>
          <w:szCs w:val="24"/>
          <w:highlight w:val="none"/>
        </w:rPr>
      </w:pPr>
    </w:p>
    <w:p>
      <w:pPr>
        <w:pStyle w:val="10"/>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确定成交候选供应商</w:t>
      </w:r>
    </w:p>
    <w:p>
      <w:pPr>
        <w:autoSpaceDE w:val="0"/>
        <w:autoSpaceDN w:val="0"/>
        <w:adjustRightInd w:val="0"/>
        <w:snapToGrid w:val="0"/>
        <w:spacing w:line="360" w:lineRule="auto"/>
        <w:ind w:right="32" w:firstLine="458" w:firstLineChars="191"/>
        <w:rPr>
          <w:rFonts w:ascii="仿宋" w:hAnsi="仿宋" w:eastAsia="仿宋" w:cs="仿宋"/>
          <w:b w:val="0"/>
          <w:bCs w:val="0"/>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小组出具书面的评审报告，按照响应供应商的综合得分由高到低的顺序对响应供应商进行排名，并确定成交候选供应商。综合得分相同的，按响应报价由低到高顺序推荐成交候选供应商，得分</w:t>
      </w:r>
      <w:r>
        <w:rPr>
          <w:rFonts w:hint="eastAsia" w:ascii="仿宋" w:hAnsi="仿宋" w:eastAsia="仿宋" w:cs="仿宋"/>
          <w:b w:val="0"/>
          <w:bCs w:val="0"/>
          <w:color w:val="auto"/>
          <w:kern w:val="0"/>
          <w:sz w:val="24"/>
          <w:highlight w:val="none"/>
        </w:rPr>
        <w:t>且</w:t>
      </w:r>
      <w:r>
        <w:rPr>
          <w:rFonts w:hint="eastAsia" w:ascii="仿宋" w:hAnsi="仿宋" w:eastAsia="仿宋" w:cs="仿宋"/>
          <w:b w:val="0"/>
          <w:bCs w:val="0"/>
          <w:color w:val="auto"/>
          <w:kern w:val="0"/>
          <w:sz w:val="24"/>
          <w:highlight w:val="none"/>
          <w:lang w:eastAsia="zh-CN"/>
        </w:rPr>
        <w:t>响应</w:t>
      </w:r>
      <w:r>
        <w:rPr>
          <w:rFonts w:hint="eastAsia" w:ascii="仿宋" w:hAnsi="仿宋" w:eastAsia="仿宋" w:cs="仿宋"/>
          <w:b w:val="0"/>
          <w:bCs w:val="0"/>
          <w:color w:val="auto"/>
          <w:kern w:val="0"/>
          <w:sz w:val="24"/>
          <w:highlight w:val="none"/>
        </w:rPr>
        <w:t>报价相同的，由</w:t>
      </w:r>
      <w:r>
        <w:rPr>
          <w:rFonts w:hint="eastAsia" w:ascii="仿宋" w:hAnsi="仿宋" w:eastAsia="仿宋" w:cs="仿宋"/>
          <w:b w:val="0"/>
          <w:bCs w:val="0"/>
          <w:color w:val="auto"/>
          <w:kern w:val="0"/>
          <w:sz w:val="24"/>
          <w:highlight w:val="none"/>
          <w:lang w:eastAsia="zh-CN"/>
        </w:rPr>
        <w:t>评审小组</w:t>
      </w:r>
      <w:r>
        <w:rPr>
          <w:rFonts w:hint="eastAsia" w:ascii="仿宋" w:hAnsi="仿宋" w:eastAsia="仿宋" w:cs="仿宋"/>
          <w:b w:val="0"/>
          <w:bCs w:val="0"/>
          <w:color w:val="auto"/>
          <w:kern w:val="0"/>
          <w:sz w:val="24"/>
          <w:highlight w:val="none"/>
        </w:rPr>
        <w:t>采取随机抽取的方式确定。</w:t>
      </w:r>
    </w:p>
    <w:p>
      <w:pPr>
        <w:pStyle w:val="10"/>
        <w:adjustRightInd w:val="0"/>
        <w:snapToGrid w:val="0"/>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rPr>
        <w:t>公示</w:t>
      </w:r>
    </w:p>
    <w:p>
      <w:pPr>
        <w:autoSpaceDE w:val="0"/>
        <w:autoSpaceDN w:val="0"/>
        <w:adjustRightInd w:val="0"/>
        <w:snapToGrid w:val="0"/>
        <w:spacing w:line="360" w:lineRule="auto"/>
        <w:ind w:right="32"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评审完成确定成交候选供应商后，</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发布成交公告，并向</w:t>
      </w:r>
      <w:r>
        <w:rPr>
          <w:rFonts w:hint="eastAsia" w:ascii="仿宋" w:hAnsi="仿宋" w:eastAsia="仿宋" w:cs="仿宋"/>
          <w:color w:val="auto"/>
          <w:sz w:val="24"/>
          <w:highlight w:val="none"/>
          <w:lang w:eastAsia="zh-CN"/>
        </w:rPr>
        <w:t>成交供应商</w:t>
      </w:r>
      <w:r>
        <w:rPr>
          <w:rFonts w:hint="eastAsia" w:ascii="仿宋" w:hAnsi="仿宋" w:eastAsia="仿宋" w:cs="仿宋"/>
          <w:color w:val="auto"/>
          <w:sz w:val="24"/>
          <w:highlight w:val="none"/>
        </w:rPr>
        <w:t>发出《成交通知书》。</w:t>
      </w:r>
    </w:p>
    <w:p>
      <w:pPr>
        <w:autoSpaceDE w:val="0"/>
        <w:autoSpaceDN w:val="0"/>
        <w:adjustRightInd w:val="0"/>
        <w:snapToGrid w:val="0"/>
        <w:spacing w:line="360" w:lineRule="auto"/>
        <w:ind w:right="32"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六</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询问、</w:t>
      </w:r>
      <w:r>
        <w:rPr>
          <w:rFonts w:hint="eastAsia" w:ascii="仿宋" w:hAnsi="仿宋" w:eastAsia="仿宋" w:cs="仿宋"/>
          <w:b/>
          <w:color w:val="auto"/>
          <w:sz w:val="24"/>
          <w:highlight w:val="none"/>
        </w:rPr>
        <w:t>质疑和投诉</w:t>
      </w:r>
    </w:p>
    <w:p>
      <w:pPr>
        <w:pStyle w:val="10"/>
        <w:adjustRightInd w:val="0"/>
        <w:snapToGrid w:val="0"/>
        <w:spacing w:line="360" w:lineRule="auto"/>
        <w:ind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（一）询问</w:t>
      </w:r>
    </w:p>
    <w:p>
      <w:pPr>
        <w:pStyle w:val="10"/>
        <w:adjustRightInd w:val="0"/>
        <w:snapToGrid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对政府采购活动事项（</w:t>
      </w:r>
      <w:r>
        <w:rPr>
          <w:rFonts w:hint="eastAsia" w:ascii="仿宋" w:hAnsi="仿宋" w:eastAsia="仿宋" w:cs="仿宋"/>
          <w:color w:val="auto"/>
          <w:sz w:val="24"/>
          <w:highlight w:val="none"/>
          <w:lang w:eastAsia="zh-CN"/>
        </w:rPr>
        <w:t>比选文件</w:t>
      </w:r>
      <w:r>
        <w:rPr>
          <w:rFonts w:hint="eastAsia" w:ascii="仿宋" w:hAnsi="仿宋" w:eastAsia="仿宋" w:cs="仿宋"/>
          <w:color w:val="auto"/>
          <w:sz w:val="24"/>
          <w:highlight w:val="none"/>
        </w:rPr>
        <w:t>、采购过程和</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结果）有疑问的，可以向采购人提出询问，采购人将及时作出答复，但答复的内容不涉及商业秘密。询问可以口头方式提出，也可以书面方式提出，书面方式包括但不限于传真、信函、电子邮件。联系方式见《</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邀请函》中“采购人的名称、地址和联系方式”。</w:t>
      </w:r>
    </w:p>
    <w:p>
      <w:pPr>
        <w:pStyle w:val="10"/>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对比选文件的质疑和处理</w:t>
      </w:r>
    </w:p>
    <w:p>
      <w:pPr>
        <w:pStyle w:val="10"/>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供应商对比选公告或文件有异议的，应在比选公告的有效期内书面向</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提出合理的质疑。公告期限内未收到书面质疑，视为潜在供应商认同比选文件的全部内容，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不再受理供应商对比选公告或文件的质疑。</w:t>
      </w:r>
    </w:p>
    <w:p>
      <w:pPr>
        <w:pStyle w:val="10"/>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应当在接收到质疑函后起七个工作日内进行答复，并以书面形式通知质疑供应商和其他有关供应商。</w:t>
      </w:r>
    </w:p>
    <w:p>
      <w:pPr>
        <w:pStyle w:val="10"/>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对比选文件提出的质疑成立后，由</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通过澄清或者修改，并以书面形式告知潜在的供应商后可以继续开展采购活动的，澄清或者修改比选文件后继续开展采购活动；否则应当修改比选文件后重新开展采购活动。</w:t>
      </w:r>
    </w:p>
    <w:p>
      <w:pPr>
        <w:pStyle w:val="10"/>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三</w:t>
      </w:r>
      <w:r>
        <w:rPr>
          <w:rFonts w:hint="eastAsia" w:ascii="仿宋" w:hAnsi="仿宋" w:eastAsia="仿宋" w:cs="仿宋"/>
          <w:color w:val="auto"/>
          <w:sz w:val="24"/>
          <w:highlight w:val="none"/>
        </w:rPr>
        <w:t>）对采购过程、成交结果的质疑和处理</w:t>
      </w:r>
    </w:p>
    <w:p>
      <w:pPr>
        <w:pStyle w:val="10"/>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供应商认为评审过程、成交结果使自己的权益受到损害的，可以在知道或者应知其权益受到损害之日起7个工作日内，以书面形式向</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提出质疑。</w:t>
      </w:r>
    </w:p>
    <w:p>
      <w:pPr>
        <w:pStyle w:val="10"/>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应于收到质疑函后起7个工作日内组织原评审小组协助答复质疑，并以书面形式通知质疑供应商和其他有关供应商。</w:t>
      </w:r>
    </w:p>
    <w:p>
      <w:pPr>
        <w:pStyle w:val="10"/>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认为供应商质疑不成立，或者成立但未对成交结果构成影响的，继续开展采购活动；认为供应商质疑成立且影响或者可能影响成交结果的，合格供应商符合法定数量时，可以从合格的成交候选人中另行确定成交供应商的，应当依法另行确定成交供应商；否则应当重新开展采购活动。</w:t>
      </w:r>
    </w:p>
    <w:p>
      <w:pPr>
        <w:pStyle w:val="10"/>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四</w:t>
      </w:r>
      <w:r>
        <w:rPr>
          <w:rFonts w:hint="eastAsia" w:ascii="仿宋" w:hAnsi="仿宋" w:eastAsia="仿宋" w:cs="仿宋"/>
          <w:color w:val="auto"/>
          <w:sz w:val="24"/>
          <w:highlight w:val="none"/>
        </w:rPr>
        <w:t>）供应商提出质疑应当提交质疑函和必要的证明材料(包括证明材料清单、证明文件及获取途径说明)。质疑函应当包括下列内容：</w:t>
      </w:r>
    </w:p>
    <w:p>
      <w:pPr>
        <w:pStyle w:val="10"/>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供应商的姓名或者名称、地址、邮编、联系人及联系电话；</w:t>
      </w:r>
    </w:p>
    <w:p>
      <w:pPr>
        <w:pStyle w:val="10"/>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质疑项目的名称、编号；</w:t>
      </w:r>
    </w:p>
    <w:p>
      <w:pPr>
        <w:pStyle w:val="10"/>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具体、明确的质疑事项和与质疑事项相关的请求；</w:t>
      </w:r>
    </w:p>
    <w:p>
      <w:pPr>
        <w:pStyle w:val="10"/>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事实依据；</w:t>
      </w:r>
    </w:p>
    <w:p>
      <w:pPr>
        <w:pStyle w:val="10"/>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必要的法律依据；</w:t>
      </w:r>
    </w:p>
    <w:p>
      <w:pPr>
        <w:pStyle w:val="10"/>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提出质疑的日期。</w:t>
      </w:r>
    </w:p>
    <w:p>
      <w:pPr>
        <w:pStyle w:val="10"/>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五</w:t>
      </w:r>
      <w:r>
        <w:rPr>
          <w:rFonts w:hint="eastAsia" w:ascii="仿宋" w:hAnsi="仿宋" w:eastAsia="仿宋" w:cs="仿宋"/>
          <w:color w:val="auto"/>
          <w:sz w:val="24"/>
          <w:highlight w:val="none"/>
        </w:rPr>
        <w:t>）投诉</w:t>
      </w:r>
    </w:p>
    <w:p>
      <w:pPr>
        <w:pStyle w:val="10"/>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的质疑答复不满意或在规定时间内未得到答复的，可以在答复期满后15个工作日内，按如下联系方式向</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highlight w:val="none"/>
        </w:rPr>
        <w:t>提出书面投诉。</w:t>
      </w:r>
    </w:p>
    <w:p>
      <w:pPr>
        <w:pStyle w:val="10"/>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六</w:t>
      </w:r>
      <w:r>
        <w:rPr>
          <w:rFonts w:hint="eastAsia" w:ascii="仿宋" w:hAnsi="仿宋" w:eastAsia="仿宋" w:cs="仿宋"/>
          <w:color w:val="auto"/>
          <w:sz w:val="24"/>
          <w:highlight w:val="none"/>
        </w:rPr>
        <w:t>）质疑供应商未按以上规定进行质疑的，</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将不予接收。</w:t>
      </w:r>
    </w:p>
    <w:p>
      <w:pPr>
        <w:pStyle w:val="10"/>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七</w:t>
      </w:r>
      <w:r>
        <w:rPr>
          <w:rFonts w:hint="eastAsia" w:ascii="仿宋" w:hAnsi="仿宋" w:eastAsia="仿宋" w:cs="仿宋"/>
          <w:color w:val="auto"/>
          <w:sz w:val="24"/>
          <w:highlight w:val="none"/>
        </w:rPr>
        <w:t>）供应商捏造事实、提供虚假材料或者以非法手段取得证明材料进行质疑或投诉的，予以驳回，并列入黑名单。</w:t>
      </w:r>
    </w:p>
    <w:p>
      <w:pPr>
        <w:pStyle w:val="10"/>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八</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受理质疑后，质疑人书面申请撤回质疑的，应当终止质疑处理程序。</w:t>
      </w:r>
    </w:p>
    <w:p>
      <w:pPr>
        <w:pStyle w:val="10"/>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九</w:t>
      </w:r>
      <w:r>
        <w:rPr>
          <w:rFonts w:hint="eastAsia" w:ascii="仿宋" w:hAnsi="仿宋" w:eastAsia="仿宋" w:cs="仿宋"/>
          <w:color w:val="auto"/>
          <w:sz w:val="24"/>
          <w:highlight w:val="none"/>
        </w:rPr>
        <w:t>）同一供应商不能对同一事项重复质疑。</w:t>
      </w:r>
    </w:p>
    <w:p>
      <w:pPr>
        <w:pStyle w:val="10"/>
        <w:adjustRightInd w:val="0"/>
        <w:snapToGrid w:val="0"/>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七</w:t>
      </w:r>
      <w:r>
        <w:rPr>
          <w:rFonts w:hint="eastAsia" w:ascii="仿宋" w:hAnsi="仿宋" w:eastAsia="仿宋" w:cs="仿宋"/>
          <w:b/>
          <w:color w:val="auto"/>
          <w:kern w:val="0"/>
          <w:sz w:val="24"/>
          <w:szCs w:val="24"/>
          <w:highlight w:val="none"/>
        </w:rPr>
        <w:t>、合同的订立和履行</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合同的订立</w:t>
      </w:r>
    </w:p>
    <w:p>
      <w:pPr>
        <w:autoSpaceDE w:val="0"/>
        <w:autoSpaceDN w:val="0"/>
        <w:adjustRightInd w:val="0"/>
        <w:snapToGrid w:val="0"/>
        <w:spacing w:line="360" w:lineRule="auto"/>
        <w:ind w:right="32" w:firstLine="480" w:firstLineChars="200"/>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rPr>
        <w:t>采购人与成交供应商自成交通知书发出之日起三十日内，按比选文件要求和</w:t>
      </w:r>
      <w:r>
        <w:rPr>
          <w:rFonts w:hint="eastAsia" w:ascii="仿宋" w:hAnsi="仿宋" w:eastAsia="仿宋" w:cs="仿宋"/>
          <w:color w:val="auto"/>
          <w:kern w:val="0"/>
          <w:sz w:val="24"/>
          <w:highlight w:val="none"/>
          <w:lang w:eastAsia="zh-CN"/>
        </w:rPr>
        <w:t>成交供应商</w:t>
      </w:r>
      <w:r>
        <w:rPr>
          <w:rFonts w:hint="eastAsia" w:ascii="仿宋" w:hAnsi="仿宋" w:eastAsia="仿宋" w:cs="仿宋"/>
          <w:color w:val="auto"/>
          <w:kern w:val="0"/>
          <w:sz w:val="24"/>
          <w:highlight w:val="none"/>
        </w:rPr>
        <w:t>响应文件承诺签订采购合同。未按规定时间签订合同的，视为主动放弃成交资格。但不得超出比选文件和成交供应商响应文件的范围、也不得再行订立背离合同实质性内容的其他协议。如果第一成交候选供应商放弃成交资格或者没有按照规定签订合同，采购人将取消其成交资格。在此情况下，采购人可确定第二成交候选供应商为成交供应商，或重新采购。</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合同的履行</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（1）采购合同订立后，合同各方不得擅自变更、中止或者终止合同。合同确需要变更的，应以书面形式报</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审批。</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（2）采购合同履行中，采购人需追加与合同标的相同的货物、工程或者服务的，在不改变合同实质条款的前提下，可以与成交供应商签订补充合同，但所补充合同的采购金额不得超过原采购金额的百分之十。</w:t>
      </w:r>
    </w:p>
    <w:p>
      <w:pPr>
        <w:adjustRightInd w:val="0"/>
        <w:snapToGrid w:val="0"/>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rPr>
        <w:t>、适用法律及规定</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1.采购人</w:t>
      </w:r>
      <w:r>
        <w:rPr>
          <w:rFonts w:hint="eastAsia" w:ascii="仿宋" w:hAnsi="仿宋" w:eastAsia="仿宋" w:cs="仿宋"/>
          <w:color w:val="auto"/>
          <w:kern w:val="0"/>
          <w:sz w:val="24"/>
          <w:highlight w:val="none"/>
        </w:rPr>
        <w:t>及供应商的一切采购活动均参考《政府采购法》及医院的采购制度。</w:t>
      </w:r>
    </w:p>
    <w:p>
      <w:pPr>
        <w:pStyle w:val="10"/>
        <w:adjustRightInd w:val="0"/>
        <w:snapToGrid w:val="0"/>
        <w:spacing w:line="360" w:lineRule="auto"/>
        <w:ind w:firstLine="480" w:firstLineChars="200"/>
        <w:rPr>
          <w:rFonts w:hint="eastAsia" w:ascii="仿宋" w:hAnsi="仿宋" w:eastAsia="仿宋" w:cs="仿宋"/>
          <w:b/>
          <w:color w:val="auto"/>
          <w:sz w:val="28"/>
          <w:szCs w:val="28"/>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单位负责人为同一人或者存在直接控股、管理关系的不同供应商，不得参加同一合同项下的采购活动。</w:t>
      </w:r>
      <w:r>
        <w:rPr>
          <w:rFonts w:hint="eastAsia" w:ascii="仿宋" w:hAnsi="仿宋" w:eastAsia="仿宋" w:cs="仿宋"/>
          <w:color w:val="auto"/>
          <w:kern w:val="0"/>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kern w:val="0"/>
          <w:sz w:val="24"/>
          <w:highlight w:val="none"/>
        </w:rPr>
        <w:t>存在以上情形的供应商应主动予以回避，否则自行承担相应的法律责任及后果。</w:t>
      </w:r>
    </w:p>
    <w:p>
      <w:pPr>
        <w:autoSpaceDE w:val="0"/>
        <w:autoSpaceDN w:val="0"/>
        <w:adjustRightInd w:val="0"/>
        <w:snapToGrid w:val="0"/>
        <w:spacing w:line="360" w:lineRule="auto"/>
        <w:ind w:right="32"/>
        <w:jc w:val="both"/>
        <w:rPr>
          <w:rFonts w:hint="eastAsia" w:ascii="仿宋" w:hAnsi="仿宋" w:eastAsia="仿宋" w:cs="仿宋"/>
          <w:b/>
          <w:color w:val="auto"/>
          <w:sz w:val="28"/>
          <w:szCs w:val="28"/>
          <w:highlight w:val="none"/>
        </w:rPr>
      </w:pPr>
    </w:p>
    <w:p>
      <w:pPr>
        <w:autoSpaceDE w:val="0"/>
        <w:autoSpaceDN w:val="0"/>
        <w:adjustRightInd w:val="0"/>
        <w:snapToGrid w:val="0"/>
        <w:spacing w:line="360" w:lineRule="auto"/>
        <w:ind w:right="32"/>
        <w:jc w:val="both"/>
        <w:rPr>
          <w:rFonts w:hint="eastAsia" w:ascii="仿宋" w:hAnsi="仿宋" w:eastAsia="仿宋" w:cs="仿宋"/>
          <w:b/>
          <w:color w:val="auto"/>
          <w:sz w:val="28"/>
          <w:szCs w:val="28"/>
          <w:highlight w:val="none"/>
        </w:rPr>
      </w:pPr>
    </w:p>
    <w:p>
      <w:pPr>
        <w:pStyle w:val="2"/>
        <w:rPr>
          <w:rFonts w:hint="eastAsia" w:ascii="仿宋" w:hAnsi="仿宋" w:eastAsia="仿宋" w:cs="仿宋"/>
          <w:b/>
          <w:color w:val="auto"/>
          <w:sz w:val="28"/>
          <w:szCs w:val="28"/>
          <w:highlight w:val="none"/>
        </w:rPr>
      </w:pPr>
    </w:p>
    <w:p>
      <w:pPr>
        <w:pStyle w:val="21"/>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p>
    <w:p>
      <w:pPr>
        <w:pStyle w:val="2"/>
        <w:rPr>
          <w:rFonts w:hint="eastAsia" w:ascii="仿宋" w:hAnsi="仿宋" w:eastAsia="仿宋" w:cs="仿宋"/>
          <w:b/>
          <w:color w:val="auto"/>
          <w:sz w:val="28"/>
          <w:szCs w:val="28"/>
          <w:highlight w:val="none"/>
        </w:rPr>
      </w:pPr>
    </w:p>
    <w:p>
      <w:pPr>
        <w:pStyle w:val="21"/>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p>
    <w:p>
      <w:pPr>
        <w:pStyle w:val="2"/>
        <w:rPr>
          <w:rFonts w:hint="eastAsia" w:ascii="仿宋" w:hAnsi="仿宋" w:eastAsia="仿宋" w:cs="仿宋"/>
          <w:b/>
          <w:color w:val="auto"/>
          <w:sz w:val="28"/>
          <w:szCs w:val="28"/>
          <w:highlight w:val="none"/>
        </w:rPr>
      </w:pPr>
    </w:p>
    <w:p>
      <w:pPr>
        <w:pStyle w:val="21"/>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p>
    <w:p>
      <w:pPr>
        <w:pStyle w:val="2"/>
        <w:rPr>
          <w:rFonts w:hint="eastAsia" w:ascii="仿宋" w:hAnsi="仿宋" w:eastAsia="仿宋" w:cs="仿宋"/>
          <w:b/>
          <w:color w:val="auto"/>
          <w:sz w:val="28"/>
          <w:szCs w:val="28"/>
          <w:highlight w:val="none"/>
        </w:rPr>
      </w:pPr>
    </w:p>
    <w:p>
      <w:pPr>
        <w:pStyle w:val="21"/>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p>
    <w:p>
      <w:pPr>
        <w:pStyle w:val="2"/>
        <w:rPr>
          <w:rFonts w:hint="eastAsia" w:ascii="仿宋" w:hAnsi="仿宋" w:eastAsia="仿宋" w:cs="仿宋"/>
          <w:b/>
          <w:color w:val="auto"/>
          <w:sz w:val="28"/>
          <w:szCs w:val="28"/>
          <w:highlight w:val="none"/>
        </w:rPr>
      </w:pPr>
    </w:p>
    <w:p>
      <w:pPr>
        <w:pStyle w:val="21"/>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p>
    <w:p>
      <w:pPr>
        <w:pStyle w:val="2"/>
        <w:rPr>
          <w:rFonts w:hint="eastAsia" w:ascii="仿宋" w:hAnsi="仿宋" w:eastAsia="仿宋" w:cs="仿宋"/>
          <w:b/>
          <w:color w:val="auto"/>
          <w:sz w:val="28"/>
          <w:szCs w:val="28"/>
          <w:highlight w:val="none"/>
        </w:rPr>
      </w:pPr>
    </w:p>
    <w:p>
      <w:pPr>
        <w:pStyle w:val="21"/>
        <w:rPr>
          <w:rFonts w:hint="eastAsia" w:ascii="仿宋" w:hAnsi="仿宋" w:eastAsia="仿宋" w:cs="仿宋"/>
          <w:b/>
          <w:color w:val="auto"/>
          <w:sz w:val="28"/>
          <w:szCs w:val="28"/>
          <w:highlight w:val="none"/>
        </w:rPr>
      </w:pPr>
    </w:p>
    <w:p>
      <w:pPr>
        <w:rPr>
          <w:rFonts w:hint="eastAsia"/>
        </w:rPr>
      </w:pPr>
    </w:p>
    <w:p>
      <w:pPr>
        <w:autoSpaceDE w:val="0"/>
        <w:autoSpaceDN w:val="0"/>
        <w:adjustRightInd w:val="0"/>
        <w:snapToGrid w:val="0"/>
        <w:spacing w:line="360" w:lineRule="auto"/>
        <w:ind w:right="32" w:firstLine="562" w:firstLineChars="200"/>
        <w:jc w:val="center"/>
        <w:rPr>
          <w:rFonts w:hint="eastAsia" w:ascii="仿宋" w:hAnsi="仿宋" w:eastAsia="仿宋" w:cs="仿宋"/>
          <w:b/>
          <w:color w:val="auto"/>
          <w:sz w:val="28"/>
          <w:szCs w:val="28"/>
          <w:highlight w:val="none"/>
        </w:rPr>
      </w:pPr>
    </w:p>
    <w:p>
      <w:pPr>
        <w:autoSpaceDE w:val="0"/>
        <w:autoSpaceDN w:val="0"/>
        <w:adjustRightInd w:val="0"/>
        <w:snapToGrid w:val="0"/>
        <w:spacing w:line="360" w:lineRule="auto"/>
        <w:ind w:right="32" w:firstLine="562" w:firstLineChars="20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第四部分  合同书范本格式</w:t>
      </w:r>
    </w:p>
    <w:p>
      <w:pPr>
        <w:jc w:val="right"/>
        <w:rPr>
          <w:rFonts w:hint="eastAsia" w:ascii="仿宋" w:hAnsi="仿宋" w:eastAsia="仿宋" w:cs="仿宋"/>
          <w:color w:val="auto"/>
          <w:sz w:val="52"/>
          <w:highlight w:val="none"/>
        </w:rPr>
      </w:pPr>
      <w:r>
        <w:rPr>
          <w:rFonts w:hint="eastAsia" w:ascii="仿宋" w:hAnsi="仿宋" w:eastAsia="仿宋" w:cs="仿宋"/>
          <w:b/>
          <w:bCs/>
          <w:color w:val="auto"/>
          <w:sz w:val="24"/>
          <w:highlight w:val="none"/>
        </w:rPr>
        <w:t>合同编号：</w:t>
      </w:r>
    </w:p>
    <w:p>
      <w:pPr>
        <w:snapToGrid w:val="0"/>
        <w:spacing w:line="500" w:lineRule="exact"/>
        <w:jc w:val="center"/>
        <w:rPr>
          <w:rFonts w:hint="eastAsia" w:ascii="仿宋" w:hAnsi="仿宋" w:eastAsia="仿宋" w:cs="仿宋"/>
          <w:b/>
          <w:bCs/>
          <w:color w:val="auto"/>
          <w:sz w:val="48"/>
          <w:szCs w:val="48"/>
          <w:highlight w:val="none"/>
        </w:rPr>
      </w:pPr>
    </w:p>
    <w:p>
      <w:pPr>
        <w:snapToGrid w:val="0"/>
        <w:spacing w:line="500" w:lineRule="exact"/>
        <w:jc w:val="center"/>
        <w:rPr>
          <w:rFonts w:hint="eastAsia" w:ascii="仿宋" w:hAnsi="仿宋" w:eastAsia="仿宋" w:cs="仿宋"/>
          <w:b/>
          <w:bCs/>
          <w:color w:val="auto"/>
          <w:sz w:val="48"/>
          <w:szCs w:val="48"/>
          <w:highlight w:val="none"/>
        </w:rPr>
      </w:pPr>
    </w:p>
    <w:p>
      <w:pPr>
        <w:autoSpaceDE w:val="0"/>
        <w:autoSpaceDN w:val="0"/>
        <w:adjustRightInd w:val="0"/>
        <w:spacing w:before="100" w:beforeAutospacing="1" w:after="100" w:afterAutospacing="1"/>
        <w:ind w:left="2404" w:leftChars="1145"/>
        <w:rPr>
          <w:rFonts w:ascii="仿宋_GB2312" w:hAnsi="仿宋" w:eastAsia="仿宋_GB2312"/>
          <w:b/>
          <w:color w:val="auto"/>
          <w:sz w:val="28"/>
          <w:highlight w:val="none"/>
        </w:rPr>
      </w:pPr>
      <w:r>
        <w:rPr>
          <w:rFonts w:hint="eastAsia" w:ascii="仿宋" w:hAnsi="仿宋" w:eastAsia="仿宋" w:cs="FangSong_GB2312-Identity-H"/>
          <w:b/>
          <w:bCs/>
          <w:color w:val="auto"/>
          <w:spacing w:val="60"/>
          <w:kern w:val="0"/>
          <w:sz w:val="84"/>
          <w:szCs w:val="84"/>
          <w:highlight w:val="none"/>
        </w:rPr>
        <w:t>合同书</w:t>
      </w:r>
    </w:p>
    <w:p>
      <w:pPr>
        <w:snapToGrid w:val="0"/>
        <w:spacing w:line="500" w:lineRule="exact"/>
        <w:jc w:val="both"/>
        <w:rPr>
          <w:rFonts w:hint="eastAsia" w:ascii="仿宋" w:hAnsi="仿宋" w:eastAsia="仿宋" w:cs="仿宋"/>
          <w:b/>
          <w:bCs/>
          <w:color w:val="auto"/>
          <w:sz w:val="48"/>
          <w:szCs w:val="48"/>
          <w:highlight w:val="none"/>
        </w:rPr>
      </w:pPr>
    </w:p>
    <w:p>
      <w:pPr>
        <w:snapToGrid w:val="0"/>
        <w:spacing w:line="500" w:lineRule="exact"/>
        <w:jc w:val="center"/>
        <w:rPr>
          <w:rFonts w:hint="eastAsia" w:ascii="仿宋" w:hAnsi="仿宋" w:eastAsia="仿宋" w:cs="仿宋"/>
          <w:b/>
          <w:bCs/>
          <w:color w:val="auto"/>
          <w:sz w:val="48"/>
          <w:szCs w:val="48"/>
          <w:highlight w:val="none"/>
        </w:rPr>
      </w:pPr>
    </w:p>
    <w:tbl>
      <w:tblPr>
        <w:tblStyle w:val="17"/>
        <w:tblpPr w:leftFromText="180" w:rightFromText="180" w:vertAnchor="text" w:horzAnchor="page" w:tblpX="2876" w:tblpY="387"/>
        <w:tblOverlap w:val="never"/>
        <w:tblW w:w="6629" w:type="dxa"/>
        <w:tblInd w:w="0" w:type="dxa"/>
        <w:tblLayout w:type="fixed"/>
        <w:tblCellMar>
          <w:top w:w="0" w:type="dxa"/>
          <w:left w:w="108" w:type="dxa"/>
          <w:bottom w:w="0" w:type="dxa"/>
          <w:right w:w="108" w:type="dxa"/>
        </w:tblCellMar>
      </w:tblPr>
      <w:tblGrid>
        <w:gridCol w:w="6629"/>
      </w:tblGrid>
      <w:tr>
        <w:tblPrEx>
          <w:tblCellMar>
            <w:top w:w="0" w:type="dxa"/>
            <w:left w:w="108" w:type="dxa"/>
            <w:bottom w:w="0" w:type="dxa"/>
            <w:right w:w="108" w:type="dxa"/>
          </w:tblCellMar>
        </w:tblPrEx>
        <w:trPr>
          <w:trHeight w:val="446" w:hRule="atLeast"/>
        </w:trPr>
        <w:tc>
          <w:tcPr>
            <w:tcW w:w="6629" w:type="dxa"/>
          </w:tcPr>
          <w:p>
            <w:pPr>
              <w:pStyle w:val="10"/>
              <w:spacing w:line="800" w:lineRule="exact"/>
              <w:jc w:val="left"/>
              <w:rPr>
                <w:rFonts w:hint="eastAsia" w:ascii="宋体" w:hAnsi="宋体" w:eastAsia="宋体"/>
                <w:b/>
                <w:color w:val="auto"/>
                <w:sz w:val="30"/>
                <w:szCs w:val="30"/>
                <w:highlight w:val="none"/>
                <w:lang w:eastAsia="zh-CN"/>
              </w:rPr>
            </w:pPr>
          </w:p>
          <w:p>
            <w:pPr>
              <w:pStyle w:val="10"/>
              <w:spacing w:line="800" w:lineRule="exact"/>
              <w:jc w:val="left"/>
              <w:rPr>
                <w:rFonts w:hint="eastAsia" w:ascii="宋体" w:hAnsi="宋体" w:eastAsia="宋体"/>
                <w:b/>
                <w:color w:val="auto"/>
                <w:sz w:val="30"/>
                <w:szCs w:val="30"/>
                <w:highlight w:val="none"/>
                <w:lang w:eastAsia="zh-CN"/>
              </w:rPr>
            </w:pPr>
            <w:r>
              <w:rPr>
                <w:rFonts w:hint="eastAsia" w:ascii="宋体" w:hAnsi="宋体" w:eastAsia="宋体"/>
                <w:b/>
                <w:color w:val="auto"/>
                <w:sz w:val="30"/>
                <w:szCs w:val="30"/>
                <w:highlight w:val="none"/>
                <w:lang w:eastAsia="zh-CN"/>
              </w:rPr>
              <w:t>采购编号：</w:t>
            </w:r>
          </w:p>
          <w:p>
            <w:pPr>
              <w:pStyle w:val="10"/>
              <w:spacing w:line="800" w:lineRule="exact"/>
              <w:jc w:val="left"/>
              <w:rPr>
                <w:rFonts w:hint="eastAsia" w:hAnsi="宋体"/>
                <w:b/>
                <w:color w:val="auto"/>
                <w:sz w:val="30"/>
                <w:szCs w:val="30"/>
                <w:highlight w:val="none"/>
              </w:rPr>
            </w:pPr>
            <w:r>
              <w:rPr>
                <w:rFonts w:hint="eastAsia" w:hAnsi="宋体"/>
                <w:b/>
                <w:color w:val="auto"/>
                <w:sz w:val="30"/>
                <w:szCs w:val="30"/>
                <w:highlight w:val="none"/>
              </w:rPr>
              <w:t>项目名称：</w:t>
            </w:r>
          </w:p>
          <w:p>
            <w:pPr>
              <w:pStyle w:val="10"/>
              <w:spacing w:line="800" w:lineRule="exact"/>
              <w:jc w:val="left"/>
              <w:rPr>
                <w:rFonts w:hint="eastAsia" w:hAnsi="宋体" w:cs="Times New Roman"/>
                <w:b/>
                <w:bCs/>
                <w:color w:val="auto"/>
                <w:sz w:val="30"/>
                <w:szCs w:val="30"/>
                <w:highlight w:val="none"/>
              </w:rPr>
            </w:pPr>
            <w:r>
              <w:rPr>
                <w:rFonts w:hint="eastAsia" w:hAnsi="宋体" w:cs="Times New Roman"/>
                <w:b/>
                <w:bCs/>
                <w:color w:val="auto"/>
                <w:sz w:val="30"/>
                <w:szCs w:val="30"/>
                <w:highlight w:val="none"/>
              </w:rPr>
              <w:t>甲</w:t>
            </w:r>
            <w:r>
              <w:rPr>
                <w:rFonts w:hint="eastAsia" w:hAnsi="宋体" w:cs="Times New Roman"/>
                <w:b/>
                <w:bCs/>
                <w:color w:val="auto"/>
                <w:sz w:val="30"/>
                <w:szCs w:val="30"/>
                <w:highlight w:val="none"/>
                <w:lang w:val="en-US" w:eastAsia="zh-CN"/>
              </w:rPr>
              <w:t xml:space="preserve">    </w:t>
            </w:r>
            <w:r>
              <w:rPr>
                <w:rFonts w:hint="eastAsia" w:hAnsi="宋体" w:cs="Times New Roman"/>
                <w:b/>
                <w:bCs/>
                <w:color w:val="auto"/>
                <w:sz w:val="30"/>
                <w:szCs w:val="30"/>
                <w:highlight w:val="none"/>
              </w:rPr>
              <w:t>方：</w:t>
            </w:r>
          </w:p>
          <w:p>
            <w:pPr>
              <w:pStyle w:val="10"/>
              <w:spacing w:line="800" w:lineRule="exact"/>
              <w:jc w:val="left"/>
              <w:rPr>
                <w:rFonts w:hint="eastAsia" w:hAnsi="宋体" w:cs="Times New Roman"/>
                <w:b/>
                <w:bCs/>
                <w:color w:val="auto"/>
                <w:sz w:val="30"/>
                <w:szCs w:val="30"/>
                <w:highlight w:val="none"/>
              </w:rPr>
            </w:pPr>
            <w:r>
              <w:rPr>
                <w:rFonts w:hint="eastAsia" w:hAnsi="宋体" w:cs="Times New Roman"/>
                <w:b/>
                <w:bCs/>
                <w:color w:val="auto"/>
                <w:sz w:val="30"/>
                <w:szCs w:val="30"/>
                <w:highlight w:val="none"/>
              </w:rPr>
              <w:t>乙</w:t>
            </w:r>
            <w:r>
              <w:rPr>
                <w:rFonts w:hint="eastAsia" w:hAnsi="宋体" w:cs="Times New Roman"/>
                <w:b/>
                <w:bCs/>
                <w:color w:val="auto"/>
                <w:sz w:val="30"/>
                <w:szCs w:val="30"/>
                <w:highlight w:val="none"/>
                <w:lang w:val="en-US" w:eastAsia="zh-CN"/>
              </w:rPr>
              <w:t xml:space="preserve">    </w:t>
            </w:r>
            <w:r>
              <w:rPr>
                <w:rFonts w:hint="eastAsia" w:hAnsi="宋体" w:cs="Times New Roman"/>
                <w:b/>
                <w:bCs/>
                <w:color w:val="auto"/>
                <w:sz w:val="30"/>
                <w:szCs w:val="30"/>
                <w:highlight w:val="none"/>
              </w:rPr>
              <w:t>方：</w:t>
            </w:r>
          </w:p>
          <w:p>
            <w:pPr>
              <w:pStyle w:val="10"/>
              <w:spacing w:line="800" w:lineRule="exact"/>
              <w:jc w:val="left"/>
              <w:rPr>
                <w:rFonts w:hint="eastAsia" w:hAnsi="宋体" w:cs="Times New Roman"/>
                <w:b/>
                <w:bCs/>
                <w:color w:val="auto"/>
                <w:sz w:val="30"/>
                <w:szCs w:val="30"/>
                <w:highlight w:val="none"/>
                <w:lang w:eastAsia="zh-CN"/>
              </w:rPr>
            </w:pPr>
          </w:p>
          <w:p>
            <w:pPr>
              <w:tabs>
                <w:tab w:val="left" w:pos="720"/>
              </w:tabs>
              <w:spacing w:line="360" w:lineRule="auto"/>
              <w:rPr>
                <w:rFonts w:ascii="宋体"/>
                <w:b/>
                <w:color w:val="auto"/>
                <w:sz w:val="30"/>
                <w:szCs w:val="30"/>
                <w:highlight w:val="none"/>
              </w:rPr>
            </w:pPr>
          </w:p>
        </w:tc>
      </w:tr>
    </w:tbl>
    <w:p>
      <w:pPr>
        <w:snapToGrid w:val="0"/>
        <w:spacing w:line="500" w:lineRule="exact"/>
        <w:jc w:val="center"/>
        <w:rPr>
          <w:rFonts w:hint="eastAsia" w:ascii="仿宋" w:hAnsi="仿宋" w:eastAsia="仿宋" w:cs="仿宋"/>
          <w:b/>
          <w:bCs/>
          <w:color w:val="auto"/>
          <w:sz w:val="48"/>
          <w:szCs w:val="48"/>
          <w:highlight w:val="none"/>
        </w:rPr>
      </w:pPr>
    </w:p>
    <w:p>
      <w:pPr>
        <w:snapToGrid w:val="0"/>
        <w:spacing w:line="500" w:lineRule="exact"/>
        <w:jc w:val="center"/>
        <w:rPr>
          <w:rFonts w:hint="eastAsia" w:ascii="仿宋" w:hAnsi="仿宋" w:eastAsia="仿宋" w:cs="仿宋"/>
          <w:b/>
          <w:bCs/>
          <w:color w:val="auto"/>
          <w:sz w:val="48"/>
          <w:szCs w:val="48"/>
          <w:highlight w:val="none"/>
        </w:rPr>
      </w:pPr>
    </w:p>
    <w:p>
      <w:pPr>
        <w:snapToGrid w:val="0"/>
        <w:spacing w:line="500" w:lineRule="exact"/>
        <w:jc w:val="center"/>
        <w:rPr>
          <w:rFonts w:hint="eastAsia" w:ascii="仿宋" w:hAnsi="仿宋" w:eastAsia="仿宋" w:cs="仿宋"/>
          <w:b/>
          <w:bCs/>
          <w:color w:val="auto"/>
          <w:sz w:val="48"/>
          <w:szCs w:val="48"/>
          <w:highlight w:val="none"/>
        </w:rPr>
      </w:pPr>
    </w:p>
    <w:p>
      <w:pPr>
        <w:snapToGrid w:val="0"/>
        <w:spacing w:line="500" w:lineRule="exact"/>
        <w:jc w:val="center"/>
        <w:rPr>
          <w:rFonts w:hint="eastAsia" w:ascii="仿宋" w:hAnsi="仿宋" w:eastAsia="仿宋" w:cs="仿宋"/>
          <w:b/>
          <w:bCs/>
          <w:color w:val="auto"/>
          <w:sz w:val="48"/>
          <w:szCs w:val="48"/>
          <w:highlight w:val="none"/>
        </w:rPr>
      </w:pPr>
    </w:p>
    <w:p>
      <w:pPr>
        <w:snapToGrid w:val="0"/>
        <w:spacing w:line="500" w:lineRule="exact"/>
        <w:jc w:val="center"/>
        <w:rPr>
          <w:rFonts w:hint="eastAsia" w:ascii="仿宋" w:hAnsi="仿宋" w:eastAsia="仿宋" w:cs="仿宋"/>
          <w:b/>
          <w:bCs/>
          <w:color w:val="auto"/>
          <w:sz w:val="48"/>
          <w:szCs w:val="48"/>
          <w:highlight w:val="none"/>
        </w:rPr>
      </w:pPr>
    </w:p>
    <w:p>
      <w:pPr>
        <w:snapToGrid w:val="0"/>
        <w:spacing w:line="500" w:lineRule="exact"/>
        <w:jc w:val="center"/>
        <w:rPr>
          <w:rFonts w:hint="eastAsia" w:ascii="仿宋" w:hAnsi="仿宋" w:eastAsia="仿宋" w:cs="仿宋"/>
          <w:b/>
          <w:bCs/>
          <w:color w:val="auto"/>
          <w:sz w:val="48"/>
          <w:szCs w:val="48"/>
          <w:highlight w:val="none"/>
        </w:rPr>
      </w:pPr>
    </w:p>
    <w:p>
      <w:pPr>
        <w:snapToGrid w:val="0"/>
        <w:spacing w:line="500" w:lineRule="exact"/>
        <w:jc w:val="center"/>
        <w:rPr>
          <w:rFonts w:hint="eastAsia" w:ascii="仿宋" w:hAnsi="仿宋" w:eastAsia="仿宋" w:cs="仿宋"/>
          <w:b/>
          <w:bCs/>
          <w:color w:val="auto"/>
          <w:sz w:val="48"/>
          <w:szCs w:val="48"/>
          <w:highlight w:val="none"/>
        </w:rPr>
      </w:pPr>
    </w:p>
    <w:p>
      <w:pPr>
        <w:snapToGrid w:val="0"/>
        <w:spacing w:line="500" w:lineRule="exact"/>
        <w:jc w:val="center"/>
        <w:rPr>
          <w:rFonts w:hint="eastAsia" w:ascii="仿宋" w:hAnsi="仿宋" w:eastAsia="仿宋" w:cs="仿宋"/>
          <w:b/>
          <w:bCs/>
          <w:color w:val="auto"/>
          <w:sz w:val="48"/>
          <w:szCs w:val="48"/>
          <w:highlight w:val="none"/>
        </w:rPr>
      </w:pPr>
    </w:p>
    <w:p>
      <w:pPr>
        <w:snapToGrid w:val="0"/>
        <w:spacing w:line="500" w:lineRule="exact"/>
        <w:jc w:val="center"/>
        <w:rPr>
          <w:rFonts w:hint="eastAsia" w:ascii="仿宋" w:hAnsi="仿宋" w:eastAsia="仿宋" w:cs="仿宋"/>
          <w:b/>
          <w:bCs/>
          <w:color w:val="auto"/>
          <w:sz w:val="48"/>
          <w:szCs w:val="48"/>
          <w:highlight w:val="none"/>
        </w:rPr>
      </w:pPr>
    </w:p>
    <w:p>
      <w:pPr>
        <w:snapToGrid w:val="0"/>
        <w:spacing w:line="500" w:lineRule="exact"/>
        <w:jc w:val="center"/>
        <w:rPr>
          <w:rFonts w:hint="eastAsia" w:ascii="仿宋" w:hAnsi="仿宋" w:eastAsia="仿宋" w:cs="仿宋"/>
          <w:b/>
          <w:bCs/>
          <w:color w:val="auto"/>
          <w:sz w:val="48"/>
          <w:szCs w:val="48"/>
          <w:highlight w:val="none"/>
        </w:rPr>
      </w:pPr>
    </w:p>
    <w:p>
      <w:pPr>
        <w:snapToGrid w:val="0"/>
        <w:spacing w:line="500" w:lineRule="exact"/>
        <w:jc w:val="center"/>
        <w:rPr>
          <w:rFonts w:hint="eastAsia" w:ascii="仿宋" w:hAnsi="仿宋" w:eastAsia="仿宋" w:cs="仿宋"/>
          <w:b/>
          <w:bCs/>
          <w:color w:val="auto"/>
          <w:sz w:val="48"/>
          <w:szCs w:val="48"/>
          <w:highlight w:val="none"/>
        </w:rPr>
      </w:pPr>
    </w:p>
    <w:p>
      <w:pPr>
        <w:snapToGrid w:val="0"/>
        <w:spacing w:line="500" w:lineRule="exact"/>
        <w:jc w:val="center"/>
        <w:rPr>
          <w:rFonts w:hint="eastAsia" w:ascii="仿宋" w:hAnsi="仿宋" w:eastAsia="仿宋" w:cs="仿宋"/>
          <w:b/>
          <w:bCs/>
          <w:color w:val="auto"/>
          <w:sz w:val="48"/>
          <w:szCs w:val="48"/>
          <w:highlight w:val="none"/>
        </w:rPr>
      </w:pPr>
    </w:p>
    <w:p>
      <w:pPr>
        <w:snapToGrid w:val="0"/>
        <w:spacing w:line="500" w:lineRule="exact"/>
        <w:jc w:val="center"/>
        <w:rPr>
          <w:rFonts w:hint="eastAsia" w:ascii="仿宋" w:hAnsi="仿宋" w:eastAsia="仿宋" w:cs="仿宋"/>
          <w:b/>
          <w:bCs/>
          <w:color w:val="auto"/>
          <w:sz w:val="48"/>
          <w:szCs w:val="48"/>
          <w:highlight w:val="none"/>
        </w:rPr>
      </w:pPr>
    </w:p>
    <w:p>
      <w:pPr>
        <w:snapToGrid w:val="0"/>
        <w:spacing w:line="500" w:lineRule="exact"/>
        <w:jc w:val="center"/>
        <w:rPr>
          <w:rFonts w:hint="eastAsia" w:ascii="仿宋" w:hAnsi="仿宋" w:eastAsia="仿宋" w:cs="仿宋"/>
          <w:b/>
          <w:bCs/>
          <w:color w:val="auto"/>
          <w:sz w:val="48"/>
          <w:szCs w:val="48"/>
          <w:highlight w:val="none"/>
        </w:rPr>
      </w:pPr>
    </w:p>
    <w:p>
      <w:pPr>
        <w:snapToGrid w:val="0"/>
        <w:spacing w:line="500" w:lineRule="exact"/>
        <w:jc w:val="center"/>
        <w:rPr>
          <w:rFonts w:hint="eastAsia" w:ascii="仿宋" w:hAnsi="仿宋" w:eastAsia="仿宋" w:cs="仿宋"/>
          <w:b/>
          <w:bCs/>
          <w:color w:val="auto"/>
          <w:sz w:val="48"/>
          <w:szCs w:val="48"/>
          <w:highlight w:val="none"/>
        </w:rPr>
      </w:pPr>
    </w:p>
    <w:p>
      <w:pPr>
        <w:autoSpaceDE w:val="0"/>
        <w:autoSpaceDN w:val="0"/>
        <w:adjustRightInd w:val="0"/>
        <w:snapToGrid w:val="0"/>
        <w:spacing w:line="440" w:lineRule="exact"/>
        <w:ind w:right="34" w:hanging="238"/>
        <w:jc w:val="center"/>
        <w:rPr>
          <w:rFonts w:hint="eastAsia" w:ascii="仿宋" w:hAnsi="仿宋" w:eastAsia="仿宋" w:cs="仿宋"/>
          <w:b/>
          <w:color w:val="auto"/>
          <w:sz w:val="28"/>
          <w:szCs w:val="28"/>
          <w:highlight w:val="none"/>
        </w:rPr>
      </w:pPr>
      <w:r>
        <w:rPr>
          <w:rFonts w:hint="eastAsia" w:ascii="仿宋" w:hAnsi="仿宋" w:eastAsia="仿宋"/>
          <w:b/>
          <w:color w:val="auto"/>
          <w:sz w:val="24"/>
          <w:highlight w:val="none"/>
        </w:rPr>
        <w:t>注：本合同仅为合同的参考文本，合同签订双方可根据项目的具体要求进行修订。</w:t>
      </w:r>
    </w:p>
    <w:p>
      <w:pPr>
        <w:rPr>
          <w:rFonts w:hint="eastAsia"/>
          <w:highlight w:val="none"/>
        </w:rPr>
      </w:pPr>
    </w:p>
    <w:p>
      <w:pPr>
        <w:pStyle w:val="2"/>
        <w:rPr>
          <w:rFonts w:hint="eastAsia"/>
        </w:rPr>
      </w:pPr>
    </w:p>
    <w:p>
      <w:pPr>
        <w:snapToGrid w:val="0"/>
        <w:spacing w:line="500" w:lineRule="exact"/>
        <w:jc w:val="center"/>
        <w:rPr>
          <w:rFonts w:hint="eastAsia" w:ascii="宋体"/>
          <w:bCs/>
          <w:color w:val="auto"/>
          <w:sz w:val="24"/>
          <w:highlight w:val="none"/>
          <w:lang w:eastAsia="zh-CN"/>
        </w:rPr>
      </w:pPr>
      <w:r>
        <w:rPr>
          <w:rFonts w:hint="eastAsia" w:ascii="宋体"/>
          <w:b/>
          <w:bCs w:val="0"/>
          <w:color w:val="auto"/>
          <w:sz w:val="44"/>
          <w:szCs w:val="44"/>
          <w:highlight w:val="none"/>
          <w:lang w:eastAsia="zh-CN"/>
        </w:rPr>
        <w:t>合</w:t>
      </w:r>
      <w:r>
        <w:rPr>
          <w:rFonts w:hint="eastAsia" w:ascii="宋体"/>
          <w:b/>
          <w:bCs w:val="0"/>
          <w:color w:val="auto"/>
          <w:sz w:val="44"/>
          <w:szCs w:val="44"/>
          <w:highlight w:val="none"/>
          <w:lang w:val="en-US" w:eastAsia="zh-CN"/>
        </w:rPr>
        <w:t xml:space="preserve"> </w:t>
      </w:r>
      <w:r>
        <w:rPr>
          <w:rFonts w:hint="eastAsia" w:ascii="宋体"/>
          <w:b/>
          <w:bCs w:val="0"/>
          <w:color w:val="auto"/>
          <w:sz w:val="44"/>
          <w:szCs w:val="44"/>
          <w:highlight w:val="none"/>
          <w:lang w:eastAsia="zh-CN"/>
        </w:rPr>
        <w:t>同</w:t>
      </w:r>
    </w:p>
    <w:p>
      <w:pPr>
        <w:snapToGrid w:val="0"/>
        <w:spacing w:line="500" w:lineRule="exact"/>
        <w:rPr>
          <w:rFonts w:hint="eastAsia" w:ascii="宋体" w:hAnsi="宋体" w:eastAsia="宋体" w:cs="宋体"/>
          <w:b/>
          <w:bCs/>
          <w:color w:val="auto"/>
          <w:sz w:val="24"/>
          <w:highlight w:val="yellow"/>
        </w:rPr>
      </w:pPr>
    </w:p>
    <w:p>
      <w:pPr>
        <w:snapToGrid w:val="0"/>
        <w:spacing w:line="500" w:lineRule="exact"/>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甲方：</w:t>
      </w:r>
      <w:r>
        <w:rPr>
          <w:rFonts w:hint="eastAsia" w:ascii="宋体" w:hAnsi="宋体" w:eastAsia="宋体" w:cs="宋体"/>
          <w:b/>
          <w:bCs/>
          <w:color w:val="auto"/>
          <w:sz w:val="24"/>
          <w:highlight w:val="none"/>
          <w:lang w:eastAsia="zh-CN"/>
        </w:rPr>
        <w:t xml:space="preserve">惠州市第一妇幼保健院 </w:t>
      </w:r>
    </w:p>
    <w:p>
      <w:pPr>
        <w:snapToGrid w:val="0"/>
        <w:spacing w:line="500" w:lineRule="exact"/>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eastAsia="zh-CN"/>
        </w:rPr>
        <w:t>乙方：</w:t>
      </w:r>
      <w:r>
        <w:rPr>
          <w:rFonts w:hint="eastAsia" w:ascii="宋体" w:hAnsi="宋体" w:eastAsia="宋体" w:cs="宋体"/>
          <w:color w:val="auto"/>
          <w:sz w:val="24"/>
          <w:highlight w:val="none"/>
        </w:rPr>
        <w:t xml:space="preserve">            </w:t>
      </w:r>
    </w:p>
    <w:p>
      <w:pPr>
        <w:snapToGrid w:val="0"/>
        <w:spacing w:line="5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采购</w:t>
      </w: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项目编号：</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的成交结果，按照</w:t>
      </w:r>
      <w:r>
        <w:rPr>
          <w:rFonts w:hint="eastAsia" w:ascii="宋体" w:hAnsi="宋体" w:cs="宋体"/>
          <w:color w:val="auto"/>
          <w:sz w:val="24"/>
          <w:highlight w:val="none"/>
          <w:lang w:eastAsia="zh-CN"/>
        </w:rPr>
        <w:t>《政府采购法》</w:t>
      </w:r>
      <w:r>
        <w:rPr>
          <w:rFonts w:hint="eastAsia" w:ascii="宋体" w:hAnsi="宋体" w:eastAsia="宋体" w:cs="宋体"/>
          <w:color w:val="auto"/>
          <w:sz w:val="24"/>
          <w:highlight w:val="none"/>
        </w:rPr>
        <w:t>《中华人民共和国民法典》</w:t>
      </w:r>
      <w:r>
        <w:rPr>
          <w:rFonts w:hint="eastAsia" w:ascii="宋体" w:hAnsi="宋体" w:eastAsia="宋体" w:cs="宋体"/>
          <w:color w:val="auto"/>
          <w:sz w:val="24"/>
          <w:highlight w:val="none"/>
          <w:lang w:eastAsia="zh-CN"/>
        </w:rPr>
        <w:t>《中华人民共和国招标投标法》</w:t>
      </w:r>
      <w:r>
        <w:rPr>
          <w:rFonts w:hint="eastAsia" w:ascii="宋体" w:hAnsi="宋体" w:eastAsia="宋体" w:cs="宋体"/>
          <w:color w:val="auto"/>
          <w:sz w:val="24"/>
          <w:highlight w:val="none"/>
          <w:lang w:val="en-US" w:eastAsia="zh-CN"/>
        </w:rPr>
        <w:t>的规定</w:t>
      </w:r>
      <w:r>
        <w:rPr>
          <w:rFonts w:hint="eastAsia" w:ascii="宋体" w:hAnsi="宋体" w:eastAsia="宋体" w:cs="宋体"/>
          <w:color w:val="auto"/>
          <w:sz w:val="24"/>
          <w:highlight w:val="none"/>
        </w:rPr>
        <w:t>，经双方协商，本着平等互利和诚实信用的原则，一致同意签订本合同如下。</w:t>
      </w:r>
    </w:p>
    <w:p>
      <w:pPr>
        <w:numPr>
          <w:ilvl w:val="0"/>
          <w:numId w:val="6"/>
        </w:numPr>
        <w:autoSpaceDE w:val="0"/>
        <w:autoSpaceDN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服务</w:t>
      </w:r>
      <w:r>
        <w:rPr>
          <w:rFonts w:hint="eastAsia" w:ascii="宋体" w:hAnsi="宋体" w:eastAsia="宋体" w:cs="宋体"/>
          <w:b/>
          <w:color w:val="auto"/>
          <w:sz w:val="24"/>
          <w:highlight w:val="none"/>
        </w:rPr>
        <w:t>内容</w:t>
      </w:r>
      <w:r>
        <w:rPr>
          <w:rFonts w:hint="eastAsia" w:ascii="宋体" w:hAnsi="宋体" w:eastAsia="宋体" w:cs="宋体"/>
          <w:b/>
          <w:color w:val="auto"/>
          <w:sz w:val="24"/>
          <w:highlight w:val="none"/>
          <w:lang w:eastAsia="zh-CN"/>
        </w:rPr>
        <w:t>与要求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413"/>
        <w:gridCol w:w="6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39" w:type="dxa"/>
            <w:vAlign w:val="center"/>
          </w:tcPr>
          <w:p>
            <w:pPr>
              <w:pStyle w:val="2"/>
              <w:keepNext w:val="0"/>
              <w:keepLines w:val="0"/>
              <w:pageBreakBefore w:val="0"/>
              <w:kinsoku/>
              <w:wordWrap/>
              <w:overflowPunct/>
              <w:topLinePunct w:val="0"/>
              <w:bidi w:val="0"/>
              <w:adjustRightInd/>
              <w:snapToGrid/>
              <w:spacing w:line="240" w:lineRule="auto"/>
              <w:jc w:val="center"/>
              <w:rPr>
                <w:rFonts w:hint="eastAsia" w:asciiTheme="minorEastAsia" w:hAnsiTheme="minorEastAsia" w:eastAsiaTheme="minorEastAsia" w:cstheme="minorEastAsia"/>
                <w:color w:val="auto"/>
                <w:sz w:val="24"/>
                <w:highlight w:val="none"/>
                <w:vertAlign w:val="baseline"/>
                <w:lang w:val="en-US" w:eastAsia="zh-CN"/>
              </w:rPr>
            </w:pPr>
            <w:r>
              <w:rPr>
                <w:rFonts w:hint="eastAsia" w:asciiTheme="minorEastAsia" w:hAnsiTheme="minorEastAsia" w:eastAsiaTheme="minorEastAsia" w:cstheme="minorEastAsia"/>
                <w:color w:val="auto"/>
                <w:sz w:val="24"/>
                <w:highlight w:val="none"/>
                <w:lang w:val="en-US" w:eastAsia="zh-CN"/>
              </w:rPr>
              <w:t>序号</w:t>
            </w:r>
          </w:p>
        </w:tc>
        <w:tc>
          <w:tcPr>
            <w:tcW w:w="1413" w:type="dxa"/>
            <w:vAlign w:val="center"/>
          </w:tcPr>
          <w:p>
            <w:pPr>
              <w:pStyle w:val="2"/>
              <w:keepNext w:val="0"/>
              <w:keepLines w:val="0"/>
              <w:pageBreakBefore w:val="0"/>
              <w:kinsoku/>
              <w:wordWrap/>
              <w:overflowPunct/>
              <w:topLinePunct w:val="0"/>
              <w:bidi w:val="0"/>
              <w:adjustRightInd/>
              <w:snapToGrid/>
              <w:spacing w:line="24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vertAlign w:val="baseline"/>
                <w:lang w:val="en-US" w:eastAsia="zh-CN"/>
              </w:rPr>
              <w:t>内容、要求</w:t>
            </w:r>
          </w:p>
        </w:tc>
        <w:tc>
          <w:tcPr>
            <w:tcW w:w="6370" w:type="dxa"/>
            <w:vAlign w:val="center"/>
          </w:tcPr>
          <w:p>
            <w:pPr>
              <w:pStyle w:val="2"/>
              <w:keepNext w:val="0"/>
              <w:keepLines w:val="0"/>
              <w:pageBreakBefore w:val="0"/>
              <w:numPr>
                <w:ilvl w:val="0"/>
                <w:numId w:val="0"/>
              </w:numPr>
              <w:kinsoku/>
              <w:wordWrap/>
              <w:overflowPunct/>
              <w:topLinePunct w:val="0"/>
              <w:bidi w:val="0"/>
              <w:adjustRightInd/>
              <w:snapToGrid/>
              <w:spacing w:line="240" w:lineRule="auto"/>
              <w:jc w:val="center"/>
              <w:rPr>
                <w:rFonts w:hint="eastAsia" w:asciiTheme="minorEastAsia" w:hAnsiTheme="minorEastAsia" w:eastAsiaTheme="minorEastAsia" w:cstheme="minorEastAsia"/>
                <w:color w:val="auto"/>
                <w:sz w:val="24"/>
                <w:highlight w:val="none"/>
                <w:vertAlign w:val="baseline"/>
                <w:lang w:val="en-US" w:eastAsia="zh-CN"/>
              </w:rPr>
            </w:pPr>
            <w:r>
              <w:rPr>
                <w:rFonts w:hint="eastAsia" w:asciiTheme="minorEastAsia" w:hAnsiTheme="minorEastAsia" w:eastAsiaTheme="minorEastAsia" w:cstheme="minorEastAsia"/>
                <w:color w:val="auto"/>
                <w:sz w:val="24"/>
                <w:highlight w:val="none"/>
                <w:lang w:val="en-US" w:eastAsia="zh-CN"/>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pPr>
              <w:pStyle w:val="2"/>
              <w:keepNext w:val="0"/>
              <w:keepLines w:val="0"/>
              <w:pageBreakBefore w:val="0"/>
              <w:numPr>
                <w:ilvl w:val="0"/>
                <w:numId w:val="0"/>
              </w:numPr>
              <w:kinsoku/>
              <w:wordWrap/>
              <w:overflowPunct/>
              <w:topLinePunct w:val="0"/>
              <w:bidi w:val="0"/>
              <w:adjustRightInd/>
              <w:snapToGrid/>
              <w:spacing w:line="24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招标采购代理服务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restart"/>
            <w:vAlign w:val="center"/>
          </w:tcPr>
          <w:p>
            <w:pPr>
              <w:pStyle w:val="2"/>
              <w:keepNext w:val="0"/>
              <w:keepLines w:val="0"/>
              <w:pageBreakBefore w:val="0"/>
              <w:kinsoku/>
              <w:wordWrap/>
              <w:overflowPunct/>
              <w:topLinePunct w:val="0"/>
              <w:bidi w:val="0"/>
              <w:adjustRightInd/>
              <w:snapToGrid/>
              <w:spacing w:line="240" w:lineRule="auto"/>
              <w:jc w:val="center"/>
              <w:rPr>
                <w:rFonts w:hint="eastAsia" w:asciiTheme="minorEastAsia" w:hAnsiTheme="minorEastAsia" w:eastAsiaTheme="minorEastAsia" w:cstheme="minorEastAsia"/>
                <w:color w:val="auto"/>
                <w:sz w:val="24"/>
                <w:highlight w:val="none"/>
                <w:vertAlign w:val="baseline"/>
                <w:lang w:val="en-US" w:eastAsia="zh-CN"/>
              </w:rPr>
            </w:pPr>
            <w:r>
              <w:rPr>
                <w:rFonts w:hint="eastAsia" w:asciiTheme="minorEastAsia" w:hAnsiTheme="minorEastAsia" w:eastAsiaTheme="minorEastAsia" w:cstheme="minorEastAsia"/>
                <w:color w:val="auto"/>
                <w:sz w:val="24"/>
                <w:highlight w:val="none"/>
                <w:vertAlign w:val="baseline"/>
                <w:lang w:val="en-US" w:eastAsia="zh-CN"/>
              </w:rPr>
              <w:t>1</w:t>
            </w:r>
          </w:p>
        </w:tc>
        <w:tc>
          <w:tcPr>
            <w:tcW w:w="1413" w:type="dxa"/>
            <w:vAlign w:val="center"/>
          </w:tcPr>
          <w:p>
            <w:pPr>
              <w:pStyle w:val="2"/>
              <w:keepNext w:val="0"/>
              <w:keepLines w:val="0"/>
              <w:pageBreakBefore w:val="0"/>
              <w:kinsoku/>
              <w:wordWrap/>
              <w:overflowPunct/>
              <w:topLinePunct w:val="0"/>
              <w:bidi w:val="0"/>
              <w:adjustRightInd/>
              <w:snapToGrid/>
              <w:spacing w:line="240" w:lineRule="auto"/>
              <w:jc w:val="center"/>
              <w:rPr>
                <w:rFonts w:hint="eastAsia" w:asciiTheme="minorEastAsia" w:hAnsiTheme="minorEastAsia" w:eastAsiaTheme="minorEastAsia" w:cstheme="minorEastAsia"/>
                <w:color w:val="auto"/>
                <w:sz w:val="24"/>
                <w:highlight w:val="none"/>
                <w:vertAlign w:val="baseline"/>
                <w:lang w:val="en-US" w:eastAsia="zh-CN"/>
              </w:rPr>
            </w:pPr>
            <w:r>
              <w:rPr>
                <w:rFonts w:hint="eastAsia" w:asciiTheme="minorEastAsia" w:hAnsiTheme="minorEastAsia" w:eastAsiaTheme="minorEastAsia" w:cstheme="minorEastAsia"/>
                <w:color w:val="auto"/>
                <w:sz w:val="24"/>
                <w:highlight w:val="none"/>
                <w:lang w:val="en-US" w:eastAsia="zh-CN"/>
              </w:rPr>
              <w:t>服务内容</w:t>
            </w:r>
          </w:p>
        </w:tc>
        <w:tc>
          <w:tcPr>
            <w:tcW w:w="6370" w:type="dxa"/>
          </w:tcPr>
          <w:p>
            <w:pPr>
              <w:pStyle w:val="2"/>
              <w:keepNext w:val="0"/>
              <w:keepLines w:val="0"/>
              <w:pageBreakBefore w:val="0"/>
              <w:numPr>
                <w:ilvl w:val="0"/>
                <w:numId w:val="0"/>
              </w:numPr>
              <w:kinsoku/>
              <w:wordWrap/>
              <w:overflowPunct/>
              <w:topLinePunct w:val="0"/>
              <w:bidi w:val="0"/>
              <w:adjustRightInd/>
              <w:snapToGrid/>
              <w:spacing w:line="240" w:lineRule="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（1）提供：与采购业务相关的法律法规及政策文件咨询;采购项目代理服务及相关工作的咨询服务。</w:t>
            </w:r>
          </w:p>
          <w:p>
            <w:pPr>
              <w:pStyle w:val="2"/>
              <w:keepNext w:val="0"/>
              <w:keepLines w:val="0"/>
              <w:pageBreakBefore w:val="0"/>
              <w:numPr>
                <w:ilvl w:val="0"/>
                <w:numId w:val="0"/>
              </w:numPr>
              <w:kinsoku/>
              <w:wordWrap/>
              <w:overflowPunct/>
              <w:topLinePunct w:val="0"/>
              <w:bidi w:val="0"/>
              <w:adjustRightInd/>
              <w:snapToGrid/>
              <w:spacing w:line="240" w:lineRule="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（2）审核甲方需求，在不违反法律法规文件规定的前提下采纳甲方的意见，对不合法、不合规、不合理的需求提出修改建议。</w:t>
            </w:r>
          </w:p>
          <w:p>
            <w:pPr>
              <w:pStyle w:val="2"/>
              <w:keepNext w:val="0"/>
              <w:keepLines w:val="0"/>
              <w:pageBreakBefore w:val="0"/>
              <w:numPr>
                <w:ilvl w:val="0"/>
                <w:numId w:val="0"/>
              </w:numPr>
              <w:kinsoku/>
              <w:wordWrap/>
              <w:overflowPunct/>
              <w:topLinePunct w:val="0"/>
              <w:bidi w:val="0"/>
              <w:adjustRightInd/>
              <w:snapToGrid/>
              <w:spacing w:line="240" w:lineRule="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（3）编制、审核、印制、发售、澄清、解释采购文件；</w:t>
            </w:r>
          </w:p>
          <w:p>
            <w:pPr>
              <w:pStyle w:val="2"/>
              <w:keepNext w:val="0"/>
              <w:keepLines w:val="0"/>
              <w:pageBreakBefore w:val="0"/>
              <w:numPr>
                <w:ilvl w:val="0"/>
                <w:numId w:val="0"/>
              </w:numPr>
              <w:kinsoku/>
              <w:wordWrap/>
              <w:overflowPunct/>
              <w:topLinePunct w:val="0"/>
              <w:bidi w:val="0"/>
              <w:adjustRightInd/>
              <w:snapToGrid/>
              <w:spacing w:line="240" w:lineRule="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（4）制定招标/评审方法、步骤、标准；</w:t>
            </w:r>
          </w:p>
          <w:p>
            <w:pPr>
              <w:pStyle w:val="2"/>
              <w:keepNext w:val="0"/>
              <w:keepLines w:val="0"/>
              <w:pageBreakBefore w:val="0"/>
              <w:numPr>
                <w:ilvl w:val="0"/>
                <w:numId w:val="0"/>
              </w:numPr>
              <w:kinsoku/>
              <w:wordWrap/>
              <w:overflowPunct/>
              <w:topLinePunct w:val="0"/>
              <w:bidi w:val="0"/>
              <w:adjustRightInd/>
              <w:snapToGrid/>
              <w:spacing w:line="240" w:lineRule="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（5）政府采购项目，采购公告前负责组织专家对采购文件进行论证；</w:t>
            </w:r>
          </w:p>
          <w:p>
            <w:pPr>
              <w:pStyle w:val="2"/>
              <w:keepNext w:val="0"/>
              <w:keepLines w:val="0"/>
              <w:pageBreakBefore w:val="0"/>
              <w:numPr>
                <w:ilvl w:val="0"/>
                <w:numId w:val="0"/>
              </w:numPr>
              <w:kinsoku/>
              <w:wordWrap/>
              <w:overflowPunct/>
              <w:topLinePunct w:val="0"/>
              <w:bidi w:val="0"/>
              <w:adjustRightInd/>
              <w:snapToGrid/>
              <w:spacing w:line="240" w:lineRule="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（6）依法发布采购公告（在政府采购监督管理部门指定媒体上发布采购信息公告，须保持各媒体公告内容的一致性）和发售采购文件，组织接收投标人/供应商报名及接收申请资料，审查投标人/供应商报名资格；</w:t>
            </w:r>
          </w:p>
          <w:p>
            <w:pPr>
              <w:pStyle w:val="2"/>
              <w:keepNext w:val="0"/>
              <w:keepLines w:val="0"/>
              <w:pageBreakBefore w:val="0"/>
              <w:numPr>
                <w:ilvl w:val="0"/>
                <w:numId w:val="0"/>
              </w:numPr>
              <w:kinsoku/>
              <w:wordWrap/>
              <w:overflowPunct/>
              <w:topLinePunct w:val="0"/>
              <w:bidi w:val="0"/>
              <w:adjustRightInd/>
              <w:snapToGrid/>
              <w:spacing w:line="240" w:lineRule="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（7）供应商资格预审（如有）；</w:t>
            </w:r>
          </w:p>
          <w:p>
            <w:pPr>
              <w:pStyle w:val="2"/>
              <w:keepNext w:val="0"/>
              <w:keepLines w:val="0"/>
              <w:pageBreakBefore w:val="0"/>
              <w:numPr>
                <w:ilvl w:val="0"/>
                <w:numId w:val="0"/>
              </w:numPr>
              <w:kinsoku/>
              <w:wordWrap/>
              <w:overflowPunct/>
              <w:topLinePunct w:val="0"/>
              <w:bidi w:val="0"/>
              <w:adjustRightInd/>
              <w:snapToGrid/>
              <w:spacing w:line="240" w:lineRule="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（8）依法按程序随机抽取专家，组建评标/评审委员会，并严格执行回避制度（参与前期进口产品论证、需求论证、招标/采购文件论证的专家不得再担任同一个采购项目的评审专家）；</w:t>
            </w:r>
          </w:p>
          <w:p>
            <w:pPr>
              <w:pStyle w:val="2"/>
              <w:keepNext w:val="0"/>
              <w:keepLines w:val="0"/>
              <w:pageBreakBefore w:val="0"/>
              <w:numPr>
                <w:ilvl w:val="0"/>
                <w:numId w:val="0"/>
              </w:numPr>
              <w:kinsoku/>
              <w:wordWrap/>
              <w:overflowPunct/>
              <w:topLinePunct w:val="0"/>
              <w:bidi w:val="0"/>
              <w:adjustRightInd/>
              <w:snapToGrid/>
              <w:spacing w:line="240" w:lineRule="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（9）接收、保管投标人递交的投标/响应文件，落实评审地点，组织开标、评审活动，开评标现场按规定要求查询投标人征信情况，维护现场秩序，完整记录评审现场相关情况，并完整出具详细的评审报告；</w:t>
            </w:r>
          </w:p>
          <w:p>
            <w:pPr>
              <w:pStyle w:val="2"/>
              <w:keepNext w:val="0"/>
              <w:keepLines w:val="0"/>
              <w:pageBreakBefore w:val="0"/>
              <w:numPr>
                <w:ilvl w:val="0"/>
                <w:numId w:val="0"/>
              </w:numPr>
              <w:kinsoku/>
              <w:wordWrap/>
              <w:overflowPunct/>
              <w:topLinePunct w:val="0"/>
              <w:bidi w:val="0"/>
              <w:adjustRightInd/>
              <w:snapToGrid/>
              <w:spacing w:line="240" w:lineRule="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（10）协助甲方严格做好供应商资格审查工作，依据政府采购相关法律法规及政策要求，核查供应商之间是否存在控股、管理等利益关联关系，防范围标串标等非法违规行为。</w:t>
            </w:r>
          </w:p>
          <w:p>
            <w:pPr>
              <w:pStyle w:val="2"/>
              <w:keepNext w:val="0"/>
              <w:keepLines w:val="0"/>
              <w:pageBreakBefore w:val="0"/>
              <w:numPr>
                <w:ilvl w:val="0"/>
                <w:numId w:val="0"/>
              </w:numPr>
              <w:kinsoku/>
              <w:wordWrap/>
              <w:overflowPunct/>
              <w:topLinePunct w:val="0"/>
              <w:bidi w:val="0"/>
              <w:adjustRightInd/>
              <w:snapToGrid/>
              <w:spacing w:line="240" w:lineRule="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（11）依法在指定媒体上发布中标/成交公告，在规定时间内编制、发放中标/成交通知书；</w:t>
            </w:r>
          </w:p>
          <w:p>
            <w:pPr>
              <w:pStyle w:val="2"/>
              <w:keepNext w:val="0"/>
              <w:keepLines w:val="0"/>
              <w:pageBreakBefore w:val="0"/>
              <w:numPr>
                <w:ilvl w:val="0"/>
                <w:numId w:val="0"/>
              </w:numPr>
              <w:kinsoku/>
              <w:wordWrap/>
              <w:overflowPunct/>
              <w:topLinePunct w:val="0"/>
              <w:bidi w:val="0"/>
              <w:adjustRightInd/>
              <w:snapToGrid/>
              <w:spacing w:line="240" w:lineRule="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（12）受理并答复供应商的询问和质疑，协助甲方处理投诉及履约纠纷。配合上级主管部门处理投诉事宜，必要时依法组织原评标/评审委员会协助处理相关事项；</w:t>
            </w:r>
          </w:p>
          <w:p>
            <w:pPr>
              <w:pStyle w:val="2"/>
              <w:keepNext w:val="0"/>
              <w:keepLines w:val="0"/>
              <w:pageBreakBefore w:val="0"/>
              <w:numPr>
                <w:ilvl w:val="0"/>
                <w:numId w:val="0"/>
              </w:numPr>
              <w:kinsoku/>
              <w:wordWrap/>
              <w:overflowPunct/>
              <w:topLinePunct w:val="0"/>
              <w:bidi w:val="0"/>
              <w:adjustRightInd/>
              <w:snapToGrid/>
              <w:spacing w:line="240" w:lineRule="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（13）严格落实政府采购保证金管理相关要求，落实规范收取保证金的规定；</w:t>
            </w:r>
          </w:p>
          <w:p>
            <w:pPr>
              <w:pStyle w:val="2"/>
              <w:keepNext w:val="0"/>
              <w:keepLines w:val="0"/>
              <w:pageBreakBefore w:val="0"/>
              <w:numPr>
                <w:ilvl w:val="0"/>
                <w:numId w:val="0"/>
              </w:numPr>
              <w:kinsoku/>
              <w:wordWrap/>
              <w:overflowPunct/>
              <w:topLinePunct w:val="0"/>
              <w:bidi w:val="0"/>
              <w:adjustRightInd/>
              <w:snapToGrid/>
              <w:spacing w:line="240" w:lineRule="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（14）依法办理采购活动备案、报批及资料归档事宜；</w:t>
            </w:r>
          </w:p>
          <w:p>
            <w:pPr>
              <w:pStyle w:val="2"/>
              <w:keepNext w:val="0"/>
              <w:keepLines w:val="0"/>
              <w:pageBreakBefore w:val="0"/>
              <w:kinsoku/>
              <w:wordWrap/>
              <w:overflowPunct/>
              <w:topLinePunct w:val="0"/>
              <w:bidi w:val="0"/>
              <w:adjustRightInd/>
              <w:snapToGrid/>
              <w:spacing w:line="240" w:lineRule="auto"/>
              <w:rPr>
                <w:rFonts w:hint="eastAsia" w:asciiTheme="minorEastAsia" w:hAnsiTheme="minorEastAsia" w:eastAsiaTheme="minorEastAsia" w:cstheme="minorEastAsia"/>
                <w:color w:val="auto"/>
                <w:sz w:val="24"/>
                <w:highlight w:val="none"/>
                <w:vertAlign w:val="baseline"/>
                <w:lang w:val="en-US" w:eastAsia="zh-CN"/>
              </w:rPr>
            </w:pPr>
            <w:r>
              <w:rPr>
                <w:rFonts w:hint="eastAsia" w:asciiTheme="minorEastAsia" w:hAnsiTheme="minorEastAsia" w:eastAsiaTheme="minorEastAsia" w:cstheme="minorEastAsia"/>
                <w:color w:val="auto"/>
                <w:sz w:val="24"/>
                <w:highlight w:val="none"/>
                <w:lang w:val="en-US" w:eastAsia="zh-CN"/>
              </w:rPr>
              <w:t>（15）项目完成后，按照甲方要求齐全、完整移交全部采购档案（含全流程的电子采购档案（扫描版）及胶装成册的纸质档案），对无需存档的招投标文件等保密资料做好清理工作；无条件配合甲方完成对有关项目的审计、检查或调取、补漏相关资料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continue"/>
            <w:vAlign w:val="center"/>
          </w:tcPr>
          <w:p>
            <w:pPr>
              <w:pStyle w:val="2"/>
              <w:keepNext w:val="0"/>
              <w:keepLines w:val="0"/>
              <w:pageBreakBefore w:val="0"/>
              <w:kinsoku/>
              <w:wordWrap/>
              <w:overflowPunct/>
              <w:topLinePunct w:val="0"/>
              <w:bidi w:val="0"/>
              <w:adjustRightInd/>
              <w:snapToGrid/>
              <w:spacing w:line="240" w:lineRule="auto"/>
              <w:jc w:val="center"/>
              <w:rPr>
                <w:rFonts w:hint="eastAsia" w:asciiTheme="minorEastAsia" w:hAnsiTheme="minorEastAsia" w:eastAsiaTheme="minorEastAsia" w:cstheme="minorEastAsia"/>
                <w:color w:val="auto"/>
                <w:sz w:val="24"/>
                <w:highlight w:val="none"/>
                <w:vertAlign w:val="baseline"/>
                <w:lang w:val="en-US" w:eastAsia="zh-CN"/>
              </w:rPr>
            </w:pPr>
          </w:p>
        </w:tc>
        <w:tc>
          <w:tcPr>
            <w:tcW w:w="1413" w:type="dxa"/>
            <w:vAlign w:val="center"/>
          </w:tcPr>
          <w:p>
            <w:pPr>
              <w:pStyle w:val="2"/>
              <w:keepNext w:val="0"/>
              <w:keepLines w:val="0"/>
              <w:pageBreakBefore w:val="0"/>
              <w:kinsoku/>
              <w:wordWrap/>
              <w:overflowPunct/>
              <w:topLinePunct w:val="0"/>
              <w:bidi w:val="0"/>
              <w:adjustRightInd/>
              <w:snapToGrid/>
              <w:spacing w:line="240" w:lineRule="auto"/>
              <w:jc w:val="center"/>
              <w:rPr>
                <w:rFonts w:hint="eastAsia" w:asciiTheme="minorEastAsia" w:hAnsiTheme="minorEastAsia" w:eastAsiaTheme="minorEastAsia" w:cstheme="minorEastAsia"/>
                <w:color w:val="auto"/>
                <w:sz w:val="24"/>
                <w:highlight w:val="none"/>
                <w:vertAlign w:val="baseline"/>
                <w:lang w:val="en-US" w:eastAsia="zh-CN"/>
              </w:rPr>
            </w:pPr>
            <w:r>
              <w:rPr>
                <w:rFonts w:hint="eastAsia" w:asciiTheme="minorEastAsia" w:hAnsiTheme="minorEastAsia" w:eastAsiaTheme="minorEastAsia" w:cstheme="minorEastAsia"/>
                <w:color w:val="auto"/>
                <w:sz w:val="24"/>
                <w:highlight w:val="none"/>
                <w:vertAlign w:val="baseline"/>
                <w:lang w:val="en-US" w:eastAsia="zh-CN"/>
              </w:rPr>
              <w:t>服务要求</w:t>
            </w:r>
          </w:p>
        </w:tc>
        <w:tc>
          <w:tcPr>
            <w:tcW w:w="6370" w:type="dxa"/>
          </w:tcPr>
          <w:p>
            <w:pPr>
              <w:keepNext w:val="0"/>
              <w:keepLines w:val="0"/>
              <w:pageBreakBefore w:val="0"/>
              <w:kinsoku/>
              <w:wordWrap/>
              <w:overflowPunct/>
              <w:topLinePunct w:val="0"/>
              <w:autoSpaceDE w:val="0"/>
              <w:autoSpaceDN w:val="0"/>
              <w:bidi w:val="0"/>
              <w:adjustRightInd/>
              <w:snapToGrid/>
              <w:spacing w:line="240" w:lineRule="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（1）基本要求：</w:t>
            </w:r>
          </w:p>
          <w:p>
            <w:pPr>
              <w:keepNext w:val="0"/>
              <w:keepLines w:val="0"/>
              <w:pageBreakBefore w:val="0"/>
              <w:kinsoku/>
              <w:wordWrap/>
              <w:overflowPunct/>
              <w:topLinePunct w:val="0"/>
              <w:autoSpaceDE w:val="0"/>
              <w:autoSpaceDN w:val="0"/>
              <w:bidi w:val="0"/>
              <w:adjustRightInd/>
              <w:snapToGrid/>
              <w:spacing w:line="240" w:lineRule="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①乙方须严格</w:t>
            </w:r>
            <w:r>
              <w:rPr>
                <w:rFonts w:hint="eastAsia" w:asciiTheme="minorEastAsia" w:hAnsiTheme="minorEastAsia" w:eastAsiaTheme="minorEastAsia" w:cstheme="minorEastAsia"/>
                <w:strike w:val="0"/>
                <w:dstrike w:val="0"/>
                <w:color w:val="auto"/>
                <w:sz w:val="24"/>
                <w:highlight w:val="none"/>
                <w:lang w:val="en-US" w:eastAsia="zh-CN"/>
              </w:rPr>
              <w:t>，</w:t>
            </w:r>
            <w:r>
              <w:rPr>
                <w:rFonts w:hint="eastAsia" w:asciiTheme="minorEastAsia" w:hAnsiTheme="minorEastAsia" w:eastAsiaTheme="minorEastAsia" w:cstheme="minorEastAsia"/>
                <w:color w:val="auto"/>
                <w:sz w:val="24"/>
                <w:highlight w:val="none"/>
                <w:lang w:val="en-US" w:eastAsia="zh-CN"/>
              </w:rPr>
              <w:t>按照国家和省、市有关政府采购的法律法规、政策文件的规定及甲方要求提供代理服务，熟悉医疗卫生系统采购特点，对代理服务的合法性、合规性负责。</w:t>
            </w:r>
          </w:p>
          <w:p>
            <w:pPr>
              <w:keepNext w:val="0"/>
              <w:keepLines w:val="0"/>
              <w:pageBreakBefore w:val="0"/>
              <w:kinsoku/>
              <w:wordWrap/>
              <w:overflowPunct/>
              <w:topLinePunct w:val="0"/>
              <w:autoSpaceDE w:val="0"/>
              <w:autoSpaceDN w:val="0"/>
              <w:bidi w:val="0"/>
              <w:adjustRightInd/>
              <w:snapToGrid/>
              <w:spacing w:line="240" w:lineRule="auto"/>
              <w:rPr>
                <w:rFonts w:hint="eastAsia" w:asciiTheme="minorEastAsia" w:hAnsiTheme="minorEastAsia" w:eastAsiaTheme="minorEastAsia" w:cstheme="minorEastAsia"/>
                <w:strike w:val="0"/>
                <w:color w:val="auto"/>
                <w:sz w:val="24"/>
                <w:highlight w:val="none"/>
                <w:lang w:val="en-US" w:eastAsia="zh-CN"/>
              </w:rPr>
            </w:pPr>
            <w:r>
              <w:rPr>
                <w:rFonts w:hint="eastAsia" w:asciiTheme="minorEastAsia" w:hAnsiTheme="minorEastAsia" w:eastAsiaTheme="minorEastAsia" w:cstheme="minorEastAsia"/>
                <w:strike w:val="0"/>
                <w:color w:val="auto"/>
                <w:sz w:val="24"/>
                <w:highlight w:val="none"/>
                <w:lang w:val="en-US" w:eastAsia="zh-CN"/>
              </w:rPr>
              <w:t>②工作时限：乙方应在双方签订具体项目的委托代理协议且甲方提供完整的招标采购必备资料后3个工作日内，向甲方提交采购文件初稿。在招标/采购公告发布后30天内，应完成本项目招标采购的全部主要工作，包括评审、结果公示、档案整理等，并将完整项目档案移交甲方（法律、法规对招标时间有特殊要求的除外）。</w:t>
            </w:r>
          </w:p>
          <w:p>
            <w:pPr>
              <w:keepNext w:val="0"/>
              <w:keepLines w:val="0"/>
              <w:pageBreakBefore w:val="0"/>
              <w:kinsoku/>
              <w:wordWrap/>
              <w:overflowPunct/>
              <w:topLinePunct w:val="0"/>
              <w:autoSpaceDE w:val="0"/>
              <w:autoSpaceDN w:val="0"/>
              <w:bidi w:val="0"/>
              <w:adjustRightInd/>
              <w:snapToGrid/>
              <w:spacing w:line="240" w:lineRule="auto"/>
              <w:rPr>
                <w:rFonts w:hint="eastAsia" w:asciiTheme="minorEastAsia" w:hAnsiTheme="minorEastAsia" w:eastAsiaTheme="minorEastAsia" w:cstheme="minorEastAsia"/>
                <w:strike w:val="0"/>
                <w:color w:val="auto"/>
                <w:sz w:val="24"/>
                <w:highlight w:val="none"/>
                <w:lang w:val="en-US" w:eastAsia="zh-CN"/>
              </w:rPr>
            </w:pPr>
            <w:r>
              <w:rPr>
                <w:rFonts w:hint="eastAsia" w:asciiTheme="minorEastAsia" w:hAnsiTheme="minorEastAsia" w:eastAsiaTheme="minorEastAsia" w:cstheme="minorEastAsia"/>
                <w:strike w:val="0"/>
                <w:color w:val="auto"/>
                <w:sz w:val="24"/>
                <w:highlight w:val="none"/>
                <w:lang w:val="en-US" w:eastAsia="zh-CN"/>
              </w:rPr>
              <w:t>③如出现乙方在服务过程中出现违法违规行为，甲方有权单方面取消其成交资格，并追究其相应责任。</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④乙方组织评标、定标工作，应严格按照惠州市卫健局关于市直医疗卫生单位自主采购招标项目评定分离实施意见的相关要求执行；如市卫健局有关采购工作的相关政策/管理办法/规定/指引/意见在服务期内有更新，须严格遵循新规执行。</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⑤电子化采购要求：对于单项采购预算金额</w:t>
            </w:r>
            <w:r>
              <w:rPr>
                <w:rFonts w:hint="eastAsia" w:asciiTheme="minorEastAsia" w:hAnsiTheme="minorEastAsia" w:eastAsiaTheme="minorEastAsia" w:cstheme="minorEastAsia"/>
                <w:strike w:val="0"/>
                <w:dstrike w:val="0"/>
                <w:color w:val="auto"/>
                <w:sz w:val="24"/>
                <w:highlight w:val="none"/>
                <w:lang w:val="en-US" w:eastAsia="zh-CN"/>
              </w:rPr>
              <w:t>在</w:t>
            </w:r>
            <w:r>
              <w:rPr>
                <w:rFonts w:hint="eastAsia" w:asciiTheme="minorEastAsia" w:hAnsiTheme="minorEastAsia" w:eastAsiaTheme="minorEastAsia" w:cstheme="minorEastAsia"/>
                <w:color w:val="auto"/>
                <w:sz w:val="24"/>
                <w:highlight w:val="none"/>
                <w:lang w:val="en-US" w:eastAsia="zh-CN"/>
              </w:rPr>
              <w:t>50万元（含）至100万元（不含）的项目，需在依法建设和运行的电子交易平台实施全流程电子化采购，因</w:t>
            </w:r>
            <w:r>
              <w:rPr>
                <w:rFonts w:hint="eastAsia" w:asciiTheme="minorEastAsia" w:hAnsiTheme="minorEastAsia" w:eastAsiaTheme="minorEastAsia" w:cstheme="minorEastAsia"/>
                <w:strike w:val="0"/>
                <w:dstrike w:val="0"/>
                <w:color w:val="auto"/>
                <w:sz w:val="24"/>
                <w:highlight w:val="none"/>
                <w:lang w:val="en-US" w:eastAsia="zh-CN"/>
              </w:rPr>
              <w:t>使用平台</w:t>
            </w:r>
            <w:r>
              <w:rPr>
                <w:rFonts w:hint="eastAsia" w:asciiTheme="minorEastAsia" w:hAnsiTheme="minorEastAsia" w:eastAsiaTheme="minorEastAsia" w:cstheme="minorEastAsia"/>
                <w:color w:val="auto"/>
                <w:sz w:val="24"/>
                <w:highlight w:val="none"/>
                <w:lang w:val="en-US" w:eastAsia="zh-CN"/>
              </w:rPr>
              <w:t>产生的场地使用费及其他相关费用由</w:t>
            </w:r>
            <w:r>
              <w:rPr>
                <w:rFonts w:hint="eastAsia" w:asciiTheme="minorEastAsia" w:hAnsiTheme="minorEastAsia" w:eastAsiaTheme="minorEastAsia" w:cstheme="minorEastAsia"/>
                <w:strike w:val="0"/>
                <w:dstrike w:val="0"/>
                <w:color w:val="auto"/>
                <w:sz w:val="24"/>
                <w:highlight w:val="none"/>
                <w:lang w:val="en-US" w:eastAsia="zh-CN"/>
              </w:rPr>
              <w:t>该项目委托的乙方</w:t>
            </w:r>
            <w:r>
              <w:rPr>
                <w:rFonts w:hint="eastAsia" w:asciiTheme="minorEastAsia" w:hAnsiTheme="minorEastAsia" w:eastAsiaTheme="minorEastAsia" w:cstheme="minorEastAsia"/>
                <w:color w:val="auto"/>
                <w:sz w:val="24"/>
                <w:highlight w:val="none"/>
                <w:lang w:val="en-US" w:eastAsia="zh-CN"/>
              </w:rPr>
              <w:t>承担，甲方不支付上述费用。</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⑥采购文件论证要求：对于单项采购预算金额100万元（含）以上的采购项目，乙方须按《国家卫生健康委关于进一步规范和加强政府采购管理工作的通知》（国卫财务函〔2020〕250号）的要求，在采购公告发布前，组织至少1名律师和4名对应采购项目的行业专家（甲方不担任论证专家）组成论证小组，对编制的招标/采购文件进行论证、复核，出具书面《采购文件论证（审核）报告》，并根据有效论证意见积极主动与甲方完成招标/采购文件的修订与确认。</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⑦人员配备要求：为确保服务质量的连续性与专业性，乙方须为本项目配备固定的专职从业人员，作为履行本项目服务的核心力量，具体要求如下：</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a.招标采购主管1人：负责与甲方沟通协调，对甲方所有委托项目的服务质量负主要责任，具备符合本项目要求的资质证书。</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color w:val="auto"/>
                <w:sz w:val="24"/>
                <w:highlight w:val="none"/>
                <w:lang w:val="en-GB" w:eastAsia="zh-CN"/>
              </w:rPr>
            </w:pPr>
            <w:r>
              <w:rPr>
                <w:rFonts w:hint="eastAsia" w:asciiTheme="minorEastAsia" w:hAnsiTheme="minorEastAsia" w:eastAsiaTheme="minorEastAsia" w:cstheme="minorEastAsia"/>
                <w:color w:val="auto"/>
                <w:sz w:val="24"/>
                <w:highlight w:val="none"/>
                <w:lang w:val="en-US" w:eastAsia="zh-CN"/>
              </w:rPr>
              <w:t>b.专职人员至少2人（招标采购主管不能兼任）：</w:t>
            </w:r>
            <w:r>
              <w:rPr>
                <w:rFonts w:hint="default" w:asciiTheme="minorEastAsia" w:hAnsiTheme="minorEastAsia" w:eastAsiaTheme="minorEastAsia" w:cstheme="minorEastAsia"/>
                <w:color w:val="auto"/>
                <w:sz w:val="24"/>
                <w:highlight w:val="none"/>
                <w:lang w:val="en-GB" w:eastAsia="zh-CN"/>
              </w:rPr>
              <w:t>熟悉政府采购</w:t>
            </w:r>
            <w:r>
              <w:rPr>
                <w:rFonts w:hint="eastAsia" w:asciiTheme="minorEastAsia" w:hAnsiTheme="minorEastAsia" w:eastAsiaTheme="minorEastAsia" w:cstheme="minorEastAsia"/>
                <w:color w:val="auto"/>
                <w:sz w:val="24"/>
                <w:highlight w:val="none"/>
                <w:lang w:val="en-GB" w:eastAsia="zh-CN"/>
              </w:rPr>
              <w:t>和</w:t>
            </w:r>
            <w:r>
              <w:rPr>
                <w:rFonts w:hint="default" w:asciiTheme="minorEastAsia" w:hAnsiTheme="minorEastAsia" w:eastAsiaTheme="minorEastAsia" w:cstheme="minorEastAsia"/>
                <w:color w:val="auto"/>
                <w:sz w:val="24"/>
                <w:highlight w:val="none"/>
                <w:lang w:val="en-US" w:eastAsia="zh-CN"/>
              </w:rPr>
              <w:t>招投标</w:t>
            </w:r>
            <w:r>
              <w:rPr>
                <w:rFonts w:hint="eastAsia" w:asciiTheme="minorEastAsia" w:hAnsiTheme="minorEastAsia" w:eastAsiaTheme="minorEastAsia" w:cstheme="minorEastAsia"/>
                <w:color w:val="auto"/>
                <w:sz w:val="24"/>
                <w:highlight w:val="none"/>
                <w:lang w:val="en-US" w:eastAsia="zh-CN"/>
              </w:rPr>
              <w:t>相关</w:t>
            </w:r>
            <w:r>
              <w:rPr>
                <w:rFonts w:hint="default" w:asciiTheme="minorEastAsia" w:hAnsiTheme="minorEastAsia" w:eastAsiaTheme="minorEastAsia" w:cstheme="minorEastAsia"/>
                <w:color w:val="auto"/>
                <w:sz w:val="24"/>
                <w:highlight w:val="none"/>
                <w:lang w:val="en-GB" w:eastAsia="zh-CN"/>
              </w:rPr>
              <w:t>法律法规</w:t>
            </w:r>
            <w:r>
              <w:rPr>
                <w:rFonts w:hint="eastAsia" w:asciiTheme="minorEastAsia" w:hAnsiTheme="minorEastAsia" w:eastAsiaTheme="minorEastAsia" w:cstheme="minorEastAsia"/>
                <w:color w:val="auto"/>
                <w:sz w:val="24"/>
                <w:highlight w:val="none"/>
                <w:lang w:val="en-GB" w:eastAsia="zh-CN"/>
              </w:rPr>
              <w:t>及政策要求</w:t>
            </w:r>
            <w:r>
              <w:rPr>
                <w:rFonts w:hint="default" w:asciiTheme="minorEastAsia" w:hAnsiTheme="minorEastAsia" w:eastAsiaTheme="minorEastAsia" w:cstheme="minorEastAsia"/>
                <w:color w:val="auto"/>
                <w:sz w:val="24"/>
                <w:highlight w:val="none"/>
                <w:lang w:val="en-GB" w:eastAsia="zh-CN"/>
              </w:rPr>
              <w:t>，</w:t>
            </w:r>
            <w:r>
              <w:rPr>
                <w:rFonts w:hint="eastAsia" w:asciiTheme="minorEastAsia" w:hAnsiTheme="minorEastAsia" w:eastAsiaTheme="minorEastAsia" w:cstheme="minorEastAsia"/>
                <w:color w:val="auto"/>
                <w:sz w:val="24"/>
                <w:highlight w:val="none"/>
                <w:lang w:val="en-US" w:eastAsia="zh-CN"/>
              </w:rPr>
              <w:t>具备符合本项目要求的资质证书，</w:t>
            </w:r>
            <w:r>
              <w:rPr>
                <w:rFonts w:hint="default" w:asciiTheme="minorEastAsia" w:hAnsiTheme="minorEastAsia" w:eastAsiaTheme="minorEastAsia" w:cstheme="minorEastAsia"/>
                <w:color w:val="auto"/>
                <w:sz w:val="24"/>
                <w:highlight w:val="none"/>
                <w:lang w:val="en-GB" w:eastAsia="zh-CN"/>
              </w:rPr>
              <w:t>具备</w:t>
            </w:r>
            <w:r>
              <w:rPr>
                <w:rFonts w:hint="eastAsia" w:asciiTheme="minorEastAsia" w:hAnsiTheme="minorEastAsia" w:eastAsiaTheme="minorEastAsia" w:cstheme="minorEastAsia"/>
                <w:color w:val="auto"/>
                <w:sz w:val="24"/>
                <w:highlight w:val="none"/>
                <w:lang w:val="en-GB" w:eastAsia="zh-CN"/>
              </w:rPr>
              <w:t>独立</w:t>
            </w:r>
            <w:r>
              <w:rPr>
                <w:rFonts w:hint="default" w:asciiTheme="minorEastAsia" w:hAnsiTheme="minorEastAsia" w:eastAsiaTheme="minorEastAsia" w:cstheme="minorEastAsia"/>
                <w:color w:val="auto"/>
                <w:sz w:val="24"/>
                <w:highlight w:val="none"/>
                <w:lang w:val="en-GB" w:eastAsia="zh-CN"/>
              </w:rPr>
              <w:t>编制采购文件和组织采购（评审）活动等相应能力</w:t>
            </w:r>
            <w:r>
              <w:rPr>
                <w:rFonts w:hint="eastAsia" w:asciiTheme="minorEastAsia" w:hAnsiTheme="minorEastAsia" w:eastAsiaTheme="minorEastAsia" w:cstheme="minorEastAsia"/>
                <w:color w:val="auto"/>
                <w:sz w:val="24"/>
                <w:highlight w:val="none"/>
                <w:lang w:val="en-GB" w:eastAsia="zh-CN"/>
              </w:rPr>
              <w:t>，</w:t>
            </w:r>
            <w:r>
              <w:rPr>
                <w:rFonts w:hint="eastAsia" w:asciiTheme="minorEastAsia" w:hAnsiTheme="minorEastAsia" w:eastAsiaTheme="minorEastAsia" w:cstheme="minorEastAsia"/>
                <w:color w:val="auto"/>
                <w:sz w:val="24"/>
                <w:highlight w:val="none"/>
                <w:lang w:val="en-US" w:eastAsia="zh-CN"/>
              </w:rPr>
              <w:t>负责医院委托的招标采购范围内各类项目执行，包括但不限于采购文件制作、整理、配</w:t>
            </w:r>
            <w:r>
              <w:rPr>
                <w:rFonts w:hint="eastAsia" w:asciiTheme="minorEastAsia" w:hAnsiTheme="minorEastAsia" w:eastAsiaTheme="minorEastAsia" w:cstheme="minorEastAsia"/>
                <w:color w:val="auto"/>
                <w:sz w:val="24"/>
                <w:highlight w:val="none"/>
                <w:lang w:val="en-GB" w:eastAsia="zh-CN"/>
              </w:rPr>
              <w:t>合执行项目等。</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c.特别要求：</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乙方在响应文件中提交的专职从业人员资质作为合同履约的重要组成部分。年度委托协议签订后5个工作日内，乙方须提供上述人员资料交底。服务期内，原则上不得随意更换已承诺的团队人员。如因不可抗力确需更换人员，乙方须至少提前5个工作日向甲方提出书面申请，说明理由。更换申请必须附上拟接任人员的详细简历、资格证书复印件及社保证明。拟接任人员的资质条件与证书等级不得低于被更换人员。经甲方书面同意后，新更换人员必须在5个工作日内完成资料交底与上岗。若乙方未经甲方书面同意擅自更换人员，或实际提供服务人员与响应承诺不符合，甲方有权要求其限期纠正。如乙方未能在甲方要求的15个工作日内完成具备同等资质的人员更换并到岗，甲方有权单方解除委托合同。</w:t>
            </w:r>
          </w:p>
          <w:p>
            <w:pPr>
              <w:keepNext w:val="0"/>
              <w:keepLines w:val="0"/>
              <w:pageBreakBefore w:val="0"/>
              <w:kinsoku/>
              <w:wordWrap/>
              <w:overflowPunct/>
              <w:topLinePunct w:val="0"/>
              <w:autoSpaceDE w:val="0"/>
              <w:autoSpaceDN w:val="0"/>
              <w:bidi w:val="0"/>
              <w:adjustRightInd/>
              <w:snapToGrid/>
              <w:spacing w:line="240" w:lineRule="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⑧服务场地配置与设施设备要求：具备用于组织甲方项目评审活动的场所和代理业务所必需的办公条件，无论自有或租赁均应相对独立固定。</w:t>
            </w:r>
            <w:r>
              <w:rPr>
                <w:rFonts w:hint="eastAsia" w:asciiTheme="minorEastAsia" w:hAnsiTheme="minorEastAsia" w:eastAsiaTheme="minorEastAsia" w:cstheme="minorEastAsia"/>
                <w:strike w:val="0"/>
                <w:dstrike w:val="0"/>
                <w:color w:val="auto"/>
                <w:sz w:val="24"/>
                <w:highlight w:val="none"/>
                <w:lang w:val="en-US" w:eastAsia="zh-CN"/>
              </w:rPr>
              <w:t>要求场所必须配备独立的评审场地、覆盖评审区域全角度、全程不间断同步的录音录像监控设备及存储系统，确</w:t>
            </w:r>
            <w:r>
              <w:rPr>
                <w:rFonts w:hint="eastAsia" w:asciiTheme="minorEastAsia" w:hAnsiTheme="minorEastAsia" w:eastAsiaTheme="minorEastAsia" w:cstheme="minorEastAsia"/>
                <w:color w:val="auto"/>
                <w:sz w:val="24"/>
                <w:highlight w:val="none"/>
                <w:lang w:val="en-US" w:eastAsia="zh-CN"/>
              </w:rPr>
              <w:t>保音像资料清晰、完整、可追溯，保存期限不少于15年。如需更换办公或评审场所，应至少提前5个工作日向甲方书面报备，并确保新代理场所符合响应要求。</w:t>
            </w:r>
          </w:p>
          <w:p>
            <w:pPr>
              <w:keepNext w:val="0"/>
              <w:keepLines w:val="0"/>
              <w:pageBreakBefore w:val="0"/>
              <w:kinsoku/>
              <w:wordWrap/>
              <w:overflowPunct/>
              <w:topLinePunct w:val="0"/>
              <w:autoSpaceDE w:val="0"/>
              <w:autoSpaceDN w:val="0"/>
              <w:bidi w:val="0"/>
              <w:adjustRightInd/>
              <w:snapToGrid/>
              <w:spacing w:line="240" w:lineRule="auto"/>
              <w:rPr>
                <w:rFonts w:hint="eastAsia" w:asciiTheme="minorEastAsia" w:hAnsiTheme="minorEastAsia" w:eastAsiaTheme="minorEastAsia" w:cstheme="minorEastAsia"/>
                <w:color w:val="auto"/>
                <w:sz w:val="24"/>
                <w:highlight w:val="none"/>
                <w:vertAlign w:val="baseline"/>
                <w:lang w:val="en-US" w:eastAsia="zh-CN"/>
              </w:rPr>
            </w:pPr>
            <w:r>
              <w:rPr>
                <w:rFonts w:hint="eastAsia" w:asciiTheme="minorEastAsia" w:hAnsiTheme="minorEastAsia" w:eastAsiaTheme="minorEastAsia" w:cstheme="minorEastAsia"/>
                <w:color w:val="auto"/>
                <w:sz w:val="24"/>
                <w:highlight w:val="none"/>
                <w:lang w:eastAsia="zh-CN"/>
              </w:rPr>
              <w:t>⑨</w:t>
            </w:r>
            <w:r>
              <w:rPr>
                <w:rFonts w:hint="eastAsia" w:asciiTheme="minorEastAsia" w:hAnsiTheme="minorEastAsia" w:eastAsiaTheme="minorEastAsia" w:cstheme="minorEastAsia"/>
                <w:color w:val="auto"/>
                <w:sz w:val="24"/>
                <w:highlight w:val="none"/>
              </w:rPr>
              <w:t>档案管理要求：</w:t>
            </w:r>
            <w:r>
              <w:rPr>
                <w:rFonts w:hint="eastAsia" w:asciiTheme="minorEastAsia" w:hAnsiTheme="minorEastAsia" w:eastAsiaTheme="minorEastAsia" w:cstheme="minorEastAsia"/>
                <w:color w:val="auto"/>
                <w:sz w:val="24"/>
                <w:highlight w:val="none"/>
                <w:lang w:eastAsia="zh-CN"/>
              </w:rPr>
              <w:t>乙方应</w:t>
            </w:r>
            <w:r>
              <w:rPr>
                <w:rFonts w:hint="eastAsia" w:asciiTheme="minorEastAsia" w:hAnsiTheme="minorEastAsia" w:eastAsiaTheme="minorEastAsia" w:cstheme="minorEastAsia"/>
                <w:color w:val="auto"/>
                <w:sz w:val="24"/>
                <w:highlight w:val="none"/>
              </w:rPr>
              <w:t>具有完整的</w:t>
            </w:r>
            <w:r>
              <w:rPr>
                <w:rFonts w:hint="eastAsia" w:asciiTheme="minorEastAsia" w:hAnsiTheme="minorEastAsia" w:eastAsiaTheme="minorEastAsia" w:cstheme="minorEastAsia"/>
                <w:color w:val="auto"/>
                <w:sz w:val="24"/>
                <w:highlight w:val="none"/>
                <w:lang w:eastAsia="zh-CN"/>
              </w:rPr>
              <w:t>采购</w:t>
            </w:r>
            <w:r>
              <w:rPr>
                <w:rFonts w:hint="eastAsia" w:asciiTheme="minorEastAsia" w:hAnsiTheme="minorEastAsia" w:eastAsiaTheme="minorEastAsia" w:cstheme="minorEastAsia"/>
                <w:color w:val="auto"/>
                <w:sz w:val="24"/>
                <w:highlight w:val="none"/>
              </w:rPr>
              <w:t>档案管理制度，提供纸质、电子、影音资料存档，</w:t>
            </w:r>
            <w:r>
              <w:rPr>
                <w:rFonts w:hint="eastAsia" w:asciiTheme="minorEastAsia" w:hAnsiTheme="minorEastAsia" w:eastAsiaTheme="minorEastAsia" w:cstheme="minorEastAsia"/>
                <w:color w:val="auto"/>
                <w:sz w:val="24"/>
                <w:highlight w:val="none"/>
                <w:lang w:eastAsia="zh-CN"/>
              </w:rPr>
              <w:t>档案电子扫描件需清晰、完整，存储格式应为不可篡改的PDF等标准格式。</w:t>
            </w:r>
            <w:r>
              <w:rPr>
                <w:rFonts w:hint="eastAsia" w:asciiTheme="minorEastAsia" w:hAnsiTheme="minorEastAsia" w:eastAsiaTheme="minorEastAsia" w:cstheme="minorEastAsia"/>
                <w:color w:val="auto"/>
                <w:sz w:val="24"/>
                <w:highlight w:val="none"/>
              </w:rPr>
              <w:t>每个代理的项目档案按政府采购</w:t>
            </w:r>
            <w:r>
              <w:rPr>
                <w:rFonts w:hint="eastAsia" w:asciiTheme="minorEastAsia" w:hAnsiTheme="minorEastAsia" w:eastAsiaTheme="minorEastAsia" w:cstheme="minorEastAsia"/>
                <w:color w:val="auto"/>
                <w:sz w:val="24"/>
                <w:highlight w:val="none"/>
                <w:lang w:eastAsia="zh-CN"/>
              </w:rPr>
              <w:t>及招标投标法规的要求执行，采购档案</w:t>
            </w:r>
            <w:r>
              <w:rPr>
                <w:rFonts w:hint="eastAsia" w:asciiTheme="minorEastAsia" w:hAnsiTheme="minorEastAsia" w:eastAsiaTheme="minorEastAsia" w:cstheme="minorEastAsia"/>
                <w:color w:val="auto"/>
                <w:sz w:val="24"/>
                <w:highlight w:val="none"/>
              </w:rPr>
              <w:t>至少保存15年。如</w:t>
            </w:r>
            <w:r>
              <w:rPr>
                <w:rFonts w:hint="eastAsia" w:asciiTheme="minorEastAsia" w:hAnsiTheme="minorEastAsia" w:eastAsiaTheme="minorEastAsia" w:cstheme="minorEastAsia"/>
                <w:color w:val="auto"/>
                <w:sz w:val="24"/>
                <w:highlight w:val="none"/>
                <w:lang w:eastAsia="zh-CN"/>
              </w:rPr>
              <w:t>甲方</w:t>
            </w:r>
            <w:r>
              <w:rPr>
                <w:rFonts w:hint="eastAsia" w:asciiTheme="minorEastAsia" w:hAnsiTheme="minorEastAsia" w:eastAsiaTheme="minorEastAsia" w:cstheme="minorEastAsia"/>
                <w:color w:val="auto"/>
                <w:sz w:val="24"/>
                <w:highlight w:val="none"/>
              </w:rPr>
              <w:t>需要可随时提供电子资料，纸质资料</w:t>
            </w:r>
            <w:r>
              <w:rPr>
                <w:rFonts w:hint="eastAsia" w:asciiTheme="minorEastAsia" w:hAnsiTheme="minorEastAsia" w:eastAsiaTheme="minorEastAsia" w:cstheme="minorEastAsia"/>
                <w:color w:val="auto"/>
                <w:sz w:val="24"/>
                <w:highlight w:val="none"/>
                <w:lang w:eastAsia="zh-CN"/>
              </w:rPr>
              <w:t>应</w:t>
            </w:r>
            <w:r>
              <w:rPr>
                <w:rFonts w:hint="eastAsia" w:asciiTheme="minorEastAsia" w:hAnsiTheme="minorEastAsia" w:eastAsiaTheme="minorEastAsia" w:cstheme="minorEastAsia"/>
                <w:color w:val="auto"/>
                <w:sz w:val="24"/>
                <w:highlight w:val="none"/>
              </w:rPr>
              <w:t>在2个工作日</w:t>
            </w:r>
            <w:r>
              <w:rPr>
                <w:rFonts w:hint="eastAsia" w:asciiTheme="minorEastAsia" w:hAnsiTheme="minorEastAsia" w:eastAsiaTheme="minorEastAsia" w:cstheme="minorEastAsia"/>
                <w:color w:val="auto"/>
                <w:sz w:val="24"/>
                <w:highlight w:val="none"/>
                <w:lang w:eastAsia="zh-CN"/>
              </w:rPr>
              <w:t>内备妥以供查阅。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pStyle w:val="2"/>
              <w:keepNext w:val="0"/>
              <w:keepLines w:val="0"/>
              <w:pageBreakBefore w:val="0"/>
              <w:kinsoku/>
              <w:wordWrap/>
              <w:overflowPunct/>
              <w:topLinePunct w:val="0"/>
              <w:bidi w:val="0"/>
              <w:adjustRightInd/>
              <w:snapToGrid/>
              <w:spacing w:line="240" w:lineRule="auto"/>
              <w:jc w:val="center"/>
              <w:rPr>
                <w:rFonts w:hint="eastAsia" w:asciiTheme="minorEastAsia" w:hAnsiTheme="minorEastAsia" w:eastAsiaTheme="minorEastAsia" w:cstheme="minorEastAsia"/>
                <w:color w:val="auto"/>
                <w:sz w:val="24"/>
                <w:highlight w:val="none"/>
                <w:vertAlign w:val="baseline"/>
                <w:lang w:val="en-US" w:eastAsia="zh-CN"/>
              </w:rPr>
            </w:pPr>
            <w:r>
              <w:rPr>
                <w:rFonts w:hint="eastAsia" w:asciiTheme="minorEastAsia" w:hAnsiTheme="minorEastAsia" w:eastAsiaTheme="minorEastAsia" w:cstheme="minorEastAsia"/>
                <w:color w:val="auto"/>
                <w:sz w:val="24"/>
                <w:highlight w:val="none"/>
                <w:lang w:val="en-US" w:eastAsia="zh-CN"/>
              </w:rPr>
              <w:t>专家论证服务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restart"/>
            <w:vAlign w:val="center"/>
          </w:tcPr>
          <w:p>
            <w:pPr>
              <w:pStyle w:val="2"/>
              <w:keepNext w:val="0"/>
              <w:keepLines w:val="0"/>
              <w:pageBreakBefore w:val="0"/>
              <w:kinsoku/>
              <w:wordWrap/>
              <w:overflowPunct/>
              <w:topLinePunct w:val="0"/>
              <w:bidi w:val="0"/>
              <w:adjustRightInd/>
              <w:snapToGrid/>
              <w:spacing w:line="240" w:lineRule="auto"/>
              <w:jc w:val="center"/>
              <w:rPr>
                <w:rFonts w:hint="eastAsia" w:asciiTheme="minorEastAsia" w:hAnsiTheme="minorEastAsia" w:eastAsiaTheme="minorEastAsia" w:cstheme="minorEastAsia"/>
                <w:color w:val="auto"/>
                <w:sz w:val="24"/>
                <w:highlight w:val="none"/>
                <w:vertAlign w:val="baseline"/>
                <w:lang w:val="en-US" w:eastAsia="zh-CN"/>
              </w:rPr>
            </w:pPr>
            <w:r>
              <w:rPr>
                <w:rFonts w:hint="eastAsia" w:asciiTheme="minorEastAsia" w:hAnsiTheme="minorEastAsia" w:eastAsiaTheme="minorEastAsia" w:cstheme="minorEastAsia"/>
                <w:color w:val="auto"/>
                <w:sz w:val="24"/>
                <w:highlight w:val="none"/>
                <w:vertAlign w:val="baseline"/>
                <w:lang w:val="en-US" w:eastAsia="zh-CN"/>
              </w:rPr>
              <w:t>2</w:t>
            </w:r>
          </w:p>
        </w:tc>
        <w:tc>
          <w:tcPr>
            <w:tcW w:w="1413" w:type="dxa"/>
            <w:vAlign w:val="center"/>
          </w:tcPr>
          <w:p>
            <w:pPr>
              <w:pStyle w:val="2"/>
              <w:keepNext w:val="0"/>
              <w:keepLines w:val="0"/>
              <w:pageBreakBefore w:val="0"/>
              <w:kinsoku/>
              <w:wordWrap/>
              <w:overflowPunct/>
              <w:topLinePunct w:val="0"/>
              <w:bidi w:val="0"/>
              <w:adjustRightInd/>
              <w:snapToGrid/>
              <w:spacing w:line="240" w:lineRule="auto"/>
              <w:jc w:val="center"/>
              <w:rPr>
                <w:rFonts w:hint="eastAsia" w:asciiTheme="minorEastAsia" w:hAnsiTheme="minorEastAsia" w:eastAsiaTheme="minorEastAsia" w:cstheme="minorEastAsia"/>
                <w:color w:val="auto"/>
                <w:sz w:val="24"/>
                <w:highlight w:val="none"/>
                <w:vertAlign w:val="baseline"/>
                <w:lang w:val="en-US" w:eastAsia="zh-CN"/>
              </w:rPr>
            </w:pPr>
            <w:r>
              <w:rPr>
                <w:rFonts w:hint="eastAsia" w:asciiTheme="minorEastAsia" w:hAnsiTheme="minorEastAsia" w:eastAsiaTheme="minorEastAsia" w:cstheme="minorEastAsia"/>
                <w:color w:val="auto"/>
                <w:sz w:val="24"/>
                <w:highlight w:val="none"/>
                <w:vertAlign w:val="baseline"/>
                <w:lang w:val="en-US" w:eastAsia="zh-CN"/>
              </w:rPr>
              <w:t>服务内容</w:t>
            </w:r>
          </w:p>
        </w:tc>
        <w:tc>
          <w:tcPr>
            <w:tcW w:w="6370" w:type="dxa"/>
          </w:tcPr>
          <w:p>
            <w:pPr>
              <w:pStyle w:val="2"/>
              <w:keepNext w:val="0"/>
              <w:keepLines w:val="0"/>
              <w:pageBreakBefore w:val="0"/>
              <w:kinsoku/>
              <w:wordWrap/>
              <w:overflowPunct/>
              <w:topLinePunct w:val="0"/>
              <w:bidi w:val="0"/>
              <w:adjustRightInd/>
              <w:snapToGrid/>
              <w:spacing w:line="240" w:lineRule="auto"/>
              <w:rPr>
                <w:rFonts w:hint="eastAsia" w:asciiTheme="minorEastAsia" w:hAnsiTheme="minorEastAsia" w:eastAsiaTheme="minorEastAsia" w:cstheme="minorEastAsia"/>
                <w:color w:val="auto"/>
                <w:sz w:val="24"/>
                <w:highlight w:val="none"/>
                <w:vertAlign w:val="baseline"/>
                <w:lang w:val="en-US" w:eastAsia="zh-CN"/>
              </w:rPr>
            </w:pPr>
            <w:r>
              <w:rPr>
                <w:rFonts w:hint="eastAsia" w:asciiTheme="minorEastAsia" w:hAnsiTheme="minorEastAsia" w:eastAsiaTheme="minorEastAsia" w:cstheme="minorEastAsia"/>
                <w:strike w:val="0"/>
                <w:dstrike w:val="0"/>
                <w:color w:val="auto"/>
                <w:sz w:val="24"/>
                <w:highlight w:val="none"/>
                <w:lang w:eastAsia="zh-CN"/>
              </w:rPr>
              <w:t>根据甲方委托，独立、规范</w:t>
            </w:r>
            <w:r>
              <w:rPr>
                <w:rFonts w:hint="eastAsia" w:asciiTheme="minorEastAsia" w:hAnsiTheme="minorEastAsia" w:eastAsiaTheme="minorEastAsia" w:cstheme="minorEastAsia"/>
                <w:strike w:val="0"/>
                <w:color w:val="auto"/>
                <w:sz w:val="24"/>
                <w:highlight w:val="none"/>
                <w:lang w:val="en-US" w:eastAsia="zh-CN"/>
              </w:rPr>
              <w:t>组</w:t>
            </w:r>
            <w:r>
              <w:rPr>
                <w:rFonts w:hint="eastAsia" w:asciiTheme="minorEastAsia" w:hAnsiTheme="minorEastAsia" w:eastAsiaTheme="minorEastAsia" w:cstheme="minorEastAsia"/>
                <w:color w:val="auto"/>
                <w:sz w:val="24"/>
                <w:highlight w:val="none"/>
                <w:lang w:val="en-US" w:eastAsia="zh-CN"/>
              </w:rPr>
              <w:t>织并完成进口产品论证、招标/采购文件论证、采购需求论证</w:t>
            </w:r>
            <w:r>
              <w:rPr>
                <w:rFonts w:hint="eastAsia" w:asciiTheme="minorEastAsia" w:hAnsiTheme="minorEastAsia" w:eastAsiaTheme="minorEastAsia" w:cstheme="minorEastAsia"/>
                <w:strike w:val="0"/>
                <w:dstrike w:val="0"/>
                <w:color w:val="auto"/>
                <w:sz w:val="24"/>
                <w:highlight w:val="none"/>
                <w:lang w:eastAsia="zh-CN"/>
              </w:rPr>
              <w:t>（含技术参数论证）</w:t>
            </w:r>
            <w:r>
              <w:rPr>
                <w:rFonts w:hint="eastAsia" w:asciiTheme="minorEastAsia" w:hAnsiTheme="minorEastAsia" w:eastAsiaTheme="minorEastAsia" w:cstheme="minorEastAsia"/>
                <w:color w:val="auto"/>
                <w:sz w:val="24"/>
                <w:highlight w:val="none"/>
                <w:lang w:val="en-US" w:eastAsia="zh-CN"/>
              </w:rPr>
              <w:t>等各类论证工作 ，出具报告。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continue"/>
            <w:vAlign w:val="center"/>
          </w:tcPr>
          <w:p>
            <w:pPr>
              <w:pStyle w:val="2"/>
              <w:keepNext w:val="0"/>
              <w:keepLines w:val="0"/>
              <w:pageBreakBefore w:val="0"/>
              <w:kinsoku/>
              <w:wordWrap/>
              <w:overflowPunct/>
              <w:topLinePunct w:val="0"/>
              <w:bidi w:val="0"/>
              <w:adjustRightInd/>
              <w:snapToGrid/>
              <w:spacing w:line="240" w:lineRule="auto"/>
              <w:jc w:val="center"/>
              <w:rPr>
                <w:rFonts w:hint="eastAsia" w:asciiTheme="minorEastAsia" w:hAnsiTheme="minorEastAsia" w:eastAsiaTheme="minorEastAsia" w:cstheme="minorEastAsia"/>
                <w:color w:val="auto"/>
                <w:sz w:val="24"/>
                <w:highlight w:val="none"/>
                <w:vertAlign w:val="baseline"/>
                <w:lang w:val="en-US" w:eastAsia="zh-CN"/>
              </w:rPr>
            </w:pPr>
          </w:p>
        </w:tc>
        <w:tc>
          <w:tcPr>
            <w:tcW w:w="1413" w:type="dxa"/>
            <w:vAlign w:val="center"/>
          </w:tcPr>
          <w:p>
            <w:pPr>
              <w:pStyle w:val="2"/>
              <w:keepNext w:val="0"/>
              <w:keepLines w:val="0"/>
              <w:pageBreakBefore w:val="0"/>
              <w:kinsoku/>
              <w:wordWrap/>
              <w:overflowPunct/>
              <w:topLinePunct w:val="0"/>
              <w:bidi w:val="0"/>
              <w:adjustRightInd/>
              <w:snapToGrid/>
              <w:spacing w:line="240" w:lineRule="auto"/>
              <w:jc w:val="center"/>
              <w:rPr>
                <w:rFonts w:hint="eastAsia" w:asciiTheme="minorEastAsia" w:hAnsiTheme="minorEastAsia" w:eastAsiaTheme="minorEastAsia" w:cstheme="minorEastAsia"/>
                <w:color w:val="auto"/>
                <w:sz w:val="24"/>
                <w:highlight w:val="none"/>
                <w:vertAlign w:val="baseline"/>
                <w:lang w:val="en-US" w:eastAsia="zh-CN"/>
              </w:rPr>
            </w:pPr>
            <w:r>
              <w:rPr>
                <w:rFonts w:hint="eastAsia" w:asciiTheme="minorEastAsia" w:hAnsiTheme="minorEastAsia" w:eastAsiaTheme="minorEastAsia" w:cstheme="minorEastAsia"/>
                <w:color w:val="auto"/>
                <w:sz w:val="24"/>
                <w:highlight w:val="none"/>
                <w:vertAlign w:val="baseline"/>
                <w:lang w:val="en-US" w:eastAsia="zh-CN"/>
              </w:rPr>
              <w:t>服务要求</w:t>
            </w:r>
          </w:p>
        </w:tc>
        <w:tc>
          <w:tcPr>
            <w:tcW w:w="6370" w:type="dxa"/>
          </w:tcPr>
          <w:p>
            <w:pPr>
              <w:pStyle w:val="2"/>
              <w:keepNext w:val="0"/>
              <w:keepLines w:val="0"/>
              <w:pageBreakBefore w:val="0"/>
              <w:kinsoku/>
              <w:wordWrap/>
              <w:overflowPunct/>
              <w:topLinePunct w:val="0"/>
              <w:bidi w:val="0"/>
              <w:adjustRightInd/>
              <w:snapToGrid/>
              <w:spacing w:line="240" w:lineRule="auto"/>
              <w:rPr>
                <w:rFonts w:hint="eastAsia" w:asciiTheme="minorEastAsia" w:hAnsiTheme="minorEastAsia" w:eastAsiaTheme="minorEastAsia" w:cstheme="minorEastAsia"/>
                <w:strike w:val="0"/>
                <w:dstrike w:val="0"/>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论证专家原则应从广东省政府采购专家库中随机抽取，如根据项目特点需另外抽取的，应合法合规、依据充分合理。论证专家人数应符合国家相关法律法规和甲方要求，即由5名或以上（单数）的专家组成，并以此人员组成开展论证工作。乙方须按《国家卫生健康委关于进一步规范和加强政府采购管理工作的通知》（国卫财务函〔2020〕250号）要求，组织至少1名律师和4名对应采购项目的行业专家（甲方不担任论证专家）组成论证小组进行论证，由此产生的专家劳务费及其他相关费用由</w:t>
            </w:r>
            <w:r>
              <w:rPr>
                <w:rFonts w:hint="eastAsia" w:asciiTheme="minorEastAsia" w:hAnsiTheme="minorEastAsia" w:eastAsiaTheme="minorEastAsia" w:cstheme="minorEastAsia"/>
                <w:strike w:val="0"/>
                <w:dstrike w:val="0"/>
                <w:color w:val="auto"/>
                <w:sz w:val="24"/>
                <w:highlight w:val="none"/>
                <w:lang w:val="en-US" w:eastAsia="zh-CN"/>
              </w:rPr>
              <w:t>该项目委托的乙方</w:t>
            </w:r>
            <w:r>
              <w:rPr>
                <w:rFonts w:hint="eastAsia" w:asciiTheme="minorEastAsia" w:hAnsiTheme="minorEastAsia" w:eastAsiaTheme="minorEastAsia" w:cstheme="minorEastAsia"/>
                <w:color w:val="auto"/>
                <w:sz w:val="24"/>
                <w:highlight w:val="none"/>
                <w:lang w:val="en-US" w:eastAsia="zh-CN"/>
              </w:rPr>
              <w:t>承担，甲方不支付上述费用。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pStyle w:val="2"/>
              <w:keepNext w:val="0"/>
              <w:keepLines w:val="0"/>
              <w:pageBreakBefore w:val="0"/>
              <w:kinsoku/>
              <w:wordWrap/>
              <w:overflowPunct/>
              <w:topLinePunct w:val="0"/>
              <w:bidi w:val="0"/>
              <w:adjustRightInd/>
              <w:snapToGrid/>
              <w:spacing w:line="24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其他服务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restart"/>
            <w:vAlign w:val="center"/>
          </w:tcPr>
          <w:p>
            <w:pPr>
              <w:pStyle w:val="2"/>
              <w:keepNext w:val="0"/>
              <w:keepLines w:val="0"/>
              <w:pageBreakBefore w:val="0"/>
              <w:kinsoku/>
              <w:wordWrap/>
              <w:overflowPunct/>
              <w:topLinePunct w:val="0"/>
              <w:bidi w:val="0"/>
              <w:adjustRightInd/>
              <w:snapToGrid/>
              <w:spacing w:line="240" w:lineRule="auto"/>
              <w:jc w:val="center"/>
              <w:rPr>
                <w:rFonts w:hint="eastAsia" w:asciiTheme="minorEastAsia" w:hAnsiTheme="minorEastAsia" w:eastAsiaTheme="minorEastAsia" w:cstheme="minorEastAsia"/>
                <w:color w:val="auto"/>
                <w:sz w:val="24"/>
                <w:highlight w:val="none"/>
                <w:vertAlign w:val="baseline"/>
                <w:lang w:val="en-US" w:eastAsia="zh-CN"/>
              </w:rPr>
            </w:pPr>
            <w:r>
              <w:rPr>
                <w:rFonts w:hint="eastAsia" w:asciiTheme="minorEastAsia" w:hAnsiTheme="minorEastAsia" w:eastAsiaTheme="minorEastAsia" w:cstheme="minorEastAsia"/>
                <w:color w:val="auto"/>
                <w:sz w:val="24"/>
                <w:highlight w:val="none"/>
                <w:vertAlign w:val="baseline"/>
                <w:lang w:val="en-US" w:eastAsia="zh-CN"/>
              </w:rPr>
              <w:t>3</w:t>
            </w:r>
          </w:p>
        </w:tc>
        <w:tc>
          <w:tcPr>
            <w:tcW w:w="1413" w:type="dxa"/>
            <w:vMerge w:val="restart"/>
            <w:vAlign w:val="center"/>
          </w:tcPr>
          <w:p>
            <w:pPr>
              <w:pStyle w:val="2"/>
              <w:keepNext w:val="0"/>
              <w:keepLines w:val="0"/>
              <w:pageBreakBefore w:val="0"/>
              <w:kinsoku/>
              <w:wordWrap/>
              <w:overflowPunct/>
              <w:topLinePunct w:val="0"/>
              <w:bidi w:val="0"/>
              <w:adjustRightInd/>
              <w:snapToGrid/>
              <w:spacing w:line="240" w:lineRule="auto"/>
              <w:jc w:val="center"/>
              <w:rPr>
                <w:rFonts w:hint="eastAsia" w:asciiTheme="minorEastAsia" w:hAnsiTheme="minorEastAsia" w:eastAsiaTheme="minorEastAsia" w:cstheme="minorEastAsia"/>
                <w:color w:val="auto"/>
                <w:sz w:val="24"/>
                <w:highlight w:val="none"/>
                <w:vertAlign w:val="baseline"/>
                <w:lang w:val="en-US" w:eastAsia="zh-CN"/>
              </w:rPr>
            </w:pPr>
            <w:r>
              <w:rPr>
                <w:rFonts w:hint="eastAsia" w:asciiTheme="minorEastAsia" w:hAnsiTheme="minorEastAsia" w:eastAsiaTheme="minorEastAsia" w:cstheme="minorEastAsia"/>
                <w:color w:val="auto"/>
                <w:sz w:val="24"/>
                <w:highlight w:val="none"/>
                <w:vertAlign w:val="baseline"/>
                <w:lang w:val="en-US" w:eastAsia="zh-CN"/>
              </w:rPr>
              <w:t>服务内容</w:t>
            </w:r>
          </w:p>
        </w:tc>
        <w:tc>
          <w:tcPr>
            <w:tcW w:w="6370" w:type="dxa"/>
          </w:tcPr>
          <w:p>
            <w:pPr>
              <w:pStyle w:val="2"/>
              <w:keepNext w:val="0"/>
              <w:keepLines w:val="0"/>
              <w:pageBreakBefore w:val="0"/>
              <w:kinsoku/>
              <w:wordWrap/>
              <w:overflowPunct/>
              <w:topLinePunct w:val="0"/>
              <w:bidi w:val="0"/>
              <w:adjustRightInd/>
              <w:snapToGrid/>
              <w:spacing w:line="240" w:lineRule="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专业法律法规及委托代理协议中明确的其它事项。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continue"/>
            <w:vAlign w:val="center"/>
          </w:tcPr>
          <w:p>
            <w:pPr>
              <w:pStyle w:val="2"/>
              <w:keepNext w:val="0"/>
              <w:keepLines w:val="0"/>
              <w:pageBreakBefore w:val="0"/>
              <w:kinsoku/>
              <w:wordWrap/>
              <w:overflowPunct/>
              <w:topLinePunct w:val="0"/>
              <w:bidi w:val="0"/>
              <w:adjustRightInd/>
              <w:snapToGrid/>
              <w:spacing w:line="240" w:lineRule="auto"/>
              <w:jc w:val="center"/>
              <w:rPr>
                <w:rFonts w:hint="eastAsia" w:asciiTheme="minorEastAsia" w:hAnsiTheme="minorEastAsia" w:eastAsiaTheme="minorEastAsia" w:cstheme="minorEastAsia"/>
                <w:color w:val="auto"/>
                <w:sz w:val="24"/>
                <w:highlight w:val="none"/>
                <w:vertAlign w:val="baseline"/>
                <w:lang w:val="en-US" w:eastAsia="zh-CN"/>
              </w:rPr>
            </w:pPr>
          </w:p>
        </w:tc>
        <w:tc>
          <w:tcPr>
            <w:tcW w:w="1413" w:type="dxa"/>
            <w:vMerge w:val="continue"/>
            <w:vAlign w:val="center"/>
          </w:tcPr>
          <w:p>
            <w:pPr>
              <w:pStyle w:val="2"/>
              <w:keepNext w:val="0"/>
              <w:keepLines w:val="0"/>
              <w:pageBreakBefore w:val="0"/>
              <w:kinsoku/>
              <w:wordWrap/>
              <w:overflowPunct/>
              <w:topLinePunct w:val="0"/>
              <w:bidi w:val="0"/>
              <w:adjustRightInd/>
              <w:snapToGrid/>
              <w:spacing w:line="240" w:lineRule="auto"/>
              <w:jc w:val="center"/>
              <w:rPr>
                <w:rFonts w:hint="eastAsia" w:asciiTheme="minorEastAsia" w:hAnsiTheme="minorEastAsia" w:eastAsiaTheme="minorEastAsia" w:cstheme="minorEastAsia"/>
                <w:color w:val="auto"/>
                <w:sz w:val="24"/>
                <w:highlight w:val="none"/>
                <w:vertAlign w:val="baseline"/>
                <w:lang w:val="en-US" w:eastAsia="zh-CN"/>
              </w:rPr>
            </w:pPr>
          </w:p>
        </w:tc>
        <w:tc>
          <w:tcPr>
            <w:tcW w:w="6370" w:type="dxa"/>
          </w:tcPr>
          <w:p>
            <w:pPr>
              <w:pStyle w:val="2"/>
              <w:keepNext w:val="0"/>
              <w:keepLines w:val="0"/>
              <w:pageBreakBefore w:val="0"/>
              <w:kinsoku/>
              <w:wordWrap/>
              <w:overflowPunct/>
              <w:topLinePunct w:val="0"/>
              <w:bidi w:val="0"/>
              <w:adjustRightInd/>
              <w:snapToGrid/>
              <w:spacing w:line="24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服务期内，如甲方有需要，可及时向甲方提供专业的采购业务咨询服务。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739" w:type="dxa"/>
            <w:vMerge w:val="continue"/>
          </w:tcPr>
          <w:p>
            <w:pPr>
              <w:pStyle w:val="2"/>
              <w:keepNext w:val="0"/>
              <w:keepLines w:val="0"/>
              <w:pageBreakBefore w:val="0"/>
              <w:kinsoku/>
              <w:wordWrap/>
              <w:overflowPunct/>
              <w:topLinePunct w:val="0"/>
              <w:bidi w:val="0"/>
              <w:adjustRightInd/>
              <w:snapToGrid/>
              <w:spacing w:line="240" w:lineRule="auto"/>
              <w:jc w:val="center"/>
              <w:rPr>
                <w:rFonts w:hint="eastAsia" w:asciiTheme="minorEastAsia" w:hAnsiTheme="minorEastAsia" w:eastAsiaTheme="minorEastAsia" w:cstheme="minorEastAsia"/>
                <w:color w:val="auto"/>
                <w:sz w:val="24"/>
                <w:highlight w:val="none"/>
                <w:vertAlign w:val="baseline"/>
                <w:lang w:val="en-US" w:eastAsia="zh-CN"/>
              </w:rPr>
            </w:pPr>
          </w:p>
        </w:tc>
        <w:tc>
          <w:tcPr>
            <w:tcW w:w="1413" w:type="dxa"/>
            <w:vMerge w:val="continue"/>
          </w:tcPr>
          <w:p>
            <w:pPr>
              <w:pStyle w:val="2"/>
              <w:keepNext w:val="0"/>
              <w:keepLines w:val="0"/>
              <w:pageBreakBefore w:val="0"/>
              <w:kinsoku/>
              <w:wordWrap/>
              <w:overflowPunct/>
              <w:topLinePunct w:val="0"/>
              <w:bidi w:val="0"/>
              <w:adjustRightInd/>
              <w:snapToGrid/>
              <w:spacing w:line="240" w:lineRule="auto"/>
              <w:rPr>
                <w:rFonts w:hint="eastAsia" w:asciiTheme="minorEastAsia" w:hAnsiTheme="minorEastAsia" w:eastAsiaTheme="minorEastAsia" w:cstheme="minorEastAsia"/>
                <w:color w:val="auto"/>
                <w:sz w:val="24"/>
                <w:highlight w:val="none"/>
                <w:vertAlign w:val="baseline"/>
                <w:lang w:val="en-US" w:eastAsia="zh-CN"/>
              </w:rPr>
            </w:pPr>
          </w:p>
        </w:tc>
        <w:tc>
          <w:tcPr>
            <w:tcW w:w="6370" w:type="dxa"/>
          </w:tcPr>
          <w:p>
            <w:pPr>
              <w:pStyle w:val="2"/>
              <w:keepNext w:val="0"/>
              <w:keepLines w:val="0"/>
              <w:pageBreakBefore w:val="0"/>
              <w:kinsoku/>
              <w:wordWrap/>
              <w:overflowPunct/>
              <w:topLinePunct w:val="0"/>
              <w:bidi w:val="0"/>
              <w:adjustRightInd/>
              <w:snapToGrid/>
              <w:spacing w:line="240" w:lineRule="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培训;</w:t>
            </w:r>
            <w:r>
              <w:rPr>
                <w:rFonts w:hint="eastAsia" w:asciiTheme="minorEastAsia" w:hAnsiTheme="minorEastAsia" w:eastAsiaTheme="minorEastAsia" w:cstheme="minorEastAsia"/>
                <w:color w:val="auto"/>
                <w:sz w:val="24"/>
                <w:highlight w:val="none"/>
                <w:lang w:eastAsia="zh-CN"/>
              </w:rPr>
              <w:t>每年至少安排一位培训讲师为甲方组织政府采购或招投标有关法规政策的培训，培训次数不少于一次。</w:t>
            </w:r>
          </w:p>
        </w:tc>
      </w:tr>
    </w:tbl>
    <w:p>
      <w:pPr>
        <w:pStyle w:val="2"/>
        <w:snapToGrid w:val="0"/>
        <w:spacing w:line="500" w:lineRule="exact"/>
        <w:ind w:firstLine="482" w:firstLineChars="200"/>
        <w:jc w:val="left"/>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二、</w:t>
      </w:r>
      <w:r>
        <w:rPr>
          <w:rFonts w:hint="eastAsia" w:ascii="宋体" w:hAnsi="宋体" w:eastAsia="宋体" w:cs="宋体"/>
          <w:b/>
          <w:color w:val="auto"/>
          <w:sz w:val="24"/>
          <w:highlight w:val="none"/>
        </w:rPr>
        <w:t>服务</w:t>
      </w:r>
      <w:r>
        <w:rPr>
          <w:rFonts w:hint="eastAsia" w:ascii="宋体" w:hAnsi="宋体" w:eastAsia="宋体" w:cs="宋体"/>
          <w:b/>
          <w:color w:val="auto"/>
          <w:sz w:val="24"/>
          <w:highlight w:val="none"/>
          <w:lang w:val="en-US" w:eastAsia="zh-CN"/>
        </w:rPr>
        <w:t>期</w:t>
      </w:r>
      <w:r>
        <w:rPr>
          <w:rFonts w:hint="eastAsia" w:ascii="宋体" w:hAnsi="宋体" w:eastAsia="宋体" w:cs="宋体"/>
          <w:b/>
          <w:color w:val="auto"/>
          <w:sz w:val="24"/>
          <w:highlight w:val="none"/>
        </w:rPr>
        <w:t>：</w:t>
      </w:r>
      <w:r>
        <w:rPr>
          <w:rFonts w:hint="eastAsia" w:asciiTheme="minorEastAsia" w:hAnsiTheme="minorEastAsia" w:eastAsiaTheme="minorEastAsia" w:cstheme="minorEastAsia"/>
          <w:color w:val="auto"/>
          <w:sz w:val="24"/>
          <w:highlight w:val="none"/>
          <w:u w:val="none"/>
        </w:rPr>
        <w:t>服务期</w:t>
      </w:r>
      <w:r>
        <w:rPr>
          <w:rFonts w:hint="eastAsia" w:asciiTheme="minorEastAsia" w:hAnsiTheme="minorEastAsia" w:eastAsiaTheme="minorEastAsia" w:cstheme="minorEastAsia"/>
          <w:color w:val="auto"/>
          <w:sz w:val="24"/>
          <w:highlight w:val="none"/>
          <w:u w:val="none"/>
          <w:lang w:val="en-US" w:eastAsia="zh-CN"/>
        </w:rPr>
        <w:t>2</w:t>
      </w:r>
      <w:r>
        <w:rPr>
          <w:rFonts w:hint="eastAsia" w:asciiTheme="minorEastAsia" w:hAnsiTheme="minorEastAsia" w:eastAsiaTheme="minorEastAsia" w:cstheme="minorEastAsia"/>
          <w:color w:val="auto"/>
          <w:sz w:val="24"/>
          <w:highlight w:val="none"/>
          <w:u w:val="none"/>
        </w:rPr>
        <w:t>年，合同一年一签</w:t>
      </w:r>
      <w:r>
        <w:rPr>
          <w:rFonts w:hint="eastAsia" w:asciiTheme="minorEastAsia" w:hAnsiTheme="minorEastAsia" w:eastAsiaTheme="minorEastAsia" w:cstheme="minorEastAsia"/>
          <w:color w:val="auto"/>
          <w:sz w:val="24"/>
          <w:highlight w:val="none"/>
          <w:u w:val="none"/>
          <w:lang w:eastAsia="zh-CN"/>
        </w:rPr>
        <w:t>，即</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none"/>
        </w:rPr>
        <w:t>日至</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none"/>
        </w:rPr>
        <w:t>日</w:t>
      </w:r>
      <w:r>
        <w:rPr>
          <w:rFonts w:hint="eastAsia" w:ascii="宋体" w:hAnsi="宋体" w:eastAsia="宋体" w:cs="宋体"/>
          <w:color w:val="auto"/>
          <w:sz w:val="24"/>
          <w:highlight w:val="none"/>
          <w:lang w:eastAsia="zh-CN"/>
        </w:rPr>
        <w:t>。</w:t>
      </w:r>
    </w:p>
    <w:p>
      <w:pPr>
        <w:widowControl/>
        <w:spacing w:line="300"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color w:val="auto"/>
          <w:sz w:val="24"/>
          <w:highlight w:val="none"/>
          <w:lang w:eastAsia="zh-CN"/>
        </w:rPr>
        <w:t>三、</w:t>
      </w:r>
      <w:r>
        <w:rPr>
          <w:rFonts w:hint="eastAsia" w:ascii="宋体" w:hAnsi="宋体" w:cs="宋体"/>
          <w:b/>
          <w:color w:val="auto"/>
          <w:sz w:val="24"/>
          <w:highlight w:val="none"/>
          <w:lang w:eastAsia="zh-CN"/>
        </w:rPr>
        <w:t>收费标准及付款方式</w:t>
      </w:r>
    </w:p>
    <w:p>
      <w:pPr>
        <w:spacing w:line="360" w:lineRule="auto"/>
        <w:ind w:firstLine="506" w:firstLineChars="21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w:t>
      </w:r>
      <w:r>
        <w:rPr>
          <w:rFonts w:hint="eastAsia" w:ascii="宋体" w:hAnsi="宋体" w:cs="宋体"/>
          <w:b/>
          <w:bCs/>
          <w:color w:val="auto"/>
          <w:sz w:val="24"/>
          <w:highlight w:val="none"/>
          <w:lang w:val="en-US" w:eastAsia="zh-CN"/>
        </w:rPr>
        <w:t>.</w:t>
      </w:r>
      <w:r>
        <w:rPr>
          <w:rFonts w:hint="eastAsia" w:ascii="宋体" w:hAnsi="宋体" w:eastAsia="宋体" w:cs="宋体"/>
          <w:b/>
          <w:bCs/>
          <w:color w:val="auto"/>
          <w:sz w:val="24"/>
          <w:highlight w:val="none"/>
          <w:lang w:val="en-US" w:eastAsia="zh-CN"/>
        </w:rPr>
        <w:t>收费标准：</w:t>
      </w:r>
    </w:p>
    <w:p>
      <w:pPr>
        <w:spacing w:line="360" w:lineRule="auto"/>
        <w:ind w:firstLine="504" w:firstLineChars="21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（1）代理服务费：</w:t>
      </w:r>
    </w:p>
    <w:p>
      <w:pPr>
        <w:spacing w:line="360" w:lineRule="auto"/>
        <w:ind w:firstLine="504" w:firstLineChars="21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（2）专家论证费：</w:t>
      </w:r>
    </w:p>
    <w:p>
      <w:pPr>
        <w:spacing w:line="360" w:lineRule="auto"/>
        <w:ind w:firstLine="506" w:firstLineChars="21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2.付款方式：</w:t>
      </w:r>
    </w:p>
    <w:p>
      <w:pPr>
        <w:spacing w:line="360" w:lineRule="auto"/>
        <w:ind w:firstLine="504" w:firstLineChars="21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（1）招标采购代理服务费：由乙方根据招标/采购文件规定向项目中标/成交供应商收取。</w:t>
      </w:r>
    </w:p>
    <w:p>
      <w:pPr>
        <w:spacing w:line="360" w:lineRule="auto"/>
        <w:ind w:firstLine="504" w:firstLineChars="21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（2）专家论证服务费：</w:t>
      </w:r>
      <w:r>
        <w:rPr>
          <w:rFonts w:hint="default" w:ascii="宋体" w:hAnsi="宋体" w:eastAsia="宋体" w:cs="宋体"/>
          <w:color w:val="auto"/>
          <w:sz w:val="24"/>
          <w:highlight w:val="none"/>
          <w:lang w:val="en-US" w:eastAsia="zh-CN"/>
        </w:rPr>
        <w:t>进口产品论证</w:t>
      </w:r>
      <w:r>
        <w:rPr>
          <w:rFonts w:hint="eastAsia" w:ascii="宋体" w:hAnsi="宋体" w:eastAsia="宋体" w:cs="宋体"/>
          <w:color w:val="auto"/>
          <w:sz w:val="24"/>
          <w:highlight w:val="none"/>
          <w:lang w:val="en-US" w:eastAsia="zh-CN"/>
        </w:rPr>
        <w:t>、采购需求论证结束后，根据乙方出具项目论证报告等相关文件及出具合格有效完整的完税发票及凭证，甲方在10个工作日内以银行转账方式支付。</w:t>
      </w:r>
    </w:p>
    <w:p>
      <w:pPr>
        <w:spacing w:line="360" w:lineRule="auto"/>
        <w:ind w:firstLine="506" w:firstLineChars="21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四、甲方权利及义务</w:t>
      </w:r>
    </w:p>
    <w:p>
      <w:pPr>
        <w:spacing w:line="360" w:lineRule="auto"/>
        <w:ind w:firstLine="504" w:firstLineChars="21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1.指派专人负责与乙方进行工作联系。</w:t>
      </w:r>
    </w:p>
    <w:p>
      <w:pPr>
        <w:spacing w:line="360" w:lineRule="auto"/>
        <w:ind w:firstLine="504" w:firstLineChars="21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2.甲方应向乙方提供委托项目的用户需求书，包括详细的技术规格、参数及要求和服务内容等书面材料。</w:t>
      </w:r>
    </w:p>
    <w:p>
      <w:pPr>
        <w:spacing w:line="360" w:lineRule="auto"/>
        <w:ind w:firstLine="504" w:firstLineChars="21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3.甲方应对乙方编制的招标采购文件予以审核并盖章确认。</w:t>
      </w:r>
    </w:p>
    <w:p>
      <w:pPr>
        <w:spacing w:line="360" w:lineRule="auto"/>
        <w:ind w:firstLine="504" w:firstLineChars="21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4.甲方有权就委托的项目提出合法、合理的要求，但不得指定供应商或指定品牌，不得提出含有倾向性、限制性或者排斥潜在供应商的要求。</w:t>
      </w:r>
    </w:p>
    <w:p>
      <w:pPr>
        <w:spacing w:line="360" w:lineRule="auto"/>
        <w:ind w:firstLine="504" w:firstLineChars="21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5.甲方依据有关规定可派一名甲方代表参加评审委员会，但不得非法干预、影响评审方法的确定、评审过程和结果。</w:t>
      </w:r>
    </w:p>
    <w:p>
      <w:pPr>
        <w:spacing w:line="360" w:lineRule="auto"/>
        <w:ind w:firstLine="504" w:firstLineChars="21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6.甲方有权按照评审报告中推荐的中标（成交）候选供应商顺序确定中标（成交）供应商。</w:t>
      </w:r>
    </w:p>
    <w:p>
      <w:pPr>
        <w:spacing w:line="360" w:lineRule="auto"/>
        <w:ind w:firstLine="504" w:firstLineChars="21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7.甲方有权对乙方组织的招标采购活动进行监督。</w:t>
      </w:r>
    </w:p>
    <w:p>
      <w:pPr>
        <w:spacing w:line="360" w:lineRule="auto"/>
        <w:ind w:firstLine="504" w:firstLineChars="21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8.甲方有义务保守招标采购活动中的商业秘密。</w:t>
      </w:r>
    </w:p>
    <w:p>
      <w:pPr>
        <w:spacing w:line="360" w:lineRule="auto"/>
        <w:ind w:firstLine="504" w:firstLineChars="21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9.甲方应严格遵守相关法律法规和各项招标投标及政府采购制度。</w:t>
      </w:r>
    </w:p>
    <w:p>
      <w:pPr>
        <w:spacing w:line="360" w:lineRule="auto"/>
        <w:ind w:firstLine="504" w:firstLineChars="21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w:t>
      </w:r>
      <w:r>
        <w:rPr>
          <w:rFonts w:hint="default" w:ascii="宋体" w:hAnsi="宋体" w:eastAsia="宋体" w:cs="宋体"/>
          <w:color w:val="auto"/>
          <w:sz w:val="24"/>
          <w:highlight w:val="none"/>
          <w:lang w:val="en-US" w:eastAsia="zh-CN"/>
        </w:rPr>
        <w:t>法律法规和甲方相关制度规定赋予的其他权利和义务。</w:t>
      </w:r>
      <w:r>
        <w:rPr>
          <w:rFonts w:hint="eastAsia" w:ascii="宋体" w:hAnsi="宋体" w:eastAsia="宋体" w:cs="宋体"/>
          <w:color w:val="auto"/>
          <w:sz w:val="24"/>
          <w:highlight w:val="none"/>
          <w:lang w:val="en-US" w:eastAsia="zh-CN"/>
        </w:rPr>
        <w:t xml:space="preserve"> </w:t>
      </w:r>
    </w:p>
    <w:p>
      <w:pPr>
        <w:spacing w:line="360" w:lineRule="auto"/>
        <w:ind w:firstLine="506" w:firstLineChars="21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五、乙方权利及义务</w:t>
      </w:r>
    </w:p>
    <w:p>
      <w:pPr>
        <w:spacing w:line="360" w:lineRule="auto"/>
        <w:ind w:firstLine="504" w:firstLineChars="21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default" w:ascii="宋体" w:hAnsi="宋体" w:eastAsia="宋体" w:cs="宋体"/>
          <w:color w:val="auto"/>
          <w:sz w:val="24"/>
          <w:highlight w:val="none"/>
          <w:lang w:val="en-US" w:eastAsia="zh-CN"/>
        </w:rPr>
        <w:t>乙方应严格遵守相关法律法规和市财政、卫健等部门，甲方制定的各项采购制度落实采购代理工作，做好项目论证工作。</w:t>
      </w:r>
    </w:p>
    <w:p>
      <w:pPr>
        <w:spacing w:line="360" w:lineRule="auto"/>
        <w:ind w:firstLine="504" w:firstLineChars="21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2.乙方应接受甲方监督，维护甲方和供应商的合法权益。</w:t>
      </w:r>
    </w:p>
    <w:p>
      <w:pPr>
        <w:spacing w:line="360" w:lineRule="auto"/>
        <w:ind w:firstLine="504" w:firstLineChars="21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.乙方应依据甲方要求为甲方提出科学的招标采购方案。</w:t>
      </w:r>
    </w:p>
    <w:p>
      <w:pPr>
        <w:spacing w:line="360" w:lineRule="auto"/>
        <w:ind w:firstLine="504" w:firstLineChars="21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.乙方应根据甲方提供的基础需求依法依规编制采购文件（含采购需求书）并按要求落实招标采购相关法律法规、政策要求，报甲方确认。</w:t>
      </w:r>
    </w:p>
    <w:p>
      <w:pPr>
        <w:spacing w:line="360" w:lineRule="auto"/>
        <w:ind w:firstLine="504" w:firstLineChars="21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.乙方应满足甲方的合法、合理要求，但对违法违规以及无理的要求应予拒绝。</w:t>
      </w:r>
    </w:p>
    <w:p>
      <w:pPr>
        <w:spacing w:line="360" w:lineRule="auto"/>
        <w:ind w:firstLine="504" w:firstLineChars="21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.乙方可以依据需要或根据规定，就招标采购文件征询有关专家或者供应商意见。</w:t>
      </w:r>
    </w:p>
    <w:p>
      <w:pPr>
        <w:spacing w:line="360" w:lineRule="auto"/>
        <w:ind w:firstLine="504" w:firstLineChars="21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.乙方应当依法组建评标/评审委员会。</w:t>
      </w:r>
    </w:p>
    <w:p>
      <w:pPr>
        <w:spacing w:line="360" w:lineRule="auto"/>
        <w:ind w:firstLine="504" w:firstLineChars="21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.乙方应依法及时答复甲方委托范围内的供应商的询问和质疑。</w:t>
      </w:r>
    </w:p>
    <w:p>
      <w:pPr>
        <w:spacing w:line="360" w:lineRule="auto"/>
        <w:ind w:firstLine="504" w:firstLineChars="21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.乙方须保守招标采购活动中的商业秘密。</w:t>
      </w:r>
    </w:p>
    <w:p>
      <w:pPr>
        <w:spacing w:line="360" w:lineRule="auto"/>
        <w:ind w:firstLine="504" w:firstLineChars="21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lang w:val="en-US" w:eastAsia="zh-CN"/>
        </w:rPr>
        <w:t>.乙方可依法收取代理服务费用。</w:t>
      </w:r>
      <w:r>
        <w:rPr>
          <w:rFonts w:hint="default" w:ascii="宋体" w:hAnsi="宋体" w:eastAsia="宋体" w:cs="宋体"/>
          <w:color w:val="auto"/>
          <w:sz w:val="24"/>
          <w:highlight w:val="none"/>
          <w:lang w:val="en-US" w:eastAsia="zh-CN"/>
        </w:rPr>
        <w:t>不得以非法手段向相关投标人收取其他费用。</w:t>
      </w:r>
    </w:p>
    <w:p>
      <w:pPr>
        <w:spacing w:line="360" w:lineRule="auto"/>
        <w:ind w:firstLine="504" w:firstLineChars="21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乙方应严格遵守相关法律法规和各项招标投标及政府采购制度。</w:t>
      </w:r>
    </w:p>
    <w:p>
      <w:pPr>
        <w:spacing w:line="360" w:lineRule="auto"/>
        <w:ind w:firstLine="506" w:firstLineChars="21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六、</w:t>
      </w:r>
      <w:r>
        <w:rPr>
          <w:rFonts w:hint="eastAsia" w:ascii="宋体" w:hAnsi="宋体" w:eastAsia="宋体" w:cs="宋体"/>
          <w:b/>
          <w:bCs/>
          <w:color w:val="auto"/>
          <w:sz w:val="24"/>
          <w:highlight w:val="none"/>
        </w:rPr>
        <w:t>保密条款</w:t>
      </w:r>
    </w:p>
    <w:p>
      <w:pPr>
        <w:snapToGrid w:val="0"/>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在</w:t>
      </w:r>
      <w:r>
        <w:rPr>
          <w:rFonts w:hint="eastAsia" w:ascii="宋体" w:hAnsi="宋体" w:eastAsia="宋体" w:cs="宋体"/>
          <w:bCs/>
          <w:color w:val="auto"/>
          <w:sz w:val="24"/>
          <w:highlight w:val="none"/>
          <w:lang w:val="en-US" w:eastAsia="zh-CN"/>
        </w:rPr>
        <w:t>服务</w:t>
      </w:r>
      <w:r>
        <w:rPr>
          <w:rFonts w:hint="eastAsia" w:ascii="宋体" w:hAnsi="宋体" w:eastAsia="宋体" w:cs="宋体"/>
          <w:bCs/>
          <w:color w:val="auto"/>
          <w:sz w:val="24"/>
          <w:highlight w:val="none"/>
          <w:lang w:eastAsia="zh-CN"/>
        </w:rPr>
        <w:t>期间，</w:t>
      </w:r>
      <w:r>
        <w:rPr>
          <w:rFonts w:hint="eastAsia" w:ascii="宋体" w:hAnsi="宋体" w:eastAsia="宋体" w:cs="宋体"/>
          <w:bCs/>
          <w:color w:val="auto"/>
          <w:sz w:val="24"/>
          <w:highlight w:val="none"/>
        </w:rPr>
        <w:t>乙方应对项目有关情况保密，做好资料保密工作，</w:t>
      </w:r>
      <w:r>
        <w:rPr>
          <w:rFonts w:hint="eastAsia" w:ascii="宋体" w:hAnsi="宋体" w:eastAsia="宋体" w:cs="宋体"/>
          <w:bCs/>
          <w:color w:val="auto"/>
          <w:sz w:val="24"/>
          <w:highlight w:val="none"/>
          <w:lang w:eastAsia="zh-CN"/>
        </w:rPr>
        <w:t>不得向无关人员透露</w:t>
      </w:r>
      <w:r>
        <w:rPr>
          <w:rFonts w:hint="eastAsia" w:ascii="宋体" w:hAnsi="宋体" w:cs="宋体"/>
          <w:bCs/>
          <w:color w:val="auto"/>
          <w:sz w:val="24"/>
          <w:highlight w:val="none"/>
          <w:lang w:val="en-US" w:eastAsia="zh-CN"/>
        </w:rPr>
        <w:t>招标</w:t>
      </w:r>
      <w:r>
        <w:rPr>
          <w:rFonts w:hint="eastAsia" w:ascii="宋体" w:hAnsi="宋体" w:eastAsia="宋体" w:cs="宋体"/>
          <w:bCs/>
          <w:color w:val="auto"/>
          <w:sz w:val="24"/>
          <w:highlight w:val="none"/>
          <w:lang w:eastAsia="zh-CN"/>
        </w:rPr>
        <w:t>采购工作的内部秘密，</w:t>
      </w:r>
      <w:r>
        <w:rPr>
          <w:rFonts w:hint="eastAsia" w:ascii="宋体" w:hAnsi="宋体" w:eastAsia="宋体" w:cs="宋体"/>
          <w:bCs/>
          <w:color w:val="auto"/>
          <w:sz w:val="24"/>
          <w:highlight w:val="none"/>
        </w:rPr>
        <w:t>保证所有资料不外泄。</w:t>
      </w:r>
      <w:r>
        <w:rPr>
          <w:rFonts w:hint="eastAsia" w:ascii="宋体" w:hAnsi="宋体" w:cs="宋体"/>
          <w:bCs/>
          <w:color w:val="auto"/>
          <w:sz w:val="24"/>
          <w:highlight w:val="none"/>
          <w:lang w:val="en-US" w:eastAsia="zh-CN"/>
        </w:rPr>
        <w:t>招标</w:t>
      </w:r>
      <w:r>
        <w:rPr>
          <w:rFonts w:hint="eastAsia" w:ascii="宋体" w:hAnsi="宋体" w:eastAsia="宋体" w:cs="宋体"/>
          <w:bCs/>
          <w:color w:val="auto"/>
          <w:sz w:val="24"/>
          <w:highlight w:val="none"/>
          <w:lang w:val="en-US" w:eastAsia="zh-CN"/>
        </w:rPr>
        <w:t>采购项目</w:t>
      </w:r>
      <w:r>
        <w:rPr>
          <w:rFonts w:hint="eastAsia" w:ascii="宋体" w:hAnsi="宋体" w:eastAsia="宋体" w:cs="宋体"/>
          <w:bCs/>
          <w:color w:val="auto"/>
          <w:sz w:val="24"/>
          <w:highlight w:val="none"/>
        </w:rPr>
        <w:t>完成后，乙方应将甲方提供的所有资料交还。一旦出现外泄引起纠纷，甲方有权保留起诉乙方的权利。</w:t>
      </w:r>
    </w:p>
    <w:p>
      <w:pPr>
        <w:snapToGrid w:val="0"/>
        <w:spacing w:line="500" w:lineRule="exact"/>
        <w:ind w:firstLine="482" w:firstLineChars="200"/>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七、委托协议的变更和终止</w:t>
      </w:r>
    </w:p>
    <w:p>
      <w:pPr>
        <w:snapToGrid w:val="0"/>
        <w:spacing w:line="500" w:lineRule="exact"/>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甲乙双方在协商一致的情况下，可以在招标投标法（政府采购法）和民法典许可范围内对委托协议内容做出变更，如</w:t>
      </w:r>
      <w:r>
        <w:rPr>
          <w:rFonts w:hint="eastAsia" w:ascii="宋体" w:hAnsi="宋体" w:cs="宋体"/>
          <w:bCs/>
          <w:color w:val="auto"/>
          <w:sz w:val="24"/>
          <w:highlight w:val="none"/>
          <w:lang w:val="en-US" w:eastAsia="zh-CN"/>
        </w:rPr>
        <w:t>做出</w:t>
      </w:r>
      <w:r>
        <w:rPr>
          <w:rFonts w:hint="eastAsia" w:ascii="宋体" w:hAnsi="宋体" w:eastAsia="宋体" w:cs="宋体"/>
          <w:bCs/>
          <w:color w:val="auto"/>
          <w:sz w:val="24"/>
          <w:highlight w:val="none"/>
          <w:lang w:val="en-US" w:eastAsia="zh-CN"/>
        </w:rPr>
        <w:t>变更的应当签订补充协议；如发生了不可抗力或重大变故等原因，致使</w:t>
      </w:r>
      <w:r>
        <w:rPr>
          <w:rFonts w:hint="eastAsia" w:ascii="宋体" w:hAnsi="宋体" w:cs="宋体"/>
          <w:bCs/>
          <w:color w:val="auto"/>
          <w:sz w:val="24"/>
          <w:highlight w:val="none"/>
          <w:lang w:val="en-US" w:eastAsia="zh-CN"/>
        </w:rPr>
        <w:t>招标</w:t>
      </w:r>
      <w:r>
        <w:rPr>
          <w:rFonts w:hint="eastAsia" w:ascii="宋体" w:hAnsi="宋体" w:eastAsia="宋体" w:cs="宋体"/>
          <w:bCs/>
          <w:color w:val="auto"/>
          <w:sz w:val="24"/>
          <w:highlight w:val="none"/>
          <w:lang w:val="en-US" w:eastAsia="zh-CN"/>
        </w:rPr>
        <w:t>采购项目发生更改或取消的，应签订补充协议或终止本协议。</w:t>
      </w:r>
    </w:p>
    <w:p>
      <w:pPr>
        <w:snapToGrid w:val="0"/>
        <w:spacing w:line="50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eastAsia="zh-CN"/>
        </w:rPr>
        <w:t>八、</w:t>
      </w:r>
      <w:r>
        <w:rPr>
          <w:rFonts w:hint="eastAsia" w:ascii="宋体" w:hAnsi="宋体" w:eastAsia="宋体" w:cs="宋体"/>
          <w:b/>
          <w:bCs/>
          <w:color w:val="auto"/>
          <w:sz w:val="24"/>
          <w:highlight w:val="none"/>
        </w:rPr>
        <w:t>违约责任</w:t>
      </w:r>
    </w:p>
    <w:p>
      <w:pPr>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甲乙双方应遵守有关法律、法规、规章的规定和本协议的约定，否则，将承担相应的法律责任。因违约造成经济损失的，由违约方承担。</w:t>
      </w:r>
    </w:p>
    <w:p>
      <w:pPr>
        <w:snapToGrid w:val="0"/>
        <w:spacing w:line="500" w:lineRule="exact"/>
        <w:ind w:left="240"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b/>
          <w:bCs/>
          <w:color w:val="auto"/>
          <w:sz w:val="24"/>
          <w:highlight w:val="none"/>
        </w:rPr>
        <w:t xml:space="preserve">  </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lang w:eastAsia="zh-CN"/>
        </w:rPr>
        <w:t>九、</w:t>
      </w:r>
      <w:r>
        <w:rPr>
          <w:rFonts w:hint="eastAsia" w:ascii="宋体" w:hAnsi="宋体" w:eastAsia="宋体" w:cs="宋体"/>
          <w:b/>
          <w:bCs/>
          <w:color w:val="auto"/>
          <w:sz w:val="24"/>
          <w:highlight w:val="none"/>
        </w:rPr>
        <w:t>不可抗力</w:t>
      </w:r>
    </w:p>
    <w:p>
      <w:pPr>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napToGrid w:val="0"/>
        <w:spacing w:line="500" w:lineRule="exact"/>
        <w:ind w:left="19" w:leftChars="9" w:firstLine="465" w:firstLineChars="19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十、</w:t>
      </w:r>
      <w:r>
        <w:rPr>
          <w:rFonts w:hint="eastAsia" w:ascii="宋体" w:hAnsi="宋体" w:eastAsia="宋体" w:cs="宋体"/>
          <w:b/>
          <w:bCs/>
          <w:color w:val="auto"/>
          <w:sz w:val="24"/>
          <w:highlight w:val="none"/>
        </w:rPr>
        <w:t>争议的解决</w:t>
      </w:r>
    </w:p>
    <w:p>
      <w:pPr>
        <w:snapToGrid w:val="0"/>
        <w:spacing w:line="500" w:lineRule="exact"/>
        <w:ind w:left="19" w:leftChars="9" w:firstLine="463" w:firstLineChars="193"/>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因履行本合同引起的或者与本合同有关的争议，甲乙双方应当通过友好协商方式解决；如协商不能解决的，双方均可向惠州市惠城区人民法院提起诉讼。</w:t>
      </w:r>
    </w:p>
    <w:p>
      <w:pPr>
        <w:snapToGrid w:val="0"/>
        <w:spacing w:line="500" w:lineRule="exact"/>
        <w:ind w:left="19" w:leftChars="9" w:firstLine="465" w:firstLineChars="19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w:t>
      </w:r>
      <w:r>
        <w:rPr>
          <w:rFonts w:hint="eastAsia" w:ascii="宋体" w:hAnsi="宋体" w:eastAsia="宋体" w:cs="宋体"/>
          <w:b/>
          <w:bCs/>
          <w:color w:val="auto"/>
          <w:sz w:val="24"/>
          <w:highlight w:val="none"/>
          <w:lang w:eastAsia="zh-CN"/>
        </w:rPr>
        <w:t>一</w:t>
      </w:r>
      <w:r>
        <w:rPr>
          <w:rFonts w:hint="eastAsia" w:ascii="宋体" w:hAnsi="宋体" w:eastAsia="宋体" w:cs="宋体"/>
          <w:b/>
          <w:bCs/>
          <w:color w:val="auto"/>
          <w:sz w:val="24"/>
          <w:highlight w:val="none"/>
        </w:rPr>
        <w:t>、廉洁自律条款</w:t>
      </w:r>
    </w:p>
    <w:p>
      <w:pPr>
        <w:snapToGrid w:val="0"/>
        <w:spacing w:line="500" w:lineRule="exact"/>
        <w:ind w:left="19" w:leftChars="9" w:firstLine="463" w:firstLineChars="193"/>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甲乙双方应自觉遵守廉洁自律制度，严禁商业贿赂行为。如有违反，按照国家法律法规及医院规章制度进行处理。</w:t>
      </w:r>
    </w:p>
    <w:p>
      <w:pPr>
        <w:tabs>
          <w:tab w:val="left" w:pos="992"/>
        </w:tabs>
        <w:snapToGrid w:val="0"/>
        <w:spacing w:line="520" w:lineRule="exact"/>
        <w:ind w:left="420" w:leftChars="200"/>
        <w:rPr>
          <w:rFonts w:hint="eastAsia" w:ascii="宋体" w:hAnsi="宋体" w:eastAsia="宋体" w:cs="宋体"/>
          <w:color w:val="auto"/>
          <w:highlight w:val="none"/>
        </w:rPr>
      </w:pPr>
      <w:r>
        <w:rPr>
          <w:rFonts w:hint="eastAsia" w:ascii="宋体" w:hAnsi="宋体" w:eastAsia="宋体" w:cs="宋体"/>
          <w:b/>
          <w:bCs/>
          <w:color w:val="auto"/>
          <w:sz w:val="24"/>
          <w:highlight w:val="none"/>
          <w:lang w:val="en-US" w:eastAsia="zh-CN"/>
        </w:rPr>
        <w:t>十</w:t>
      </w:r>
      <w:r>
        <w:rPr>
          <w:rFonts w:hint="eastAsia" w:ascii="宋体" w:hAnsi="宋体" w:cs="宋体"/>
          <w:b/>
          <w:bCs/>
          <w:color w:val="auto"/>
          <w:sz w:val="24"/>
          <w:highlight w:val="none"/>
          <w:lang w:val="en-US" w:eastAsia="zh-CN"/>
        </w:rPr>
        <w:t>二</w:t>
      </w:r>
      <w:r>
        <w:rPr>
          <w:rFonts w:hint="eastAsia" w:ascii="宋体" w:hAnsi="宋体" w:eastAsia="宋体" w:cs="宋体"/>
          <w:b/>
          <w:bCs/>
          <w:color w:val="auto"/>
          <w:sz w:val="24"/>
          <w:highlight w:val="none"/>
          <w:lang w:val="en-US" w:eastAsia="zh-CN"/>
        </w:rPr>
        <w:t>、</w:t>
      </w:r>
      <w:r>
        <w:rPr>
          <w:rFonts w:hint="eastAsia" w:ascii="宋体" w:hAnsi="宋体" w:eastAsia="宋体" w:cs="宋体"/>
          <w:b/>
          <w:color w:val="auto"/>
          <w:sz w:val="24"/>
          <w:highlight w:val="none"/>
        </w:rPr>
        <w:t>其他</w:t>
      </w:r>
    </w:p>
    <w:p>
      <w:pPr>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1.本合同所有附件、</w:t>
      </w:r>
      <w:r>
        <w:rPr>
          <w:rFonts w:hint="eastAsia" w:ascii="宋体" w:hAnsi="宋体" w:cs="宋体"/>
          <w:color w:val="auto"/>
          <w:sz w:val="24"/>
          <w:highlight w:val="none"/>
          <w:lang w:val="en-US" w:eastAsia="zh-CN"/>
        </w:rPr>
        <w:t>招标</w:t>
      </w:r>
      <w:r>
        <w:rPr>
          <w:rFonts w:hint="eastAsia" w:ascii="宋体" w:hAnsi="宋体" w:eastAsia="宋体" w:cs="宋体"/>
          <w:color w:val="auto"/>
          <w:sz w:val="24"/>
          <w:highlight w:val="none"/>
          <w:lang w:val="en-US" w:eastAsia="zh-CN"/>
        </w:rPr>
        <w:t>采购文件、</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lang w:val="en-US" w:eastAsia="zh-CN"/>
        </w:rPr>
        <w:t>文件、中标</w:t>
      </w:r>
      <w:r>
        <w:rPr>
          <w:rFonts w:hint="eastAsia" w:ascii="宋体" w:hAnsi="宋体" w:cs="宋体"/>
          <w:color w:val="auto"/>
          <w:sz w:val="24"/>
          <w:highlight w:val="none"/>
          <w:lang w:val="en-US" w:eastAsia="zh-CN"/>
        </w:rPr>
        <w:t>/成交通知书</w:t>
      </w:r>
      <w:r>
        <w:rPr>
          <w:rFonts w:hint="eastAsia" w:ascii="宋体" w:hAnsi="宋体" w:eastAsia="宋体" w:cs="宋体"/>
          <w:color w:val="auto"/>
          <w:sz w:val="24"/>
          <w:highlight w:val="none"/>
          <w:lang w:val="en-US" w:eastAsia="zh-CN"/>
        </w:rPr>
        <w:t>均</w:t>
      </w:r>
      <w:r>
        <w:rPr>
          <w:rFonts w:hint="eastAsia" w:ascii="宋体" w:hAnsi="宋体" w:cs="宋体"/>
          <w:color w:val="auto"/>
          <w:sz w:val="24"/>
          <w:highlight w:val="none"/>
          <w:lang w:val="en-US" w:eastAsia="zh-CN"/>
        </w:rPr>
        <w:t>为本</w:t>
      </w:r>
      <w:r>
        <w:rPr>
          <w:rFonts w:hint="eastAsia" w:ascii="宋体" w:hAnsi="宋体" w:eastAsia="宋体" w:cs="宋体"/>
          <w:color w:val="auto"/>
          <w:sz w:val="24"/>
          <w:highlight w:val="none"/>
          <w:lang w:val="en-US" w:eastAsia="zh-CN"/>
        </w:rPr>
        <w:t>合同的有效组成部分，与本合同具有同等法律效力。</w:t>
      </w:r>
    </w:p>
    <w:p>
      <w:pPr>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2.在执行本合同的过程中，所有经双方签署确认的文件（包括会议纪要、补充协议、往来信函）即成为本合同的有效组成部分。</w:t>
      </w:r>
    </w:p>
    <w:p>
      <w:pPr>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3.如一方地址、电话、传真号码有变更，应在变更当日内书面通知对方，否则，应承担相应责任。</w:t>
      </w:r>
    </w:p>
    <w:p>
      <w:pPr>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4.除甲方事先书面同意外，乙方不得部分或全部转让其应履行的合同项下的义务。</w:t>
      </w:r>
    </w:p>
    <w:p>
      <w:pPr>
        <w:tabs>
          <w:tab w:val="left" w:pos="992"/>
        </w:tabs>
        <w:snapToGrid w:val="0"/>
        <w:spacing w:line="520" w:lineRule="exact"/>
        <w:ind w:left="420" w:leftChars="200"/>
        <w:rPr>
          <w:rFonts w:hint="default" w:ascii="宋体" w:hAnsi="宋体" w:eastAsia="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十三、</w:t>
      </w:r>
      <w:r>
        <w:rPr>
          <w:rFonts w:hint="eastAsia" w:ascii="宋体" w:hAnsi="宋体" w:eastAsia="宋体" w:cs="宋体"/>
          <w:b/>
          <w:bCs w:val="0"/>
          <w:color w:val="auto"/>
          <w:sz w:val="24"/>
          <w:highlight w:val="none"/>
          <w:lang w:val="en-US" w:eastAsia="zh-CN"/>
        </w:rPr>
        <w:t>合同生效</w:t>
      </w:r>
    </w:p>
    <w:p>
      <w:pPr>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1.本合同在甲乙双方法</w:t>
      </w:r>
      <w:r>
        <w:rPr>
          <w:rFonts w:hint="eastAsia" w:ascii="宋体" w:hAnsi="宋体" w:cs="宋体"/>
          <w:color w:val="auto"/>
          <w:sz w:val="24"/>
          <w:highlight w:val="none"/>
          <w:lang w:val="en-US" w:eastAsia="zh-CN"/>
        </w:rPr>
        <w:t>定</w:t>
      </w:r>
      <w:r>
        <w:rPr>
          <w:rFonts w:hint="eastAsia" w:ascii="宋体" w:hAnsi="宋体" w:eastAsia="宋体" w:cs="宋体"/>
          <w:color w:val="auto"/>
          <w:sz w:val="24"/>
          <w:highlight w:val="none"/>
          <w:lang w:val="en-US" w:eastAsia="zh-CN"/>
        </w:rPr>
        <w:t>代表</w:t>
      </w:r>
      <w:r>
        <w:rPr>
          <w:rFonts w:hint="eastAsia" w:ascii="宋体" w:hAnsi="宋体" w:cs="宋体"/>
          <w:color w:val="auto"/>
          <w:sz w:val="24"/>
          <w:highlight w:val="none"/>
          <w:lang w:val="en-US" w:eastAsia="zh-CN"/>
        </w:rPr>
        <w:t>人</w:t>
      </w:r>
      <w:r>
        <w:rPr>
          <w:rFonts w:hint="eastAsia" w:ascii="宋体" w:hAnsi="宋体" w:eastAsia="宋体" w:cs="宋体"/>
          <w:color w:val="auto"/>
          <w:sz w:val="24"/>
          <w:highlight w:val="none"/>
          <w:lang w:val="en-US" w:eastAsia="zh-CN"/>
        </w:rPr>
        <w:t>或其授权代表签字</w:t>
      </w:r>
      <w:r>
        <w:rPr>
          <w:rFonts w:hint="eastAsia" w:ascii="宋体" w:hAnsi="宋体" w:cs="宋体"/>
          <w:color w:val="auto"/>
          <w:sz w:val="24"/>
          <w:highlight w:val="none"/>
          <w:lang w:val="en-US" w:eastAsia="zh-CN"/>
        </w:rPr>
        <w:t>并</w:t>
      </w:r>
      <w:r>
        <w:rPr>
          <w:rFonts w:hint="eastAsia" w:ascii="宋体" w:hAnsi="宋体" w:eastAsia="宋体" w:cs="宋体"/>
          <w:color w:val="auto"/>
          <w:sz w:val="24"/>
          <w:highlight w:val="none"/>
          <w:lang w:val="en-US" w:eastAsia="zh-CN"/>
        </w:rPr>
        <w:t>盖章后生效。</w:t>
      </w:r>
    </w:p>
    <w:p>
      <w:pPr>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本合同</w:t>
      </w:r>
      <w:r>
        <w:rPr>
          <w:rFonts w:hint="eastAsia" w:ascii="宋体" w:hAnsi="宋体" w:eastAsia="宋体" w:cs="宋体"/>
          <w:color w:val="auto"/>
          <w:sz w:val="24"/>
          <w:highlight w:val="none"/>
          <w:lang w:val="en-US" w:eastAsia="zh-CN"/>
        </w:rPr>
        <w:t>一式伍份，甲方持</w:t>
      </w:r>
      <w:r>
        <w:rPr>
          <w:rFonts w:hint="eastAsia" w:ascii="宋体" w:hAnsi="宋体" w:cs="宋体"/>
          <w:color w:val="auto"/>
          <w:sz w:val="24"/>
          <w:highlight w:val="none"/>
          <w:lang w:val="en-US" w:eastAsia="zh-CN"/>
        </w:rPr>
        <w:t>叁</w:t>
      </w:r>
      <w:r>
        <w:rPr>
          <w:rFonts w:hint="eastAsia" w:ascii="宋体" w:hAnsi="宋体" w:eastAsia="宋体" w:cs="宋体"/>
          <w:color w:val="auto"/>
          <w:sz w:val="24"/>
          <w:highlight w:val="none"/>
          <w:lang w:val="en-US" w:eastAsia="zh-CN"/>
        </w:rPr>
        <w:t>份，乙方持</w:t>
      </w:r>
      <w:r>
        <w:rPr>
          <w:rFonts w:hint="eastAsia" w:ascii="宋体" w:hAnsi="宋体" w:cs="宋体"/>
          <w:color w:val="auto"/>
          <w:sz w:val="24"/>
          <w:highlight w:val="none"/>
          <w:lang w:val="en-US" w:eastAsia="zh-CN"/>
        </w:rPr>
        <w:t>贰</w:t>
      </w:r>
      <w:r>
        <w:rPr>
          <w:rFonts w:hint="eastAsia" w:ascii="宋体" w:hAnsi="宋体" w:eastAsia="宋体" w:cs="宋体"/>
          <w:color w:val="auto"/>
          <w:sz w:val="24"/>
          <w:highlight w:val="none"/>
          <w:lang w:val="en-US" w:eastAsia="zh-CN"/>
        </w:rPr>
        <w:t>份。</w:t>
      </w:r>
    </w:p>
    <w:p>
      <w:pPr>
        <w:snapToGrid w:val="0"/>
        <w:spacing w:line="360" w:lineRule="auto"/>
        <w:ind w:left="5880" w:hanging="5880" w:hangingChars="2450"/>
        <w:rPr>
          <w:rFonts w:hint="eastAsia" w:ascii="宋体" w:hAnsi="宋体" w:eastAsia="宋体" w:cs="宋体"/>
          <w:color w:val="auto"/>
          <w:sz w:val="24"/>
          <w:highlight w:val="yellow"/>
        </w:rPr>
      </w:pPr>
    </w:p>
    <w:p>
      <w:pPr>
        <w:snapToGrid w:val="0"/>
        <w:spacing w:line="360" w:lineRule="auto"/>
        <w:ind w:left="5880" w:hanging="5880" w:hangingChars="2450"/>
        <w:rPr>
          <w:rFonts w:hint="eastAsia" w:ascii="宋体" w:hAnsi="宋体" w:eastAsia="宋体" w:cs="宋体"/>
          <w:color w:val="auto"/>
          <w:sz w:val="24"/>
          <w:highlight w:val="yellow"/>
        </w:rPr>
      </w:pPr>
    </w:p>
    <w:p>
      <w:pPr>
        <w:snapToGrid w:val="0"/>
        <w:spacing w:line="360" w:lineRule="auto"/>
        <w:ind w:left="5880" w:hanging="5880" w:hangingChars="2450"/>
        <w:rPr>
          <w:rFonts w:hint="eastAsia" w:ascii="宋体" w:hAnsi="宋体" w:eastAsia="宋体" w:cs="宋体"/>
          <w:color w:val="auto"/>
          <w:sz w:val="24"/>
          <w:highlight w:val="yellow"/>
        </w:rPr>
      </w:pPr>
    </w:p>
    <w:p>
      <w:pPr>
        <w:snapToGrid w:val="0"/>
        <w:spacing w:line="360" w:lineRule="auto"/>
        <w:ind w:left="5880" w:hanging="5880" w:hangingChars="2450"/>
        <w:rPr>
          <w:rFonts w:hint="eastAsia" w:ascii="宋体" w:hAnsi="宋体" w:eastAsia="宋体" w:cs="宋体"/>
          <w:b w:val="0"/>
          <w:bCs w:val="0"/>
          <w:color w:val="auto"/>
          <w:sz w:val="24"/>
          <w:highlight w:val="none"/>
          <w:u w:val="single"/>
        </w:rPr>
      </w:pPr>
      <w:r>
        <w:rPr>
          <w:rFonts w:hint="eastAsia" w:ascii="宋体" w:hAnsi="宋体" w:eastAsia="宋体" w:cs="宋体"/>
          <w:b w:val="0"/>
          <w:bCs w:val="0"/>
          <w:color w:val="auto"/>
          <w:sz w:val="24"/>
          <w:highlight w:val="none"/>
        </w:rPr>
        <w:t>甲方：</w:t>
      </w:r>
      <w:r>
        <w:rPr>
          <w:rFonts w:hint="eastAsia" w:ascii="宋体" w:hAnsi="宋体" w:eastAsia="宋体" w:cs="宋体"/>
          <w:b w:val="0"/>
          <w:bCs w:val="0"/>
          <w:color w:val="auto"/>
          <w:sz w:val="24"/>
          <w:highlight w:val="none"/>
          <w:lang w:eastAsia="zh-CN"/>
        </w:rPr>
        <w:t xml:space="preserve">惠州市第一妇幼保健院 </w:t>
      </w:r>
      <w:r>
        <w:rPr>
          <w:rFonts w:hint="eastAsia" w:ascii="宋体" w:hAnsi="宋体" w:eastAsia="宋体" w:cs="宋体"/>
          <w:b w:val="0"/>
          <w:bCs w:val="0"/>
          <w:color w:val="auto"/>
          <w:sz w:val="24"/>
          <w:highlight w:val="none"/>
        </w:rPr>
        <w:t xml:space="preserve">  </w:t>
      </w:r>
      <w:r>
        <w:rPr>
          <w:rFonts w:hint="eastAsia" w:ascii="宋体" w:hAnsi="宋体" w:eastAsia="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rPr>
        <w:t>乙方：</w:t>
      </w:r>
    </w:p>
    <w:p>
      <w:pPr>
        <w:snapToGrid w:val="0"/>
        <w:spacing w:line="360" w:lineRule="auto"/>
        <w:rPr>
          <w:rFonts w:hint="eastAsia" w:ascii="宋体" w:hAnsi="宋体" w:eastAsia="宋体" w:cs="宋体"/>
          <w:b w:val="0"/>
          <w:bCs w:val="0"/>
          <w:color w:val="auto"/>
          <w:sz w:val="24"/>
          <w:highlight w:val="none"/>
        </w:rPr>
      </w:pPr>
    </w:p>
    <w:p>
      <w:pPr>
        <w:snapToGrid w:val="0"/>
        <w:spacing w:line="360" w:lineRule="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授权代表</w:t>
      </w:r>
      <w:r>
        <w:rPr>
          <w:rFonts w:hint="eastAsia" w:ascii="宋体" w:hAnsi="宋体" w:eastAsia="宋体" w:cs="宋体"/>
          <w:b w:val="0"/>
          <w:bCs w:val="0"/>
          <w:color w:val="auto"/>
          <w:sz w:val="24"/>
          <w:highlight w:val="none"/>
        </w:rPr>
        <w:t xml:space="preserve">：                </w:t>
      </w:r>
      <w:r>
        <w:rPr>
          <w:rFonts w:hint="eastAsia" w:ascii="宋体" w:hAnsi="宋体" w:eastAsia="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rPr>
        <w:t>法定代表人</w:t>
      </w:r>
      <w:r>
        <w:rPr>
          <w:rFonts w:hint="eastAsia" w:ascii="宋体" w:hAnsi="宋体" w:eastAsia="宋体" w:cs="宋体"/>
          <w:b w:val="0"/>
          <w:bCs w:val="0"/>
          <w:color w:val="auto"/>
          <w:sz w:val="24"/>
          <w:highlight w:val="none"/>
          <w:lang w:val="en-US" w:eastAsia="zh-CN"/>
        </w:rPr>
        <w:t>或授权代表</w:t>
      </w:r>
      <w:r>
        <w:rPr>
          <w:rFonts w:hint="eastAsia" w:ascii="宋体" w:hAnsi="宋体" w:eastAsia="宋体" w:cs="宋体"/>
          <w:b w:val="0"/>
          <w:bCs w:val="0"/>
          <w:color w:val="auto"/>
          <w:sz w:val="24"/>
          <w:highlight w:val="none"/>
        </w:rPr>
        <w:t>：</w:t>
      </w:r>
    </w:p>
    <w:p>
      <w:pPr>
        <w:snapToGrid w:val="0"/>
        <w:spacing w:line="360" w:lineRule="auto"/>
        <w:rPr>
          <w:rFonts w:hint="eastAsia" w:ascii="宋体" w:hAnsi="宋体" w:eastAsia="宋体" w:cs="宋体"/>
          <w:b w:val="0"/>
          <w:bCs w:val="0"/>
          <w:color w:val="auto"/>
          <w:sz w:val="24"/>
          <w:highlight w:val="none"/>
        </w:rPr>
      </w:pPr>
    </w:p>
    <w:p>
      <w:pPr>
        <w:snapToGrid w:val="0"/>
        <w:spacing w:line="360" w:lineRule="auto"/>
        <w:ind w:left="5760" w:hanging="5760" w:hangingChars="2400"/>
        <w:rPr>
          <w:rFonts w:hint="eastAsia" w:ascii="宋体" w:hAnsi="宋体" w:eastAsia="宋体" w:cs="宋体"/>
          <w:b w:val="0"/>
          <w:bCs w:val="0"/>
          <w:color w:val="auto"/>
          <w:sz w:val="24"/>
          <w:highlight w:val="none"/>
          <w:u w:val="none"/>
        </w:rPr>
      </w:pPr>
      <w:r>
        <w:rPr>
          <w:rFonts w:hint="eastAsia" w:ascii="宋体" w:hAnsi="宋体" w:eastAsia="宋体" w:cs="宋体"/>
          <w:b w:val="0"/>
          <w:bCs w:val="0"/>
          <w:color w:val="auto"/>
          <w:sz w:val="24"/>
          <w:highlight w:val="none"/>
          <w:u w:val="none"/>
        </w:rPr>
        <w:t xml:space="preserve">地址： </w:t>
      </w:r>
      <w:r>
        <w:rPr>
          <w:rFonts w:hint="eastAsia" w:ascii="宋体" w:hAnsi="宋体" w:eastAsia="宋体" w:cs="宋体"/>
          <w:b w:val="0"/>
          <w:bCs w:val="0"/>
          <w:color w:val="auto"/>
          <w:sz w:val="24"/>
          <w:highlight w:val="none"/>
          <w:u w:val="none"/>
          <w:lang w:eastAsia="zh-CN"/>
        </w:rPr>
        <w:t>惠城区演达四路</w:t>
      </w:r>
      <w:r>
        <w:rPr>
          <w:rFonts w:hint="eastAsia" w:ascii="宋体" w:hAnsi="宋体" w:eastAsia="宋体" w:cs="宋体"/>
          <w:b w:val="0"/>
          <w:bCs w:val="0"/>
          <w:color w:val="auto"/>
          <w:sz w:val="24"/>
          <w:highlight w:val="none"/>
          <w:u w:val="none"/>
          <w:lang w:val="en-US" w:eastAsia="zh-CN"/>
        </w:rPr>
        <w:t>5号</w:t>
      </w:r>
      <w:r>
        <w:rPr>
          <w:rFonts w:hint="eastAsia" w:ascii="宋体" w:hAnsi="宋体" w:eastAsia="宋体" w:cs="宋体"/>
          <w:b w:val="0"/>
          <w:bCs w:val="0"/>
          <w:color w:val="auto"/>
          <w:sz w:val="24"/>
          <w:highlight w:val="none"/>
          <w:u w:val="none"/>
        </w:rPr>
        <w:t xml:space="preserve">         </w:t>
      </w:r>
      <w:r>
        <w:rPr>
          <w:rFonts w:hint="eastAsia" w:ascii="宋体" w:hAnsi="宋体" w:eastAsia="宋体" w:cs="宋体"/>
          <w:b w:val="0"/>
          <w:bCs w:val="0"/>
          <w:color w:val="auto"/>
          <w:sz w:val="24"/>
          <w:highlight w:val="none"/>
          <w:u w:val="none"/>
          <w:lang w:val="en-US" w:eastAsia="zh-CN"/>
        </w:rPr>
        <w:t xml:space="preserve">  </w:t>
      </w:r>
      <w:r>
        <w:rPr>
          <w:rFonts w:hint="eastAsia" w:ascii="宋体" w:hAnsi="宋体" w:eastAsia="宋体" w:cs="宋体"/>
          <w:b w:val="0"/>
          <w:bCs w:val="0"/>
          <w:color w:val="auto"/>
          <w:sz w:val="24"/>
          <w:highlight w:val="none"/>
          <w:u w:val="none"/>
        </w:rPr>
        <w:t xml:space="preserve">地址：       </w:t>
      </w:r>
    </w:p>
    <w:p>
      <w:pPr>
        <w:snapToGrid w:val="0"/>
        <w:spacing w:line="360" w:lineRule="auto"/>
        <w:ind w:left="5760" w:hanging="5760" w:hangingChars="2400"/>
        <w:rPr>
          <w:rFonts w:hint="eastAsia" w:ascii="宋体" w:hAnsi="宋体" w:eastAsia="宋体" w:cs="宋体"/>
          <w:b w:val="0"/>
          <w:bCs w:val="0"/>
          <w:color w:val="auto"/>
          <w:sz w:val="24"/>
          <w:highlight w:val="none"/>
          <w:u w:val="none"/>
        </w:rPr>
      </w:pPr>
    </w:p>
    <w:p>
      <w:pPr>
        <w:snapToGrid w:val="0"/>
        <w:spacing w:line="360" w:lineRule="auto"/>
        <w:ind w:left="5760" w:hanging="5760" w:hangingChars="2400"/>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rPr>
        <w:t xml:space="preserve">电话： </w:t>
      </w:r>
      <w:r>
        <w:rPr>
          <w:rFonts w:hint="eastAsia" w:ascii="宋体" w:hAnsi="宋体" w:eastAsia="宋体" w:cs="宋体"/>
          <w:b w:val="0"/>
          <w:bCs w:val="0"/>
          <w:color w:val="auto"/>
          <w:sz w:val="24"/>
          <w:highlight w:val="none"/>
          <w:u w:val="none"/>
          <w:lang w:val="en-US" w:eastAsia="zh-CN"/>
        </w:rPr>
        <w:t>0752-7806068</w:t>
      </w:r>
      <w:r>
        <w:rPr>
          <w:rFonts w:hint="eastAsia" w:ascii="宋体" w:hAnsi="宋体" w:eastAsia="宋体" w:cs="宋体"/>
          <w:b w:val="0"/>
          <w:bCs w:val="0"/>
          <w:color w:val="auto"/>
          <w:sz w:val="24"/>
          <w:highlight w:val="none"/>
          <w:u w:val="none"/>
        </w:rPr>
        <w:t xml:space="preserve">       </w:t>
      </w:r>
      <w:r>
        <w:rPr>
          <w:rFonts w:hint="eastAsia" w:ascii="宋体" w:hAnsi="宋体" w:eastAsia="宋体" w:cs="宋体"/>
          <w:b w:val="0"/>
          <w:bCs w:val="0"/>
          <w:color w:val="auto"/>
          <w:sz w:val="24"/>
          <w:highlight w:val="none"/>
          <w:u w:val="none"/>
          <w:lang w:val="en-US" w:eastAsia="zh-CN"/>
        </w:rPr>
        <w:t xml:space="preserve"> </w:t>
      </w:r>
      <w:r>
        <w:rPr>
          <w:rFonts w:hint="eastAsia" w:ascii="宋体" w:hAnsi="宋体" w:eastAsia="宋体" w:cs="宋体"/>
          <w:b w:val="0"/>
          <w:bCs w:val="0"/>
          <w:color w:val="auto"/>
          <w:sz w:val="24"/>
          <w:highlight w:val="none"/>
          <w:u w:val="none"/>
        </w:rPr>
        <w:t xml:space="preserve">        </w:t>
      </w:r>
      <w:r>
        <w:rPr>
          <w:rFonts w:hint="eastAsia" w:ascii="宋体" w:hAnsi="宋体" w:eastAsia="宋体" w:cs="宋体"/>
          <w:b w:val="0"/>
          <w:bCs w:val="0"/>
          <w:color w:val="auto"/>
          <w:sz w:val="24"/>
          <w:highlight w:val="none"/>
          <w:u w:val="none"/>
          <w:lang w:val="en-US" w:eastAsia="zh-CN"/>
        </w:rPr>
        <w:t xml:space="preserve"> </w:t>
      </w:r>
      <w:r>
        <w:rPr>
          <w:rFonts w:hint="eastAsia" w:ascii="宋体" w:hAnsi="宋体" w:eastAsia="宋体" w:cs="宋体"/>
          <w:b w:val="0"/>
          <w:bCs w:val="0"/>
          <w:color w:val="auto"/>
          <w:sz w:val="24"/>
          <w:highlight w:val="none"/>
          <w:u w:val="none"/>
        </w:rPr>
        <w:t xml:space="preserve">电话：       </w:t>
      </w:r>
      <w:r>
        <w:rPr>
          <w:rFonts w:hint="eastAsia" w:ascii="宋体" w:hAnsi="宋体" w:eastAsia="宋体" w:cs="宋体"/>
          <w:b w:val="0"/>
          <w:bCs w:val="0"/>
          <w:color w:val="auto"/>
          <w:sz w:val="24"/>
          <w:highlight w:val="none"/>
          <w:u w:val="none"/>
          <w:lang w:val="en-US" w:eastAsia="zh-CN"/>
        </w:rPr>
        <w:t xml:space="preserve">   </w:t>
      </w:r>
    </w:p>
    <w:p>
      <w:pPr>
        <w:snapToGrid w:val="0"/>
        <w:spacing w:line="360" w:lineRule="auto"/>
        <w:rPr>
          <w:rFonts w:hint="eastAsia" w:ascii="宋体" w:hAnsi="宋体" w:eastAsia="宋体" w:cs="宋体"/>
          <w:b w:val="0"/>
          <w:bCs w:val="0"/>
          <w:color w:val="auto"/>
          <w:sz w:val="24"/>
          <w:highlight w:val="none"/>
        </w:rPr>
      </w:pPr>
    </w:p>
    <w:p>
      <w:pPr>
        <w:snapToGrid w:val="0"/>
        <w:spacing w:line="360" w:lineRule="auto"/>
        <w:rPr>
          <w:rFonts w:hint="eastAsia" w:ascii="宋体" w:hAnsi="宋体" w:cs="宋体"/>
          <w:b w:val="0"/>
          <w:bCs w:val="0"/>
          <w:color w:val="auto"/>
          <w:sz w:val="24"/>
          <w:highlight w:val="none"/>
          <w:lang w:eastAsia="zh-CN"/>
        </w:rPr>
      </w:pPr>
      <w:r>
        <w:rPr>
          <w:rFonts w:hint="eastAsia" w:ascii="宋体" w:hAnsi="宋体" w:eastAsia="宋体" w:cs="宋体"/>
          <w:b w:val="0"/>
          <w:bCs w:val="0"/>
          <w:color w:val="auto"/>
          <w:sz w:val="24"/>
          <w:highlight w:val="none"/>
        </w:rPr>
        <w:t xml:space="preserve">日期：   </w:t>
      </w:r>
      <w:r>
        <w:rPr>
          <w:rFonts w:hint="eastAsia" w:ascii="宋体" w:hAnsi="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rPr>
        <w:t xml:space="preserve">年     月     日      </w:t>
      </w:r>
      <w:r>
        <w:rPr>
          <w:rFonts w:hint="eastAsia" w:ascii="宋体" w:hAnsi="宋体" w:eastAsia="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rPr>
        <w:t xml:space="preserve">日期：    年    月  </w:t>
      </w:r>
      <w:r>
        <w:rPr>
          <w:rFonts w:hint="eastAsia" w:ascii="宋体" w:hAnsi="宋体" w:cs="宋体"/>
          <w:b w:val="0"/>
          <w:bCs w:val="0"/>
          <w:color w:val="auto"/>
          <w:sz w:val="24"/>
          <w:highlight w:val="none"/>
          <w:lang w:val="en-US" w:eastAsia="zh-CN"/>
        </w:rPr>
        <w:t xml:space="preserve">  </w:t>
      </w:r>
      <w:r>
        <w:rPr>
          <w:rFonts w:hint="eastAsia" w:ascii="宋体" w:hAnsi="宋体" w:cs="宋体"/>
          <w:b w:val="0"/>
          <w:bCs w:val="0"/>
          <w:color w:val="auto"/>
          <w:sz w:val="24"/>
          <w:highlight w:val="none"/>
          <w:lang w:eastAsia="zh-CN"/>
        </w:rPr>
        <w:t>日</w:t>
      </w:r>
    </w:p>
    <w:p>
      <w:pPr>
        <w:pStyle w:val="2"/>
        <w:rPr>
          <w:rFonts w:hint="eastAsia" w:ascii="宋体" w:hAnsi="宋体" w:cs="宋体"/>
          <w:color w:val="auto"/>
          <w:sz w:val="24"/>
          <w:highlight w:val="yellow"/>
          <w:lang w:eastAsia="zh-CN"/>
        </w:rPr>
      </w:pPr>
    </w:p>
    <w:p>
      <w:pPr>
        <w:rPr>
          <w:rFonts w:hint="eastAsia" w:ascii="宋体" w:hAnsi="宋体" w:cs="宋体"/>
          <w:color w:val="auto"/>
          <w:sz w:val="24"/>
          <w:highlight w:val="yellow"/>
          <w:lang w:eastAsia="zh-CN"/>
        </w:rPr>
      </w:pPr>
    </w:p>
    <w:p>
      <w:pPr>
        <w:pStyle w:val="2"/>
        <w:rPr>
          <w:rFonts w:hint="eastAsia" w:ascii="宋体" w:hAnsi="宋体" w:cs="宋体"/>
          <w:color w:val="auto"/>
          <w:sz w:val="24"/>
          <w:highlight w:val="yellow"/>
          <w:lang w:eastAsia="zh-CN"/>
        </w:rPr>
      </w:pPr>
    </w:p>
    <w:p>
      <w:pPr>
        <w:pStyle w:val="21"/>
        <w:rPr>
          <w:rFonts w:hint="eastAsia" w:ascii="宋体" w:hAnsi="宋体" w:cs="宋体"/>
          <w:color w:val="auto"/>
          <w:sz w:val="24"/>
          <w:highlight w:val="yellow"/>
          <w:lang w:eastAsia="zh-CN"/>
        </w:rPr>
      </w:pPr>
    </w:p>
    <w:p>
      <w:pPr>
        <w:rPr>
          <w:rFonts w:hint="eastAsia" w:ascii="宋体" w:hAnsi="宋体" w:cs="宋体"/>
          <w:color w:val="auto"/>
          <w:sz w:val="24"/>
          <w:highlight w:val="yellow"/>
          <w:lang w:eastAsia="zh-CN"/>
        </w:rPr>
      </w:pPr>
    </w:p>
    <w:p>
      <w:pPr>
        <w:pStyle w:val="2"/>
        <w:rPr>
          <w:rFonts w:hint="eastAsia" w:ascii="宋体" w:hAnsi="宋体" w:cs="宋体"/>
          <w:color w:val="auto"/>
          <w:sz w:val="24"/>
          <w:highlight w:val="yellow"/>
          <w:lang w:eastAsia="zh-CN"/>
        </w:rPr>
      </w:pPr>
    </w:p>
    <w:p>
      <w:pPr>
        <w:pStyle w:val="21"/>
        <w:rPr>
          <w:rFonts w:hint="eastAsia" w:ascii="宋体" w:hAnsi="宋体" w:cs="宋体"/>
          <w:color w:val="auto"/>
          <w:sz w:val="24"/>
          <w:highlight w:val="yellow"/>
          <w:lang w:eastAsia="zh-CN"/>
        </w:rPr>
      </w:pPr>
    </w:p>
    <w:p>
      <w:pPr>
        <w:rPr>
          <w:rFonts w:hint="eastAsia" w:ascii="宋体" w:hAnsi="宋体" w:cs="宋体"/>
          <w:color w:val="auto"/>
          <w:sz w:val="24"/>
          <w:highlight w:val="yellow"/>
          <w:lang w:eastAsia="zh-CN"/>
        </w:rPr>
      </w:pPr>
    </w:p>
    <w:p>
      <w:pPr>
        <w:pStyle w:val="2"/>
        <w:rPr>
          <w:rFonts w:hint="eastAsia" w:ascii="宋体" w:hAnsi="宋体" w:cs="宋体"/>
          <w:color w:val="auto"/>
          <w:sz w:val="24"/>
          <w:highlight w:val="yellow"/>
          <w:lang w:eastAsia="zh-CN"/>
        </w:rPr>
      </w:pPr>
    </w:p>
    <w:p>
      <w:pPr>
        <w:pStyle w:val="21"/>
        <w:rPr>
          <w:rFonts w:hint="eastAsia" w:ascii="宋体" w:hAnsi="宋体" w:cs="宋体"/>
          <w:color w:val="auto"/>
          <w:sz w:val="24"/>
          <w:highlight w:val="yellow"/>
          <w:lang w:eastAsia="zh-CN"/>
        </w:rPr>
      </w:pPr>
    </w:p>
    <w:p>
      <w:pPr>
        <w:rPr>
          <w:rFonts w:hint="eastAsia" w:ascii="宋体" w:hAnsi="宋体" w:cs="宋体"/>
          <w:color w:val="auto"/>
          <w:sz w:val="24"/>
          <w:highlight w:val="yellow"/>
          <w:lang w:eastAsia="zh-CN"/>
        </w:rPr>
      </w:pPr>
    </w:p>
    <w:p>
      <w:pPr>
        <w:rPr>
          <w:rFonts w:hint="eastAsia" w:ascii="宋体" w:hAnsi="宋体" w:cs="宋体"/>
          <w:color w:val="auto"/>
          <w:sz w:val="24"/>
          <w:highlight w:val="yellow"/>
          <w:lang w:eastAsia="zh-CN"/>
        </w:rPr>
      </w:pPr>
    </w:p>
    <w:p>
      <w:pP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附件</w:t>
      </w:r>
      <w:r>
        <w:rPr>
          <w:rFonts w:hint="eastAsia" w:ascii="宋体" w:hAnsi="宋体" w:eastAsia="宋体" w:cs="宋体"/>
          <w:b/>
          <w:bCs/>
          <w:color w:val="auto"/>
          <w:sz w:val="24"/>
          <w:highlight w:val="none"/>
          <w:lang w:val="en-US" w:eastAsia="zh-CN"/>
        </w:rPr>
        <w:t>《招标采购</w:t>
      </w:r>
      <w:r>
        <w:rPr>
          <w:rFonts w:hint="eastAsia" w:ascii="宋体" w:hAnsi="宋体" w:eastAsia="宋体" w:cs="宋体"/>
          <w:b/>
          <w:bCs/>
          <w:color w:val="auto"/>
          <w:sz w:val="24"/>
          <w:highlight w:val="none"/>
          <w:lang w:eastAsia="zh-CN"/>
        </w:rPr>
        <w:t>代理机构评价考核表</w:t>
      </w:r>
      <w:r>
        <w:rPr>
          <w:rFonts w:hint="eastAsia" w:ascii="宋体" w:hAnsi="宋体" w:eastAsia="宋体" w:cs="宋体"/>
          <w:b/>
          <w:bCs/>
          <w:color w:val="auto"/>
          <w:sz w:val="24"/>
          <w:highlight w:val="none"/>
          <w:lang w:val="en-US" w:eastAsia="zh-CN"/>
        </w:rPr>
        <w:t>》</w:t>
      </w:r>
    </w:p>
    <w:tbl>
      <w:tblPr>
        <w:tblStyle w:val="17"/>
        <w:tblW w:w="9539" w:type="dxa"/>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795"/>
        <w:gridCol w:w="6634"/>
        <w:gridCol w:w="791"/>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39" w:type="dxa"/>
            <w:gridSpan w:val="5"/>
            <w:noWrap w:val="0"/>
            <w:vAlign w:val="center"/>
          </w:tcPr>
          <w:p>
            <w:pPr>
              <w:pStyle w:val="29"/>
              <w:keepNext w:val="0"/>
              <w:keepLines w:val="0"/>
              <w:pageBreakBefore w:val="0"/>
              <w:numPr>
                <w:ilvl w:val="0"/>
                <w:numId w:val="0"/>
              </w:numPr>
              <w:kinsoku/>
              <w:wordWrap/>
              <w:overflowPunct/>
              <w:topLinePunct w:val="0"/>
              <w:bidi w:val="0"/>
              <w:snapToGrid/>
              <w:spacing w:line="240" w:lineRule="auto"/>
              <w:ind w:leftChars="0"/>
              <w:jc w:val="left"/>
              <w:textAlignment w:val="auto"/>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eastAsia="zh-CN"/>
              </w:rPr>
              <w:t>采购项目</w:t>
            </w:r>
            <w:r>
              <w:rPr>
                <w:rFonts w:hint="eastAsia" w:asciiTheme="minorEastAsia" w:hAnsiTheme="minorEastAsia" w:eastAsiaTheme="minorEastAsia" w:cstheme="minorEastAsia"/>
                <w:color w:val="auto"/>
                <w:kern w:val="2"/>
                <w:sz w:val="21"/>
                <w:szCs w:val="21"/>
                <w:lang w:val="en-US" w:eastAsia="zh-CN"/>
              </w:rPr>
              <w:t>编号、</w:t>
            </w:r>
            <w:r>
              <w:rPr>
                <w:rFonts w:hint="eastAsia" w:asciiTheme="minorEastAsia" w:hAnsiTheme="minorEastAsia" w:eastAsiaTheme="minorEastAsia" w:cstheme="minorEastAsia"/>
                <w:color w:val="auto"/>
                <w:kern w:val="2"/>
                <w:sz w:val="21"/>
                <w:szCs w:val="21"/>
                <w:lang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539" w:type="dxa"/>
            <w:gridSpan w:val="5"/>
            <w:noWrap w:val="0"/>
            <w:vAlign w:val="center"/>
          </w:tcPr>
          <w:p>
            <w:pPr>
              <w:pStyle w:val="29"/>
              <w:keepNext w:val="0"/>
              <w:keepLines w:val="0"/>
              <w:pageBreakBefore w:val="0"/>
              <w:numPr>
                <w:ilvl w:val="0"/>
                <w:numId w:val="0"/>
              </w:numPr>
              <w:kinsoku/>
              <w:wordWrap/>
              <w:overflowPunct/>
              <w:topLinePunct w:val="0"/>
              <w:bidi w:val="0"/>
              <w:snapToGrid/>
              <w:spacing w:line="240" w:lineRule="auto"/>
              <w:ind w:leftChars="0"/>
              <w:jc w:val="left"/>
              <w:textAlignment w:val="auto"/>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采购代理机构名称：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47" w:type="dxa"/>
            <w:noWrap w:val="0"/>
            <w:vAlign w:val="center"/>
          </w:tcPr>
          <w:p>
            <w:pPr>
              <w:pStyle w:val="29"/>
              <w:keepNext w:val="0"/>
              <w:keepLines w:val="0"/>
              <w:pageBreakBefore w:val="0"/>
              <w:numPr>
                <w:ilvl w:val="0"/>
                <w:numId w:val="0"/>
              </w:numPr>
              <w:kinsoku/>
              <w:wordWrap/>
              <w:overflowPunct/>
              <w:topLinePunct w:val="0"/>
              <w:bidi w:val="0"/>
              <w:snapToGrid/>
              <w:spacing w:line="240" w:lineRule="auto"/>
              <w:ind w:leftChars="0"/>
              <w:jc w:val="center"/>
              <w:textAlignment w:val="auto"/>
              <w:rPr>
                <w:rFonts w:hint="eastAsia"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rPr>
              <w:t>序号</w:t>
            </w:r>
          </w:p>
        </w:tc>
        <w:tc>
          <w:tcPr>
            <w:tcW w:w="795" w:type="dxa"/>
            <w:noWrap w:val="0"/>
            <w:vAlign w:val="center"/>
          </w:tcPr>
          <w:p>
            <w:pPr>
              <w:pStyle w:val="29"/>
              <w:keepNext w:val="0"/>
              <w:keepLines w:val="0"/>
              <w:pageBreakBefore w:val="0"/>
              <w:numPr>
                <w:ilvl w:val="0"/>
                <w:numId w:val="0"/>
              </w:numPr>
              <w:kinsoku/>
              <w:wordWrap/>
              <w:overflowPunct/>
              <w:topLinePunct w:val="0"/>
              <w:bidi w:val="0"/>
              <w:snapToGrid/>
              <w:spacing w:line="240" w:lineRule="auto"/>
              <w:ind w:leftChars="0"/>
              <w:jc w:val="center"/>
              <w:textAlignment w:val="auto"/>
              <w:rPr>
                <w:rFonts w:hint="eastAsia"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rPr>
              <w:t>考核方面</w:t>
            </w:r>
          </w:p>
        </w:tc>
        <w:tc>
          <w:tcPr>
            <w:tcW w:w="6634" w:type="dxa"/>
            <w:noWrap w:val="0"/>
            <w:vAlign w:val="center"/>
          </w:tcPr>
          <w:p>
            <w:pPr>
              <w:pStyle w:val="29"/>
              <w:keepNext w:val="0"/>
              <w:keepLines w:val="0"/>
              <w:pageBreakBefore w:val="0"/>
              <w:numPr>
                <w:ilvl w:val="0"/>
                <w:numId w:val="0"/>
              </w:numPr>
              <w:kinsoku/>
              <w:wordWrap/>
              <w:overflowPunct/>
              <w:topLinePunct w:val="0"/>
              <w:bidi w:val="0"/>
              <w:snapToGrid/>
              <w:spacing w:line="240" w:lineRule="auto"/>
              <w:ind w:leftChars="0"/>
              <w:jc w:val="center"/>
              <w:textAlignment w:val="auto"/>
              <w:rPr>
                <w:rFonts w:hint="eastAsia"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rPr>
              <w:t>考核内容</w:t>
            </w:r>
          </w:p>
        </w:tc>
        <w:tc>
          <w:tcPr>
            <w:tcW w:w="791" w:type="dxa"/>
            <w:noWrap w:val="0"/>
            <w:vAlign w:val="center"/>
          </w:tcPr>
          <w:p>
            <w:pPr>
              <w:pStyle w:val="29"/>
              <w:keepNext w:val="0"/>
              <w:keepLines w:val="0"/>
              <w:pageBreakBefore w:val="0"/>
              <w:numPr>
                <w:ilvl w:val="0"/>
                <w:numId w:val="0"/>
              </w:numPr>
              <w:kinsoku/>
              <w:wordWrap/>
              <w:overflowPunct/>
              <w:topLinePunct w:val="0"/>
              <w:bidi w:val="0"/>
              <w:snapToGrid/>
              <w:spacing w:line="240" w:lineRule="auto"/>
              <w:ind w:leftChars="0"/>
              <w:jc w:val="center"/>
              <w:textAlignment w:val="auto"/>
              <w:rPr>
                <w:rFonts w:hint="eastAsia" w:asciiTheme="minorEastAsia" w:hAnsiTheme="minorEastAsia" w:eastAsiaTheme="minorEastAsia" w:cstheme="minorEastAsia"/>
                <w:b/>
                <w:bCs/>
                <w:color w:val="auto"/>
                <w:kern w:val="2"/>
                <w:sz w:val="21"/>
                <w:szCs w:val="21"/>
                <w:lang w:eastAsia="zh-CN"/>
              </w:rPr>
            </w:pPr>
            <w:r>
              <w:rPr>
                <w:rFonts w:hint="eastAsia" w:asciiTheme="minorEastAsia" w:hAnsiTheme="minorEastAsia" w:eastAsiaTheme="minorEastAsia" w:cstheme="minorEastAsia"/>
                <w:b/>
                <w:bCs/>
                <w:color w:val="auto"/>
                <w:kern w:val="2"/>
                <w:sz w:val="21"/>
                <w:szCs w:val="21"/>
                <w:lang w:eastAsia="zh-CN"/>
              </w:rPr>
              <w:t>标准分值</w:t>
            </w:r>
          </w:p>
        </w:tc>
        <w:tc>
          <w:tcPr>
            <w:tcW w:w="672" w:type="dxa"/>
            <w:noWrap w:val="0"/>
            <w:vAlign w:val="center"/>
          </w:tcPr>
          <w:p>
            <w:pPr>
              <w:pStyle w:val="29"/>
              <w:keepNext w:val="0"/>
              <w:keepLines w:val="0"/>
              <w:pageBreakBefore w:val="0"/>
              <w:numPr>
                <w:ilvl w:val="0"/>
                <w:numId w:val="0"/>
              </w:numPr>
              <w:kinsoku/>
              <w:wordWrap/>
              <w:overflowPunct/>
              <w:topLinePunct w:val="0"/>
              <w:bidi w:val="0"/>
              <w:snapToGrid/>
              <w:spacing w:line="240" w:lineRule="auto"/>
              <w:ind w:leftChars="0"/>
              <w:jc w:val="center"/>
              <w:textAlignment w:val="auto"/>
              <w:rPr>
                <w:rFonts w:hint="eastAsia"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lang w:val="en-US" w:eastAsia="zh-CN"/>
              </w:rPr>
              <w:t>考核分值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47" w:type="dxa"/>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795" w:type="dxa"/>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及时性</w:t>
            </w:r>
          </w:p>
        </w:tc>
        <w:tc>
          <w:tcPr>
            <w:tcW w:w="6634" w:type="dxa"/>
            <w:noWrap w:val="0"/>
            <w:vAlign w:val="center"/>
          </w:tcPr>
          <w:p>
            <w:pPr>
              <w:keepNext w:val="0"/>
              <w:keepLines w:val="0"/>
              <w:pageBreakBefore w:val="0"/>
              <w:kinsoku/>
              <w:wordWrap/>
              <w:overflowPunct/>
              <w:topLinePunct w:val="0"/>
              <w:bidi w:val="0"/>
              <w:snapToGrid/>
              <w:spacing w:line="240" w:lineRule="auto"/>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1.1</w:t>
            </w:r>
            <w:r>
              <w:rPr>
                <w:rFonts w:hint="eastAsia" w:asciiTheme="minorEastAsia" w:hAnsiTheme="minorEastAsia" w:eastAsiaTheme="minorEastAsia" w:cstheme="minorEastAsia"/>
                <w:color w:val="auto"/>
                <w:sz w:val="21"/>
                <w:szCs w:val="21"/>
              </w:rPr>
              <w:t>签订</w:t>
            </w:r>
            <w:r>
              <w:rPr>
                <w:rFonts w:hint="eastAsia" w:asciiTheme="minorEastAsia" w:hAnsiTheme="minorEastAsia" w:eastAsiaTheme="minorEastAsia" w:cstheme="minorEastAsia"/>
                <w:color w:val="auto"/>
                <w:sz w:val="21"/>
                <w:szCs w:val="21"/>
                <w:lang w:eastAsia="zh-CN"/>
              </w:rPr>
              <w:t>委托</w:t>
            </w:r>
            <w:r>
              <w:rPr>
                <w:rFonts w:hint="eastAsia" w:asciiTheme="minorEastAsia" w:hAnsiTheme="minorEastAsia" w:eastAsiaTheme="minorEastAsia" w:cstheme="minorEastAsia"/>
                <w:color w:val="auto"/>
                <w:sz w:val="21"/>
                <w:szCs w:val="21"/>
              </w:rPr>
              <w:t>代理合同及时，项目履约进度符合约定</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2分</w:t>
            </w:r>
            <w:r>
              <w:rPr>
                <w:rFonts w:hint="eastAsia" w:asciiTheme="minorEastAsia" w:hAnsiTheme="minorEastAsia" w:eastAsiaTheme="minorEastAsia" w:cstheme="minorEastAsia"/>
                <w:color w:val="auto"/>
                <w:sz w:val="21"/>
                <w:szCs w:val="21"/>
                <w:lang w:eastAsia="zh-CN"/>
              </w:rPr>
              <w:t>）</w:t>
            </w:r>
          </w:p>
          <w:p>
            <w:pPr>
              <w:keepNext w:val="0"/>
              <w:keepLines w:val="0"/>
              <w:pageBreakBefore w:val="0"/>
              <w:kinsoku/>
              <w:wordWrap/>
              <w:overflowPunct/>
              <w:topLinePunct w:val="0"/>
              <w:bidi w:val="0"/>
              <w:snapToGrid/>
              <w:spacing w:line="240" w:lineRule="auto"/>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1.2</w:t>
            </w:r>
            <w:r>
              <w:rPr>
                <w:rFonts w:hint="eastAsia" w:asciiTheme="minorEastAsia" w:hAnsiTheme="minorEastAsia" w:eastAsiaTheme="minorEastAsia" w:cstheme="minorEastAsia"/>
                <w:color w:val="auto"/>
                <w:sz w:val="21"/>
                <w:szCs w:val="21"/>
              </w:rPr>
              <w:t>采购文件/专家论证报告等编制与提交及时、完整</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4分</w:t>
            </w:r>
            <w:r>
              <w:rPr>
                <w:rFonts w:hint="eastAsia" w:asciiTheme="minorEastAsia" w:hAnsiTheme="minorEastAsia" w:eastAsiaTheme="minorEastAsia" w:cstheme="minorEastAsia"/>
                <w:color w:val="auto"/>
                <w:sz w:val="21"/>
                <w:szCs w:val="21"/>
                <w:lang w:eastAsia="zh-CN"/>
              </w:rPr>
              <w:t>）</w:t>
            </w:r>
          </w:p>
          <w:p>
            <w:pPr>
              <w:keepNext w:val="0"/>
              <w:keepLines w:val="0"/>
              <w:pageBreakBefore w:val="0"/>
              <w:kinsoku/>
              <w:wordWrap/>
              <w:overflowPunct/>
              <w:topLinePunct w:val="0"/>
              <w:bidi w:val="0"/>
              <w:snapToGrid/>
              <w:spacing w:line="240" w:lineRule="auto"/>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1.3</w:t>
            </w:r>
            <w:r>
              <w:rPr>
                <w:rFonts w:hint="eastAsia" w:asciiTheme="minorEastAsia" w:hAnsiTheme="minorEastAsia" w:eastAsiaTheme="minorEastAsia" w:cstheme="minorEastAsia"/>
                <w:color w:val="auto"/>
                <w:sz w:val="21"/>
                <w:szCs w:val="21"/>
              </w:rPr>
              <w:t>项目档案</w:t>
            </w:r>
            <w:r>
              <w:rPr>
                <w:rFonts w:hint="eastAsia" w:asciiTheme="minorEastAsia" w:hAnsiTheme="minorEastAsia" w:eastAsiaTheme="minorEastAsia" w:cstheme="minorEastAsia"/>
                <w:color w:val="auto"/>
                <w:sz w:val="21"/>
                <w:szCs w:val="21"/>
                <w:lang w:eastAsia="zh-CN"/>
              </w:rPr>
              <w:t>整理、</w:t>
            </w:r>
            <w:r>
              <w:rPr>
                <w:rFonts w:hint="eastAsia" w:asciiTheme="minorEastAsia" w:hAnsiTheme="minorEastAsia" w:eastAsiaTheme="minorEastAsia" w:cstheme="minorEastAsia"/>
                <w:color w:val="auto"/>
                <w:sz w:val="21"/>
                <w:szCs w:val="21"/>
              </w:rPr>
              <w:t>移交、保证金</w:t>
            </w:r>
            <w:r>
              <w:rPr>
                <w:rFonts w:hint="eastAsia" w:asciiTheme="minorEastAsia" w:hAnsiTheme="minorEastAsia" w:eastAsiaTheme="minorEastAsia" w:cstheme="minorEastAsia"/>
                <w:color w:val="auto"/>
                <w:sz w:val="21"/>
                <w:szCs w:val="21"/>
                <w:lang w:eastAsia="zh-CN"/>
              </w:rPr>
              <w:t>收取规范</w:t>
            </w:r>
            <w:r>
              <w:rPr>
                <w:rFonts w:hint="eastAsia" w:asciiTheme="minorEastAsia" w:hAnsiTheme="minorEastAsia" w:eastAsiaTheme="minorEastAsia" w:cstheme="minorEastAsia"/>
                <w:color w:val="auto"/>
                <w:sz w:val="21"/>
                <w:szCs w:val="21"/>
              </w:rPr>
              <w:t>等后续工作及时完成。</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4分</w:t>
            </w:r>
            <w:r>
              <w:rPr>
                <w:rFonts w:hint="eastAsia" w:asciiTheme="minorEastAsia" w:hAnsiTheme="minorEastAsia" w:eastAsiaTheme="minorEastAsia" w:cstheme="minorEastAsia"/>
                <w:color w:val="auto"/>
                <w:sz w:val="21"/>
                <w:szCs w:val="21"/>
                <w:lang w:eastAsia="zh-CN"/>
              </w:rPr>
              <w:t>）</w:t>
            </w:r>
          </w:p>
        </w:tc>
        <w:tc>
          <w:tcPr>
            <w:tcW w:w="791" w:type="dxa"/>
            <w:noWrap w:val="0"/>
            <w:vAlign w:val="center"/>
          </w:tcPr>
          <w:p>
            <w:pPr>
              <w:pStyle w:val="29"/>
              <w:keepNext w:val="0"/>
              <w:keepLines w:val="0"/>
              <w:pageBreakBefore w:val="0"/>
              <w:numPr>
                <w:ilvl w:val="0"/>
                <w:numId w:val="0"/>
              </w:numPr>
              <w:kinsoku/>
              <w:wordWrap/>
              <w:overflowPunct/>
              <w:topLinePunct w:val="0"/>
              <w:bidi w:val="0"/>
              <w:snapToGrid/>
              <w:spacing w:line="240" w:lineRule="auto"/>
              <w:ind w:leftChars="0"/>
              <w:jc w:val="center"/>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sz w:val="21"/>
                <w:szCs w:val="21"/>
                <w:lang w:val="en-US" w:eastAsia="zh-CN"/>
              </w:rPr>
              <w:t>10分</w:t>
            </w:r>
          </w:p>
        </w:tc>
        <w:tc>
          <w:tcPr>
            <w:tcW w:w="672" w:type="dxa"/>
            <w:noWrap w:val="0"/>
            <w:vAlign w:val="center"/>
          </w:tcPr>
          <w:p>
            <w:pPr>
              <w:pStyle w:val="29"/>
              <w:keepNext w:val="0"/>
              <w:keepLines w:val="0"/>
              <w:pageBreakBefore w:val="0"/>
              <w:numPr>
                <w:ilvl w:val="0"/>
                <w:numId w:val="0"/>
              </w:numPr>
              <w:kinsoku/>
              <w:wordWrap/>
              <w:overflowPunct/>
              <w:topLinePunct w:val="0"/>
              <w:bidi w:val="0"/>
              <w:snapToGrid/>
              <w:spacing w:line="240" w:lineRule="auto"/>
              <w:ind w:leftChars="0"/>
              <w:jc w:val="center"/>
              <w:textAlignment w:val="auto"/>
              <w:rPr>
                <w:rFonts w:hint="eastAsia" w:asciiTheme="minorEastAsia" w:hAnsiTheme="minorEastAsia" w:eastAsiaTheme="minorEastAsia" w:cstheme="minorEastAsia"/>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647" w:type="dxa"/>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795" w:type="dxa"/>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职业操守</w:t>
            </w:r>
          </w:p>
        </w:tc>
        <w:tc>
          <w:tcPr>
            <w:tcW w:w="6634" w:type="dxa"/>
            <w:noWrap w:val="0"/>
            <w:vAlign w:val="center"/>
          </w:tcPr>
          <w:p>
            <w:pPr>
              <w:keepNext w:val="0"/>
              <w:keepLines w:val="0"/>
              <w:pageBreakBefore w:val="0"/>
              <w:kinsoku/>
              <w:wordWrap/>
              <w:overflowPunct/>
              <w:topLinePunct w:val="0"/>
              <w:bidi w:val="0"/>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2.1以优质的服务质量、良好的企业信誉参与市场竞争。（2分）</w:t>
            </w:r>
          </w:p>
          <w:p>
            <w:pPr>
              <w:keepNext w:val="0"/>
              <w:keepLines w:val="0"/>
              <w:pageBreakBefore w:val="0"/>
              <w:kinsoku/>
              <w:wordWrap/>
              <w:overflowPunct/>
              <w:topLinePunct w:val="0"/>
              <w:bidi w:val="0"/>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2.2严格遵守职业行为准则、</w:t>
            </w:r>
            <w:r>
              <w:rPr>
                <w:rFonts w:hint="eastAsia" w:asciiTheme="minorEastAsia" w:hAnsiTheme="minorEastAsia" w:eastAsiaTheme="minorEastAsia" w:cstheme="minorEastAsia"/>
                <w:sz w:val="21"/>
                <w:szCs w:val="21"/>
                <w:highlight w:val="none"/>
                <w:lang w:val="en-US" w:eastAsia="zh-CN"/>
              </w:rPr>
              <w:t>职责道德</w:t>
            </w:r>
            <w:r>
              <w:rPr>
                <w:rFonts w:hint="eastAsia" w:asciiTheme="minorEastAsia" w:hAnsiTheme="minorEastAsia" w:eastAsiaTheme="minorEastAsia" w:cstheme="minorEastAsia"/>
                <w:sz w:val="21"/>
                <w:szCs w:val="21"/>
                <w:lang w:val="en-US" w:eastAsia="zh-CN"/>
              </w:rPr>
              <w:t>准则，对执业中知悉的商业秘密及其它秘密事项予以保密。（3分）</w:t>
            </w:r>
          </w:p>
        </w:tc>
        <w:tc>
          <w:tcPr>
            <w:tcW w:w="791" w:type="dxa"/>
            <w:noWrap w:val="0"/>
            <w:vAlign w:val="center"/>
          </w:tcPr>
          <w:p>
            <w:pPr>
              <w:pStyle w:val="29"/>
              <w:keepNext w:val="0"/>
              <w:keepLines w:val="0"/>
              <w:pageBreakBefore w:val="0"/>
              <w:numPr>
                <w:ilvl w:val="0"/>
                <w:numId w:val="0"/>
              </w:numPr>
              <w:kinsoku/>
              <w:wordWrap/>
              <w:overflowPunct/>
              <w:topLinePunct w:val="0"/>
              <w:bidi w:val="0"/>
              <w:snapToGrid/>
              <w:spacing w:line="240" w:lineRule="auto"/>
              <w:ind w:leftChars="0"/>
              <w:jc w:val="center"/>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sz w:val="21"/>
                <w:szCs w:val="21"/>
                <w:lang w:val="en-US" w:eastAsia="zh-CN"/>
              </w:rPr>
              <w:t>5分</w:t>
            </w:r>
          </w:p>
        </w:tc>
        <w:tc>
          <w:tcPr>
            <w:tcW w:w="672" w:type="dxa"/>
            <w:noWrap w:val="0"/>
            <w:vAlign w:val="center"/>
          </w:tcPr>
          <w:p>
            <w:pPr>
              <w:pStyle w:val="29"/>
              <w:keepNext w:val="0"/>
              <w:keepLines w:val="0"/>
              <w:pageBreakBefore w:val="0"/>
              <w:numPr>
                <w:ilvl w:val="0"/>
                <w:numId w:val="0"/>
              </w:numPr>
              <w:kinsoku/>
              <w:wordWrap/>
              <w:overflowPunct/>
              <w:topLinePunct w:val="0"/>
              <w:bidi w:val="0"/>
              <w:snapToGrid/>
              <w:spacing w:line="240" w:lineRule="auto"/>
              <w:ind w:leftChars="0"/>
              <w:jc w:val="center"/>
              <w:textAlignment w:val="auto"/>
              <w:rPr>
                <w:rFonts w:hint="eastAsia" w:asciiTheme="minorEastAsia" w:hAnsiTheme="minorEastAsia" w:eastAsiaTheme="minorEastAsia" w:cstheme="minorEastAsia"/>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647" w:type="dxa"/>
            <w:vMerge w:val="restart"/>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795" w:type="dxa"/>
            <w:vMerge w:val="restart"/>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专业性</w:t>
            </w:r>
          </w:p>
        </w:tc>
        <w:tc>
          <w:tcPr>
            <w:tcW w:w="6634" w:type="dxa"/>
            <w:noWrap w:val="0"/>
            <w:vAlign w:val="center"/>
          </w:tcPr>
          <w:p>
            <w:pPr>
              <w:keepNext w:val="0"/>
              <w:keepLines w:val="0"/>
              <w:pageBreakBefore w:val="0"/>
              <w:kinsoku/>
              <w:wordWrap/>
              <w:overflowPunct/>
              <w:topLinePunct w:val="0"/>
              <w:bidi w:val="0"/>
              <w:snapToGrid/>
              <w:spacing w:line="24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3.1能专业地审核甲方需求，在不违反法律法规的前提下充分尊重并采纳合理意见；对不合法、不合规、不合理的需求，能主动、明确地提出修改建议并有效沟通。（5分）</w:t>
            </w:r>
          </w:p>
        </w:tc>
        <w:tc>
          <w:tcPr>
            <w:tcW w:w="791" w:type="dxa"/>
            <w:noWrap w:val="0"/>
            <w:vAlign w:val="center"/>
          </w:tcPr>
          <w:p>
            <w:pPr>
              <w:pStyle w:val="29"/>
              <w:keepNext w:val="0"/>
              <w:keepLines w:val="0"/>
              <w:pageBreakBefore w:val="0"/>
              <w:numPr>
                <w:ilvl w:val="0"/>
                <w:numId w:val="0"/>
              </w:numPr>
              <w:kinsoku/>
              <w:wordWrap/>
              <w:overflowPunct/>
              <w:topLinePunct w:val="0"/>
              <w:bidi w:val="0"/>
              <w:snapToGrid/>
              <w:spacing w:line="240" w:lineRule="auto"/>
              <w:ind w:leftChars="0"/>
              <w:jc w:val="center"/>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分</w:t>
            </w:r>
          </w:p>
        </w:tc>
        <w:tc>
          <w:tcPr>
            <w:tcW w:w="672" w:type="dxa"/>
            <w:noWrap w:val="0"/>
            <w:vAlign w:val="center"/>
          </w:tcPr>
          <w:p>
            <w:pPr>
              <w:pStyle w:val="29"/>
              <w:keepNext w:val="0"/>
              <w:keepLines w:val="0"/>
              <w:pageBreakBefore w:val="0"/>
              <w:numPr>
                <w:ilvl w:val="0"/>
                <w:numId w:val="0"/>
              </w:numPr>
              <w:kinsoku/>
              <w:wordWrap/>
              <w:overflowPunct/>
              <w:topLinePunct w:val="0"/>
              <w:bidi w:val="0"/>
              <w:snapToGrid/>
              <w:spacing w:line="240" w:lineRule="auto"/>
              <w:ind w:leftChars="0"/>
              <w:jc w:val="center"/>
              <w:textAlignment w:val="auto"/>
              <w:rPr>
                <w:rFonts w:hint="eastAsia" w:asciiTheme="minorEastAsia" w:hAnsiTheme="minorEastAsia" w:eastAsiaTheme="minorEastAsia" w:cstheme="minorEastAsia"/>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647" w:type="dxa"/>
            <w:vMerge w:val="continue"/>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Theme="minorEastAsia" w:hAnsiTheme="minorEastAsia" w:eastAsiaTheme="minorEastAsia" w:cstheme="minorEastAsia"/>
                <w:sz w:val="21"/>
                <w:szCs w:val="21"/>
                <w:lang w:val="en-US" w:eastAsia="zh-CN"/>
              </w:rPr>
            </w:pPr>
          </w:p>
        </w:tc>
        <w:tc>
          <w:tcPr>
            <w:tcW w:w="795" w:type="dxa"/>
            <w:vMerge w:val="continue"/>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Theme="minorEastAsia" w:hAnsiTheme="minorEastAsia" w:eastAsiaTheme="minorEastAsia" w:cstheme="minorEastAsia"/>
                <w:sz w:val="21"/>
                <w:szCs w:val="21"/>
              </w:rPr>
            </w:pPr>
          </w:p>
        </w:tc>
        <w:tc>
          <w:tcPr>
            <w:tcW w:w="6634" w:type="dxa"/>
            <w:noWrap w:val="0"/>
            <w:vAlign w:val="center"/>
          </w:tcPr>
          <w:p>
            <w:pPr>
              <w:keepNext w:val="0"/>
              <w:keepLines w:val="0"/>
              <w:pageBreakBefore w:val="0"/>
              <w:kinsoku/>
              <w:wordWrap/>
              <w:overflowPunct/>
              <w:topLinePunct w:val="0"/>
              <w:bidi w:val="0"/>
              <w:snapToGrid/>
              <w:spacing w:line="240" w:lineRule="auto"/>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3.2</w:t>
            </w:r>
            <w:r>
              <w:rPr>
                <w:rFonts w:hint="eastAsia" w:asciiTheme="minorEastAsia" w:hAnsiTheme="minorEastAsia" w:eastAsiaTheme="minorEastAsia" w:cstheme="minorEastAsia"/>
                <w:color w:val="auto"/>
                <w:sz w:val="21"/>
                <w:szCs w:val="21"/>
              </w:rPr>
              <w:t>采购</w:t>
            </w:r>
            <w:r>
              <w:rPr>
                <w:rFonts w:hint="eastAsia" w:asciiTheme="minorEastAsia" w:hAnsiTheme="minorEastAsia" w:eastAsiaTheme="minorEastAsia" w:cstheme="minorEastAsia"/>
                <w:color w:val="auto"/>
                <w:sz w:val="21"/>
                <w:szCs w:val="21"/>
                <w:lang w:eastAsia="zh-CN"/>
              </w:rPr>
              <w:t>公告或</w:t>
            </w:r>
            <w:r>
              <w:rPr>
                <w:rFonts w:hint="eastAsia" w:asciiTheme="minorEastAsia" w:hAnsiTheme="minorEastAsia" w:eastAsiaTheme="minorEastAsia" w:cstheme="minorEastAsia"/>
                <w:color w:val="auto"/>
                <w:sz w:val="21"/>
                <w:szCs w:val="21"/>
              </w:rPr>
              <w:t>文件编制规范、内容合法、清晰、完整，招标范围明确，标段划分合理</w:t>
            </w:r>
            <w:r>
              <w:rPr>
                <w:rFonts w:hint="eastAsia" w:asciiTheme="minorEastAsia" w:hAnsiTheme="minorEastAsia" w:eastAsiaTheme="minorEastAsia" w:cstheme="minorEastAsia"/>
                <w:color w:val="auto"/>
                <w:sz w:val="21"/>
                <w:szCs w:val="21"/>
                <w:lang w:eastAsia="zh-CN"/>
              </w:rPr>
              <w:t>，内容完善</w:t>
            </w:r>
            <w:r>
              <w:rPr>
                <w:rFonts w:hint="eastAsia" w:asciiTheme="minorEastAsia" w:hAnsiTheme="minorEastAsia" w:eastAsiaTheme="minorEastAsia" w:cstheme="minorEastAsia"/>
                <w:color w:val="auto"/>
                <w:sz w:val="21"/>
                <w:szCs w:val="21"/>
              </w:rPr>
              <w:t>。熟练掌握</w:t>
            </w:r>
            <w:r>
              <w:rPr>
                <w:rFonts w:hint="eastAsia" w:asciiTheme="minorEastAsia" w:hAnsiTheme="minorEastAsia" w:eastAsiaTheme="minorEastAsia" w:cstheme="minorEastAsia"/>
                <w:color w:val="auto"/>
                <w:sz w:val="21"/>
                <w:szCs w:val="21"/>
                <w:lang w:eastAsia="zh-CN"/>
              </w:rPr>
              <w:t>并落实</w:t>
            </w:r>
            <w:r>
              <w:rPr>
                <w:rFonts w:hint="eastAsia" w:asciiTheme="minorEastAsia" w:hAnsiTheme="minorEastAsia" w:eastAsiaTheme="minorEastAsia" w:cstheme="minorEastAsia"/>
                <w:color w:val="auto"/>
                <w:sz w:val="21"/>
                <w:szCs w:val="21"/>
              </w:rPr>
              <w:t>国家政府采购政策，熟悉招标文件要约及相关规定，审核</w:t>
            </w:r>
            <w:r>
              <w:rPr>
                <w:rFonts w:hint="eastAsia" w:asciiTheme="minorEastAsia" w:hAnsiTheme="minorEastAsia" w:eastAsiaTheme="minorEastAsia" w:cstheme="minorEastAsia"/>
                <w:color w:val="auto"/>
                <w:sz w:val="21"/>
                <w:szCs w:val="21"/>
                <w:lang w:eastAsia="zh-CN"/>
              </w:rPr>
              <w:t>甲方</w:t>
            </w:r>
            <w:r>
              <w:rPr>
                <w:rFonts w:hint="eastAsia" w:asciiTheme="minorEastAsia" w:hAnsiTheme="minorEastAsia" w:eastAsiaTheme="minorEastAsia" w:cstheme="minorEastAsia"/>
                <w:color w:val="auto"/>
                <w:sz w:val="21"/>
                <w:szCs w:val="21"/>
              </w:rPr>
              <w:t>提交的技术与商务条款</w:t>
            </w:r>
            <w:r>
              <w:rPr>
                <w:rFonts w:hint="eastAsia" w:asciiTheme="minorEastAsia" w:hAnsiTheme="minorEastAsia" w:eastAsiaTheme="minorEastAsia" w:cstheme="minorEastAsia"/>
                <w:color w:val="auto"/>
                <w:sz w:val="21"/>
                <w:szCs w:val="21"/>
                <w:lang w:eastAsia="zh-CN"/>
              </w:rPr>
              <w:t>，对可能</w:t>
            </w:r>
            <w:r>
              <w:rPr>
                <w:rFonts w:hint="eastAsia" w:asciiTheme="minorEastAsia" w:hAnsiTheme="minorEastAsia" w:eastAsiaTheme="minorEastAsia" w:cstheme="minorEastAsia"/>
                <w:color w:val="auto"/>
                <w:sz w:val="21"/>
                <w:szCs w:val="21"/>
              </w:rPr>
              <w:t>存在</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倾向性和排他性</w:t>
            </w:r>
            <w:r>
              <w:rPr>
                <w:rFonts w:hint="eastAsia" w:asciiTheme="minorEastAsia" w:hAnsiTheme="minorEastAsia" w:eastAsiaTheme="minorEastAsia" w:cstheme="minorEastAsia"/>
                <w:color w:val="auto"/>
                <w:sz w:val="21"/>
                <w:szCs w:val="21"/>
                <w:lang w:eastAsia="zh-CN"/>
              </w:rPr>
              <w:t>内容提出专业修改建议。（</w:t>
            </w:r>
            <w:r>
              <w:rPr>
                <w:rFonts w:hint="eastAsia" w:asciiTheme="minorEastAsia" w:hAnsiTheme="minorEastAsia" w:eastAsiaTheme="minorEastAsia" w:cstheme="minorEastAsia"/>
                <w:color w:val="auto"/>
                <w:sz w:val="21"/>
                <w:szCs w:val="21"/>
                <w:lang w:val="en-US" w:eastAsia="zh-CN"/>
              </w:rPr>
              <w:t>15分</w:t>
            </w:r>
            <w:r>
              <w:rPr>
                <w:rFonts w:hint="eastAsia" w:asciiTheme="minorEastAsia" w:hAnsiTheme="minorEastAsia" w:eastAsiaTheme="minorEastAsia" w:cstheme="minorEastAsia"/>
                <w:color w:val="auto"/>
                <w:sz w:val="21"/>
                <w:szCs w:val="21"/>
                <w:lang w:eastAsia="zh-CN"/>
              </w:rPr>
              <w:t>）</w:t>
            </w:r>
          </w:p>
        </w:tc>
        <w:tc>
          <w:tcPr>
            <w:tcW w:w="791" w:type="dxa"/>
            <w:noWrap w:val="0"/>
            <w:vAlign w:val="center"/>
          </w:tcPr>
          <w:p>
            <w:pPr>
              <w:pStyle w:val="29"/>
              <w:keepNext w:val="0"/>
              <w:keepLines w:val="0"/>
              <w:pageBreakBefore w:val="0"/>
              <w:numPr>
                <w:ilvl w:val="0"/>
                <w:numId w:val="0"/>
              </w:numPr>
              <w:kinsoku/>
              <w:wordWrap/>
              <w:overflowPunct/>
              <w:topLinePunct w:val="0"/>
              <w:bidi w:val="0"/>
              <w:snapToGrid/>
              <w:spacing w:line="240" w:lineRule="auto"/>
              <w:ind w:leftChars="0"/>
              <w:jc w:val="center"/>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sz w:val="21"/>
                <w:szCs w:val="21"/>
                <w:lang w:val="en-US" w:eastAsia="zh-CN"/>
              </w:rPr>
              <w:t>15分</w:t>
            </w:r>
          </w:p>
        </w:tc>
        <w:tc>
          <w:tcPr>
            <w:tcW w:w="672" w:type="dxa"/>
            <w:noWrap w:val="0"/>
            <w:vAlign w:val="center"/>
          </w:tcPr>
          <w:p>
            <w:pPr>
              <w:pStyle w:val="29"/>
              <w:keepNext w:val="0"/>
              <w:keepLines w:val="0"/>
              <w:pageBreakBefore w:val="0"/>
              <w:numPr>
                <w:ilvl w:val="0"/>
                <w:numId w:val="0"/>
              </w:numPr>
              <w:kinsoku/>
              <w:wordWrap/>
              <w:overflowPunct/>
              <w:topLinePunct w:val="0"/>
              <w:bidi w:val="0"/>
              <w:snapToGrid/>
              <w:spacing w:line="240" w:lineRule="auto"/>
              <w:ind w:leftChars="0"/>
              <w:jc w:val="center"/>
              <w:textAlignment w:val="auto"/>
              <w:rPr>
                <w:rFonts w:hint="eastAsia" w:asciiTheme="minorEastAsia" w:hAnsiTheme="minorEastAsia" w:eastAsiaTheme="minorEastAsia" w:cstheme="minorEastAsia"/>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47" w:type="dxa"/>
            <w:vMerge w:val="continue"/>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Theme="minorEastAsia" w:hAnsiTheme="minorEastAsia" w:eastAsiaTheme="minorEastAsia" w:cstheme="minorEastAsia"/>
                <w:sz w:val="21"/>
                <w:szCs w:val="21"/>
              </w:rPr>
            </w:pPr>
          </w:p>
        </w:tc>
        <w:tc>
          <w:tcPr>
            <w:tcW w:w="795" w:type="dxa"/>
            <w:vMerge w:val="continue"/>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Theme="minorEastAsia" w:hAnsiTheme="minorEastAsia" w:eastAsiaTheme="minorEastAsia" w:cstheme="minorEastAsia"/>
                <w:sz w:val="21"/>
                <w:szCs w:val="21"/>
              </w:rPr>
            </w:pPr>
          </w:p>
        </w:tc>
        <w:tc>
          <w:tcPr>
            <w:tcW w:w="6634" w:type="dxa"/>
            <w:noWrap w:val="0"/>
            <w:vAlign w:val="center"/>
          </w:tcPr>
          <w:p>
            <w:pPr>
              <w:keepNext w:val="0"/>
              <w:keepLines w:val="0"/>
              <w:pageBreakBefore w:val="0"/>
              <w:kinsoku/>
              <w:wordWrap/>
              <w:overflowPunct/>
              <w:topLinePunct w:val="0"/>
              <w:bidi w:val="0"/>
              <w:snapToGrid/>
              <w:spacing w:line="240" w:lineRule="auto"/>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3.3提出完整、详细的专业论证意见，以确保经论证的采购需求或采购文件</w:t>
            </w:r>
            <w:r>
              <w:rPr>
                <w:rFonts w:hint="eastAsia" w:asciiTheme="minorEastAsia" w:hAnsiTheme="minorEastAsia" w:eastAsiaTheme="minorEastAsia" w:cstheme="minorEastAsia"/>
                <w:color w:val="auto"/>
                <w:sz w:val="21"/>
                <w:szCs w:val="21"/>
                <w:highlight w:val="none"/>
              </w:rPr>
              <w:t>内容合法</w:t>
            </w:r>
            <w:r>
              <w:rPr>
                <w:rFonts w:hint="eastAsia" w:asciiTheme="minorEastAsia" w:hAnsiTheme="minorEastAsia" w:eastAsiaTheme="minorEastAsia" w:cstheme="minorEastAsia"/>
                <w:color w:val="auto"/>
                <w:sz w:val="21"/>
                <w:szCs w:val="21"/>
                <w:highlight w:val="none"/>
                <w:lang w:val="en-US" w:eastAsia="zh-CN"/>
              </w:rPr>
              <w:t>合规</w:t>
            </w:r>
            <w:r>
              <w:rPr>
                <w:rFonts w:hint="eastAsia" w:asciiTheme="minorEastAsia" w:hAnsiTheme="minorEastAsia" w:eastAsiaTheme="minorEastAsia" w:cstheme="minorEastAsia"/>
                <w:color w:val="auto"/>
                <w:sz w:val="21"/>
                <w:szCs w:val="21"/>
                <w:highlight w:val="none"/>
              </w:rPr>
              <w:t>、清晰完整</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论证未流于形式、经得起推敲。（10分）</w:t>
            </w:r>
          </w:p>
        </w:tc>
        <w:tc>
          <w:tcPr>
            <w:tcW w:w="791" w:type="dxa"/>
            <w:noWrap w:val="0"/>
            <w:vAlign w:val="center"/>
          </w:tcPr>
          <w:p>
            <w:pPr>
              <w:pStyle w:val="29"/>
              <w:keepNext w:val="0"/>
              <w:keepLines w:val="0"/>
              <w:pageBreakBefore w:val="0"/>
              <w:numPr>
                <w:ilvl w:val="0"/>
                <w:numId w:val="0"/>
              </w:numPr>
              <w:kinsoku/>
              <w:wordWrap/>
              <w:overflowPunct/>
              <w:topLinePunct w:val="0"/>
              <w:bidi w:val="0"/>
              <w:snapToGrid/>
              <w:spacing w:line="240" w:lineRule="auto"/>
              <w:ind w:leftChars="0"/>
              <w:jc w:val="center"/>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sz w:val="21"/>
                <w:szCs w:val="21"/>
                <w:highlight w:val="none"/>
                <w:lang w:val="en-US" w:eastAsia="zh-CN"/>
              </w:rPr>
              <w:t>10分</w:t>
            </w:r>
          </w:p>
        </w:tc>
        <w:tc>
          <w:tcPr>
            <w:tcW w:w="672" w:type="dxa"/>
            <w:noWrap w:val="0"/>
            <w:vAlign w:val="center"/>
          </w:tcPr>
          <w:p>
            <w:pPr>
              <w:pStyle w:val="29"/>
              <w:keepNext w:val="0"/>
              <w:keepLines w:val="0"/>
              <w:pageBreakBefore w:val="0"/>
              <w:numPr>
                <w:ilvl w:val="0"/>
                <w:numId w:val="0"/>
              </w:numPr>
              <w:kinsoku/>
              <w:wordWrap/>
              <w:overflowPunct/>
              <w:topLinePunct w:val="0"/>
              <w:bidi w:val="0"/>
              <w:snapToGrid/>
              <w:spacing w:line="240" w:lineRule="auto"/>
              <w:ind w:leftChars="0"/>
              <w:jc w:val="center"/>
              <w:textAlignment w:val="auto"/>
              <w:rPr>
                <w:rFonts w:hint="eastAsia" w:asciiTheme="minorEastAsia" w:hAnsiTheme="minorEastAsia" w:eastAsiaTheme="minorEastAsia" w:cstheme="minorEastAsia"/>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647" w:type="dxa"/>
            <w:vMerge w:val="continue"/>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Theme="minorEastAsia" w:hAnsiTheme="minorEastAsia" w:eastAsiaTheme="minorEastAsia" w:cstheme="minorEastAsia"/>
                <w:sz w:val="21"/>
                <w:szCs w:val="21"/>
              </w:rPr>
            </w:pPr>
          </w:p>
        </w:tc>
        <w:tc>
          <w:tcPr>
            <w:tcW w:w="795" w:type="dxa"/>
            <w:vMerge w:val="continue"/>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Theme="minorEastAsia" w:hAnsiTheme="minorEastAsia" w:eastAsiaTheme="minorEastAsia" w:cstheme="minorEastAsia"/>
                <w:sz w:val="21"/>
                <w:szCs w:val="21"/>
              </w:rPr>
            </w:pPr>
          </w:p>
        </w:tc>
        <w:tc>
          <w:tcPr>
            <w:tcW w:w="6634" w:type="dxa"/>
            <w:noWrap w:val="0"/>
            <w:vAlign w:val="center"/>
          </w:tcPr>
          <w:p>
            <w:pPr>
              <w:keepNext w:val="0"/>
              <w:keepLines w:val="0"/>
              <w:pageBreakBefore w:val="0"/>
              <w:kinsoku/>
              <w:wordWrap/>
              <w:overflowPunct/>
              <w:topLinePunct w:val="0"/>
              <w:bidi w:val="0"/>
              <w:snapToGrid/>
              <w:spacing w:line="240" w:lineRule="auto"/>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sz w:val="21"/>
                <w:szCs w:val="21"/>
                <w:lang w:val="en-US" w:eastAsia="zh-CN"/>
              </w:rPr>
              <w:t>3.4</w:t>
            </w:r>
            <w:r>
              <w:rPr>
                <w:rFonts w:hint="eastAsia" w:asciiTheme="minorEastAsia" w:hAnsiTheme="minorEastAsia" w:eastAsiaTheme="minorEastAsia" w:cstheme="minorEastAsia"/>
                <w:color w:val="auto"/>
                <w:sz w:val="21"/>
                <w:szCs w:val="21"/>
              </w:rPr>
              <w:t>代理项目</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对</w:t>
            </w:r>
            <w:r>
              <w:rPr>
                <w:rFonts w:hint="eastAsia" w:asciiTheme="minorEastAsia" w:hAnsiTheme="minorEastAsia" w:eastAsiaTheme="minorEastAsia" w:cstheme="minorEastAsia"/>
                <w:color w:val="auto"/>
                <w:sz w:val="21"/>
                <w:szCs w:val="21"/>
                <w:lang w:val="en-US" w:eastAsia="zh-CN"/>
              </w:rPr>
              <w:t>各采购环节、文件（采购</w:t>
            </w:r>
            <w:r>
              <w:rPr>
                <w:rFonts w:hint="eastAsia" w:asciiTheme="minorEastAsia" w:hAnsiTheme="minorEastAsia" w:eastAsiaTheme="minorEastAsia" w:cstheme="minorEastAsia"/>
                <w:color w:val="auto"/>
                <w:sz w:val="21"/>
                <w:szCs w:val="21"/>
              </w:rPr>
              <w:t>文件</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开标或评审过程</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评</w:t>
            </w:r>
            <w:r>
              <w:rPr>
                <w:rFonts w:hint="eastAsia" w:asciiTheme="minorEastAsia" w:hAnsiTheme="minorEastAsia" w:eastAsiaTheme="minorEastAsia" w:cstheme="minorEastAsia"/>
                <w:color w:val="auto"/>
                <w:sz w:val="21"/>
                <w:szCs w:val="21"/>
                <w:highlight w:val="none"/>
              </w:rPr>
              <w:t>审</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成交</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结果</w:t>
            </w:r>
            <w:r>
              <w:rPr>
                <w:rFonts w:hint="eastAsia" w:asciiTheme="minorEastAsia" w:hAnsiTheme="minorEastAsia" w:eastAsiaTheme="minorEastAsia" w:cstheme="minorEastAsia"/>
                <w:color w:val="auto"/>
                <w:sz w:val="21"/>
                <w:szCs w:val="21"/>
                <w:highlight w:val="none"/>
                <w:lang w:val="en-US" w:eastAsia="zh-CN"/>
              </w:rPr>
              <w:t>等</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办理</w:t>
            </w:r>
            <w:r>
              <w:rPr>
                <w:rFonts w:hint="eastAsia" w:asciiTheme="minorEastAsia" w:hAnsiTheme="minorEastAsia" w:eastAsiaTheme="minorEastAsia" w:cstheme="minorEastAsia"/>
                <w:color w:val="auto"/>
                <w:sz w:val="21"/>
                <w:szCs w:val="21"/>
              </w:rPr>
              <w:t>过程中</w:t>
            </w:r>
            <w:r>
              <w:rPr>
                <w:rFonts w:hint="eastAsia" w:asciiTheme="minorEastAsia" w:hAnsiTheme="minorEastAsia" w:eastAsiaTheme="minorEastAsia" w:cstheme="minorEastAsia"/>
                <w:color w:val="auto"/>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3.4.1每收到一次质疑直接扣5分，质疑成立的扣10分；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3.4.2每收</w:t>
            </w:r>
            <w:r>
              <w:rPr>
                <w:rFonts w:hint="eastAsia" w:asciiTheme="minorEastAsia" w:hAnsiTheme="minorEastAsia" w:eastAsiaTheme="minorEastAsia" w:cstheme="minorEastAsia"/>
                <w:color w:val="auto"/>
                <w:sz w:val="21"/>
                <w:szCs w:val="21"/>
                <w:highlight w:val="none"/>
              </w:rPr>
              <w:t>到一次投诉直接扣</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投诉成立的扣20分</w:t>
            </w:r>
            <w:r>
              <w:rPr>
                <w:rFonts w:hint="eastAsia" w:asciiTheme="minorEastAsia" w:hAnsiTheme="minorEastAsia" w:eastAsiaTheme="minorEastAsia" w:cstheme="minorEastAsia"/>
                <w:color w:val="auto"/>
                <w:sz w:val="21"/>
                <w:szCs w:val="21"/>
                <w:highlight w:val="none"/>
              </w:rPr>
              <w:t>；</w:t>
            </w:r>
          </w:p>
        </w:tc>
        <w:tc>
          <w:tcPr>
            <w:tcW w:w="791" w:type="dxa"/>
            <w:noWrap w:val="0"/>
            <w:vAlign w:val="center"/>
          </w:tcPr>
          <w:p>
            <w:pPr>
              <w:pStyle w:val="29"/>
              <w:keepNext w:val="0"/>
              <w:keepLines w:val="0"/>
              <w:pageBreakBefore w:val="0"/>
              <w:numPr>
                <w:ilvl w:val="0"/>
                <w:numId w:val="0"/>
              </w:numPr>
              <w:kinsoku/>
              <w:wordWrap/>
              <w:overflowPunct/>
              <w:topLinePunct w:val="0"/>
              <w:bidi w:val="0"/>
              <w:snapToGrid/>
              <w:spacing w:line="240" w:lineRule="auto"/>
              <w:ind w:leftChars="0"/>
              <w:jc w:val="center"/>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sz w:val="21"/>
                <w:szCs w:val="21"/>
                <w:lang w:val="en-US" w:eastAsia="zh-CN"/>
              </w:rPr>
              <w:t>20分</w:t>
            </w:r>
          </w:p>
        </w:tc>
        <w:tc>
          <w:tcPr>
            <w:tcW w:w="672" w:type="dxa"/>
            <w:noWrap w:val="0"/>
            <w:vAlign w:val="center"/>
          </w:tcPr>
          <w:p>
            <w:pPr>
              <w:pStyle w:val="29"/>
              <w:keepNext w:val="0"/>
              <w:keepLines w:val="0"/>
              <w:pageBreakBefore w:val="0"/>
              <w:numPr>
                <w:ilvl w:val="0"/>
                <w:numId w:val="0"/>
              </w:numPr>
              <w:kinsoku/>
              <w:wordWrap/>
              <w:overflowPunct/>
              <w:topLinePunct w:val="0"/>
              <w:bidi w:val="0"/>
              <w:snapToGrid/>
              <w:spacing w:line="240" w:lineRule="auto"/>
              <w:ind w:leftChars="0"/>
              <w:jc w:val="center"/>
              <w:textAlignment w:val="auto"/>
              <w:rPr>
                <w:rFonts w:hint="eastAsia" w:asciiTheme="minorEastAsia" w:hAnsiTheme="minorEastAsia" w:eastAsiaTheme="minorEastAsia" w:cstheme="minorEastAsia"/>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647" w:type="dxa"/>
            <w:vMerge w:val="continue"/>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Theme="minorEastAsia" w:hAnsiTheme="minorEastAsia" w:eastAsiaTheme="minorEastAsia" w:cstheme="minorEastAsia"/>
                <w:sz w:val="21"/>
                <w:szCs w:val="21"/>
              </w:rPr>
            </w:pPr>
          </w:p>
        </w:tc>
        <w:tc>
          <w:tcPr>
            <w:tcW w:w="795" w:type="dxa"/>
            <w:vMerge w:val="continue"/>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Theme="minorEastAsia" w:hAnsiTheme="minorEastAsia" w:eastAsiaTheme="minorEastAsia" w:cstheme="minorEastAsia"/>
                <w:sz w:val="21"/>
                <w:szCs w:val="21"/>
              </w:rPr>
            </w:pPr>
          </w:p>
        </w:tc>
        <w:tc>
          <w:tcPr>
            <w:tcW w:w="6634" w:type="dxa"/>
            <w:noWrap w:val="0"/>
            <w:vAlign w:val="center"/>
          </w:tcPr>
          <w:p>
            <w:pPr>
              <w:keepNext w:val="0"/>
              <w:keepLines w:val="0"/>
              <w:pageBreakBefore w:val="0"/>
              <w:kinsoku/>
              <w:wordWrap/>
              <w:overflowPunct/>
              <w:topLinePunct w:val="0"/>
              <w:bidi w:val="0"/>
              <w:snapToGrid/>
              <w:spacing w:line="240" w:lineRule="auto"/>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保证开标现场正常合法合规。</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5分</w:t>
            </w:r>
            <w:r>
              <w:rPr>
                <w:rFonts w:hint="eastAsia" w:asciiTheme="minorEastAsia" w:hAnsiTheme="minorEastAsia" w:eastAsiaTheme="minorEastAsia" w:cstheme="minorEastAsia"/>
                <w:color w:val="auto"/>
                <w:sz w:val="21"/>
                <w:szCs w:val="21"/>
                <w:lang w:eastAsia="zh-CN"/>
              </w:rPr>
              <w:t>）</w:t>
            </w:r>
          </w:p>
        </w:tc>
        <w:tc>
          <w:tcPr>
            <w:tcW w:w="791" w:type="dxa"/>
            <w:noWrap w:val="0"/>
            <w:vAlign w:val="center"/>
          </w:tcPr>
          <w:p>
            <w:pPr>
              <w:pStyle w:val="29"/>
              <w:keepNext w:val="0"/>
              <w:keepLines w:val="0"/>
              <w:pageBreakBefore w:val="0"/>
              <w:numPr>
                <w:ilvl w:val="0"/>
                <w:numId w:val="0"/>
              </w:numPr>
              <w:kinsoku/>
              <w:wordWrap/>
              <w:overflowPunct/>
              <w:topLinePunct w:val="0"/>
              <w:bidi w:val="0"/>
              <w:snapToGrid/>
              <w:spacing w:line="240" w:lineRule="auto"/>
              <w:ind w:leftChars="0"/>
              <w:jc w:val="center"/>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sz w:val="21"/>
                <w:szCs w:val="21"/>
              </w:rPr>
              <w:t>5分</w:t>
            </w:r>
          </w:p>
        </w:tc>
        <w:tc>
          <w:tcPr>
            <w:tcW w:w="672" w:type="dxa"/>
            <w:noWrap w:val="0"/>
            <w:vAlign w:val="center"/>
          </w:tcPr>
          <w:p>
            <w:pPr>
              <w:pStyle w:val="29"/>
              <w:keepNext w:val="0"/>
              <w:keepLines w:val="0"/>
              <w:pageBreakBefore w:val="0"/>
              <w:numPr>
                <w:ilvl w:val="0"/>
                <w:numId w:val="0"/>
              </w:numPr>
              <w:kinsoku/>
              <w:wordWrap/>
              <w:overflowPunct/>
              <w:topLinePunct w:val="0"/>
              <w:bidi w:val="0"/>
              <w:snapToGrid/>
              <w:spacing w:line="240" w:lineRule="auto"/>
              <w:ind w:leftChars="0"/>
              <w:jc w:val="center"/>
              <w:textAlignment w:val="auto"/>
              <w:rPr>
                <w:rFonts w:hint="eastAsia" w:asciiTheme="minorEastAsia" w:hAnsiTheme="minorEastAsia" w:eastAsiaTheme="minorEastAsia" w:cstheme="minorEastAsia"/>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47" w:type="dxa"/>
            <w:vMerge w:val="restart"/>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4</w:t>
            </w:r>
          </w:p>
        </w:tc>
        <w:tc>
          <w:tcPr>
            <w:tcW w:w="795" w:type="dxa"/>
            <w:vMerge w:val="restart"/>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过程控制</w:t>
            </w:r>
          </w:p>
        </w:tc>
        <w:tc>
          <w:tcPr>
            <w:tcW w:w="6634" w:type="dxa"/>
            <w:noWrap w:val="0"/>
            <w:vAlign w:val="center"/>
          </w:tcPr>
          <w:p>
            <w:pPr>
              <w:keepNext w:val="0"/>
              <w:keepLines w:val="0"/>
              <w:pageBreakBefore w:val="0"/>
              <w:kinsoku/>
              <w:wordWrap/>
              <w:overflowPunct/>
              <w:topLinePunct w:val="0"/>
              <w:bidi w:val="0"/>
              <w:snapToGrid/>
              <w:spacing w:line="24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4.1</w:t>
            </w:r>
            <w:r>
              <w:rPr>
                <w:rFonts w:hint="eastAsia" w:asciiTheme="minorEastAsia" w:hAnsiTheme="minorEastAsia" w:eastAsiaTheme="minorEastAsia" w:cstheme="minorEastAsia"/>
                <w:color w:val="auto"/>
                <w:sz w:val="21"/>
                <w:szCs w:val="21"/>
              </w:rPr>
              <w:t>开标准备充分，评委按时到场，开标过程规范有序。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5分</w:t>
            </w:r>
            <w:r>
              <w:rPr>
                <w:rFonts w:hint="eastAsia" w:asciiTheme="minorEastAsia" w:hAnsiTheme="minorEastAsia" w:eastAsiaTheme="minorEastAsia" w:cstheme="minorEastAsia"/>
                <w:color w:val="auto"/>
                <w:sz w:val="21"/>
                <w:szCs w:val="21"/>
                <w:lang w:eastAsia="zh-CN"/>
              </w:rPr>
              <w:t>）</w:t>
            </w:r>
          </w:p>
        </w:tc>
        <w:tc>
          <w:tcPr>
            <w:tcW w:w="791" w:type="dxa"/>
            <w:noWrap w:val="0"/>
            <w:vAlign w:val="center"/>
          </w:tcPr>
          <w:p>
            <w:pPr>
              <w:pStyle w:val="29"/>
              <w:keepNext w:val="0"/>
              <w:keepLines w:val="0"/>
              <w:pageBreakBefore w:val="0"/>
              <w:numPr>
                <w:ilvl w:val="0"/>
                <w:numId w:val="0"/>
              </w:numPr>
              <w:kinsoku/>
              <w:wordWrap/>
              <w:overflowPunct/>
              <w:topLinePunct w:val="0"/>
              <w:bidi w:val="0"/>
              <w:snapToGrid/>
              <w:spacing w:line="240" w:lineRule="auto"/>
              <w:ind w:leftChars="0"/>
              <w:jc w:val="center"/>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sz w:val="21"/>
                <w:szCs w:val="21"/>
              </w:rPr>
              <w:t>5分</w:t>
            </w:r>
          </w:p>
        </w:tc>
        <w:tc>
          <w:tcPr>
            <w:tcW w:w="672" w:type="dxa"/>
            <w:noWrap w:val="0"/>
            <w:vAlign w:val="center"/>
          </w:tcPr>
          <w:p>
            <w:pPr>
              <w:pStyle w:val="29"/>
              <w:keepNext w:val="0"/>
              <w:keepLines w:val="0"/>
              <w:pageBreakBefore w:val="0"/>
              <w:numPr>
                <w:ilvl w:val="0"/>
                <w:numId w:val="0"/>
              </w:numPr>
              <w:kinsoku/>
              <w:wordWrap/>
              <w:overflowPunct/>
              <w:topLinePunct w:val="0"/>
              <w:bidi w:val="0"/>
              <w:snapToGrid/>
              <w:spacing w:line="240" w:lineRule="auto"/>
              <w:ind w:leftChars="0"/>
              <w:jc w:val="center"/>
              <w:textAlignment w:val="auto"/>
              <w:rPr>
                <w:rFonts w:hint="eastAsia" w:asciiTheme="minorEastAsia" w:hAnsiTheme="minorEastAsia" w:eastAsiaTheme="minorEastAsia" w:cstheme="minorEastAsia"/>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47" w:type="dxa"/>
            <w:vMerge w:val="continue"/>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Theme="minorEastAsia" w:hAnsiTheme="minorEastAsia" w:eastAsiaTheme="minorEastAsia" w:cstheme="minorEastAsia"/>
                <w:sz w:val="21"/>
                <w:szCs w:val="21"/>
              </w:rPr>
            </w:pPr>
          </w:p>
        </w:tc>
        <w:tc>
          <w:tcPr>
            <w:tcW w:w="795" w:type="dxa"/>
            <w:vMerge w:val="continue"/>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Theme="minorEastAsia" w:hAnsiTheme="minorEastAsia" w:eastAsiaTheme="minorEastAsia" w:cstheme="minorEastAsia"/>
                <w:sz w:val="21"/>
                <w:szCs w:val="21"/>
              </w:rPr>
            </w:pPr>
          </w:p>
        </w:tc>
        <w:tc>
          <w:tcPr>
            <w:tcW w:w="6634" w:type="dxa"/>
            <w:noWrap w:val="0"/>
            <w:vAlign w:val="center"/>
          </w:tcPr>
          <w:p>
            <w:pPr>
              <w:keepNext w:val="0"/>
              <w:keepLines w:val="0"/>
              <w:pageBreakBefore w:val="0"/>
              <w:kinsoku/>
              <w:wordWrap/>
              <w:overflowPunct/>
              <w:topLinePunct w:val="0"/>
              <w:bidi w:val="0"/>
              <w:snapToGrid/>
              <w:spacing w:line="24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4.2</w:t>
            </w:r>
            <w:r>
              <w:rPr>
                <w:rFonts w:hint="eastAsia" w:asciiTheme="minorEastAsia" w:hAnsiTheme="minorEastAsia" w:eastAsiaTheme="minorEastAsia" w:cstheme="minorEastAsia"/>
                <w:color w:val="auto"/>
                <w:sz w:val="21"/>
                <w:szCs w:val="21"/>
              </w:rPr>
              <w:t>如评标过程中发现违法违规行为，及时制止并向</w:t>
            </w:r>
            <w:r>
              <w:rPr>
                <w:rFonts w:hint="eastAsia" w:asciiTheme="minorEastAsia" w:hAnsiTheme="minorEastAsia" w:eastAsiaTheme="minorEastAsia" w:cstheme="minorEastAsia"/>
                <w:color w:val="auto"/>
                <w:sz w:val="21"/>
                <w:szCs w:val="21"/>
                <w:highlight w:val="none"/>
              </w:rPr>
              <w:t>医院</w:t>
            </w:r>
            <w:r>
              <w:rPr>
                <w:rFonts w:hint="eastAsia" w:asciiTheme="minorEastAsia" w:hAnsiTheme="minorEastAsia" w:eastAsiaTheme="minorEastAsia" w:cstheme="minorEastAsia"/>
                <w:color w:val="auto"/>
                <w:sz w:val="21"/>
                <w:szCs w:val="21"/>
                <w:highlight w:val="none"/>
                <w:lang w:eastAsia="zh-CN"/>
              </w:rPr>
              <w:t>办公室</w:t>
            </w:r>
            <w:r>
              <w:rPr>
                <w:rFonts w:hint="eastAsia" w:asciiTheme="minorEastAsia" w:hAnsiTheme="minorEastAsia" w:eastAsiaTheme="minorEastAsia" w:cstheme="minorEastAsia"/>
                <w:color w:val="auto"/>
                <w:sz w:val="21"/>
                <w:szCs w:val="21"/>
              </w:rPr>
              <w:t>及财政采购监管部门反映。</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10分</w:t>
            </w:r>
            <w:r>
              <w:rPr>
                <w:rFonts w:hint="eastAsia" w:asciiTheme="minorEastAsia" w:hAnsiTheme="minorEastAsia" w:eastAsiaTheme="minorEastAsia" w:cstheme="minorEastAsia"/>
                <w:color w:val="auto"/>
                <w:sz w:val="21"/>
                <w:szCs w:val="21"/>
                <w:lang w:eastAsia="zh-CN"/>
              </w:rPr>
              <w:t>）</w:t>
            </w:r>
          </w:p>
        </w:tc>
        <w:tc>
          <w:tcPr>
            <w:tcW w:w="791" w:type="dxa"/>
            <w:noWrap w:val="0"/>
            <w:vAlign w:val="center"/>
          </w:tcPr>
          <w:p>
            <w:pPr>
              <w:pStyle w:val="29"/>
              <w:keepNext w:val="0"/>
              <w:keepLines w:val="0"/>
              <w:pageBreakBefore w:val="0"/>
              <w:numPr>
                <w:ilvl w:val="0"/>
                <w:numId w:val="0"/>
              </w:numPr>
              <w:kinsoku/>
              <w:wordWrap/>
              <w:overflowPunct/>
              <w:topLinePunct w:val="0"/>
              <w:bidi w:val="0"/>
              <w:snapToGrid/>
              <w:spacing w:line="240" w:lineRule="auto"/>
              <w:ind w:leftChars="0"/>
              <w:jc w:val="center"/>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分</w:t>
            </w:r>
          </w:p>
        </w:tc>
        <w:tc>
          <w:tcPr>
            <w:tcW w:w="672" w:type="dxa"/>
            <w:noWrap w:val="0"/>
            <w:vAlign w:val="center"/>
          </w:tcPr>
          <w:p>
            <w:pPr>
              <w:pStyle w:val="29"/>
              <w:keepNext w:val="0"/>
              <w:keepLines w:val="0"/>
              <w:pageBreakBefore w:val="0"/>
              <w:numPr>
                <w:ilvl w:val="0"/>
                <w:numId w:val="0"/>
              </w:numPr>
              <w:kinsoku/>
              <w:wordWrap/>
              <w:overflowPunct/>
              <w:topLinePunct w:val="0"/>
              <w:bidi w:val="0"/>
              <w:snapToGrid/>
              <w:spacing w:line="240" w:lineRule="auto"/>
              <w:ind w:leftChars="0"/>
              <w:jc w:val="center"/>
              <w:textAlignment w:val="auto"/>
              <w:rPr>
                <w:rFonts w:hint="eastAsia" w:asciiTheme="minorEastAsia" w:hAnsiTheme="minorEastAsia" w:eastAsiaTheme="minorEastAsia" w:cstheme="minorEastAsia"/>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647" w:type="dxa"/>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5</w:t>
            </w:r>
          </w:p>
        </w:tc>
        <w:tc>
          <w:tcPr>
            <w:tcW w:w="795" w:type="dxa"/>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人员配备</w:t>
            </w:r>
          </w:p>
        </w:tc>
        <w:tc>
          <w:tcPr>
            <w:tcW w:w="6634" w:type="dxa"/>
            <w:noWrap w:val="0"/>
            <w:vAlign w:val="center"/>
          </w:tcPr>
          <w:p>
            <w:pPr>
              <w:keepNext w:val="0"/>
              <w:keepLines w:val="0"/>
              <w:pageBreakBefore w:val="0"/>
              <w:kinsoku/>
              <w:wordWrap/>
              <w:overflowPunct/>
              <w:topLinePunct w:val="0"/>
              <w:bidi w:val="0"/>
              <w:snapToGrid/>
              <w:spacing w:line="240" w:lineRule="auto"/>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5.1</w:t>
            </w:r>
            <w:r>
              <w:rPr>
                <w:rFonts w:hint="eastAsia" w:asciiTheme="minorEastAsia" w:hAnsiTheme="minorEastAsia" w:eastAsiaTheme="minorEastAsia" w:cstheme="minorEastAsia"/>
                <w:sz w:val="21"/>
                <w:szCs w:val="21"/>
              </w:rPr>
              <w:t>有完整、合理、可行的实施计划</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代理项目人员配置齐全、职责明确</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3分</w:t>
            </w:r>
            <w:r>
              <w:rPr>
                <w:rFonts w:hint="eastAsia" w:asciiTheme="minorEastAsia" w:hAnsiTheme="minorEastAsia" w:eastAsiaTheme="minorEastAsia" w:cstheme="minorEastAsia"/>
                <w:sz w:val="21"/>
                <w:szCs w:val="21"/>
                <w:lang w:eastAsia="zh-CN"/>
              </w:rPr>
              <w:t>）</w:t>
            </w:r>
          </w:p>
          <w:p>
            <w:pPr>
              <w:keepNext w:val="0"/>
              <w:keepLines w:val="0"/>
              <w:pageBreakBefore w:val="0"/>
              <w:kinsoku/>
              <w:wordWrap/>
              <w:overflowPunct/>
              <w:topLinePunct w:val="0"/>
              <w:bidi w:val="0"/>
              <w:snapToGrid/>
              <w:spacing w:line="240" w:lineRule="auto"/>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有</w:t>
            </w:r>
            <w:r>
              <w:rPr>
                <w:rFonts w:hint="eastAsia" w:asciiTheme="minorEastAsia" w:hAnsiTheme="minorEastAsia" w:eastAsiaTheme="minorEastAsia" w:cstheme="minorEastAsia"/>
                <w:sz w:val="21"/>
                <w:szCs w:val="21"/>
              </w:rPr>
              <w:t>指派专职人员作为代理项目负责人，从业人员业务水平高</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全过程服务细致、耐心，态度端正</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3分</w:t>
            </w:r>
            <w:r>
              <w:rPr>
                <w:rFonts w:hint="eastAsia" w:asciiTheme="minorEastAsia" w:hAnsiTheme="minorEastAsia" w:eastAsiaTheme="minorEastAsia" w:cstheme="minorEastAsia"/>
                <w:sz w:val="21"/>
                <w:szCs w:val="21"/>
                <w:lang w:eastAsia="zh-CN"/>
              </w:rPr>
              <w:t>）</w:t>
            </w:r>
          </w:p>
          <w:p>
            <w:pPr>
              <w:keepNext w:val="0"/>
              <w:keepLines w:val="0"/>
              <w:pageBreakBefore w:val="0"/>
              <w:kinsoku/>
              <w:wordWrap/>
              <w:overflowPunct/>
              <w:topLinePunct w:val="0"/>
              <w:bidi w:val="0"/>
              <w:snapToGrid/>
              <w:spacing w:line="240" w:lineRule="auto"/>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5.3</w:t>
            </w:r>
            <w:r>
              <w:rPr>
                <w:rFonts w:hint="eastAsia" w:asciiTheme="minorEastAsia" w:hAnsiTheme="minorEastAsia" w:eastAsiaTheme="minorEastAsia" w:cstheme="minorEastAsia"/>
                <w:sz w:val="21"/>
                <w:szCs w:val="21"/>
              </w:rPr>
              <w:t>开标</w:t>
            </w:r>
            <w:r>
              <w:rPr>
                <w:rFonts w:hint="eastAsia" w:asciiTheme="minorEastAsia" w:hAnsiTheme="minorEastAsia" w:eastAsiaTheme="minorEastAsia" w:cstheme="minorEastAsia"/>
                <w:sz w:val="21"/>
                <w:szCs w:val="21"/>
                <w:lang w:val="en-US" w:eastAsia="zh-CN"/>
              </w:rPr>
              <w:t>或评审</w:t>
            </w:r>
            <w:r>
              <w:rPr>
                <w:rFonts w:hint="eastAsia" w:asciiTheme="minorEastAsia" w:hAnsiTheme="minorEastAsia" w:eastAsiaTheme="minorEastAsia" w:cstheme="minorEastAsia"/>
                <w:sz w:val="21"/>
                <w:szCs w:val="21"/>
              </w:rPr>
              <w:t>现场，项目负责人及相关工作人员配备齐全，职责明确</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熟悉流程。（4分）</w:t>
            </w:r>
          </w:p>
        </w:tc>
        <w:tc>
          <w:tcPr>
            <w:tcW w:w="791" w:type="dxa"/>
            <w:noWrap w:val="0"/>
            <w:vAlign w:val="center"/>
          </w:tcPr>
          <w:p>
            <w:pPr>
              <w:pStyle w:val="29"/>
              <w:keepNext w:val="0"/>
              <w:keepLines w:val="0"/>
              <w:pageBreakBefore w:val="0"/>
              <w:numPr>
                <w:ilvl w:val="0"/>
                <w:numId w:val="0"/>
              </w:numPr>
              <w:kinsoku/>
              <w:wordWrap/>
              <w:overflowPunct/>
              <w:topLinePunct w:val="0"/>
              <w:bidi w:val="0"/>
              <w:snapToGrid/>
              <w:spacing w:line="240" w:lineRule="auto"/>
              <w:ind w:leftChars="0"/>
              <w:jc w:val="center"/>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分</w:t>
            </w:r>
          </w:p>
        </w:tc>
        <w:tc>
          <w:tcPr>
            <w:tcW w:w="672" w:type="dxa"/>
            <w:noWrap w:val="0"/>
            <w:vAlign w:val="center"/>
          </w:tcPr>
          <w:p>
            <w:pPr>
              <w:pStyle w:val="29"/>
              <w:keepNext w:val="0"/>
              <w:keepLines w:val="0"/>
              <w:pageBreakBefore w:val="0"/>
              <w:numPr>
                <w:ilvl w:val="0"/>
                <w:numId w:val="0"/>
              </w:numPr>
              <w:kinsoku/>
              <w:wordWrap/>
              <w:overflowPunct/>
              <w:topLinePunct w:val="0"/>
              <w:bidi w:val="0"/>
              <w:snapToGrid/>
              <w:spacing w:line="240" w:lineRule="auto"/>
              <w:ind w:leftChars="0"/>
              <w:jc w:val="center"/>
              <w:textAlignment w:val="auto"/>
              <w:rPr>
                <w:rFonts w:hint="eastAsia" w:asciiTheme="minorEastAsia" w:hAnsiTheme="minorEastAsia" w:eastAsiaTheme="minorEastAsia" w:cstheme="minorEastAsia"/>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47" w:type="dxa"/>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6</w:t>
            </w:r>
          </w:p>
        </w:tc>
        <w:tc>
          <w:tcPr>
            <w:tcW w:w="795" w:type="dxa"/>
            <w:noWrap w:val="0"/>
            <w:vAlign w:val="center"/>
          </w:tcPr>
          <w:p>
            <w:pPr>
              <w:keepNext w:val="0"/>
              <w:keepLines w:val="0"/>
              <w:pageBreakBefore w:val="0"/>
              <w:kinsoku/>
              <w:wordWrap/>
              <w:overflowPunct/>
              <w:topLinePunct w:val="0"/>
              <w:bidi w:val="0"/>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沟通协调</w:t>
            </w:r>
          </w:p>
        </w:tc>
        <w:tc>
          <w:tcPr>
            <w:tcW w:w="6634" w:type="dxa"/>
            <w:noWrap w:val="0"/>
            <w:vAlign w:val="center"/>
          </w:tcPr>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采购（</w:t>
            </w:r>
            <w:r>
              <w:rPr>
                <w:rFonts w:hint="eastAsia" w:asciiTheme="minorEastAsia" w:hAnsiTheme="minorEastAsia" w:eastAsiaTheme="minorEastAsia" w:cstheme="minorEastAsia"/>
                <w:sz w:val="21"/>
                <w:szCs w:val="21"/>
              </w:rPr>
              <w:t>招标</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代理服务的各方面周到、细致、无疏漏，组织协调工作到位，</w:t>
            </w:r>
            <w:r>
              <w:rPr>
                <w:rFonts w:hint="eastAsia" w:asciiTheme="minorEastAsia" w:hAnsiTheme="minorEastAsia" w:eastAsiaTheme="minorEastAsia" w:cstheme="minorEastAsia"/>
                <w:color w:val="000000"/>
                <w:kern w:val="0"/>
                <w:sz w:val="21"/>
                <w:szCs w:val="21"/>
                <w:lang w:val="en-US" w:eastAsia="zh-CN" w:bidi="ar"/>
              </w:rPr>
              <w:t>能及时发现问题积极与甲方沟通协调修改及时处理，</w:t>
            </w:r>
            <w:r>
              <w:rPr>
                <w:rFonts w:hint="eastAsia" w:asciiTheme="minorEastAsia" w:hAnsiTheme="minorEastAsia" w:eastAsiaTheme="minorEastAsia" w:cstheme="minorEastAsia"/>
                <w:sz w:val="21"/>
                <w:szCs w:val="21"/>
              </w:rPr>
              <w:t>未对招标过程产生不良影响，未给委托人造成损失</w:t>
            </w:r>
            <w:r>
              <w:rPr>
                <w:rFonts w:hint="eastAsia" w:asciiTheme="minorEastAsia" w:hAnsiTheme="minorEastAsia" w:eastAsiaTheme="minorEastAsia" w:cstheme="minorEastAsia"/>
                <w:sz w:val="21"/>
                <w:szCs w:val="21"/>
                <w:highlight w:val="none"/>
              </w:rPr>
              <w:t>。</w:t>
            </w:r>
          </w:p>
        </w:tc>
        <w:tc>
          <w:tcPr>
            <w:tcW w:w="791" w:type="dxa"/>
            <w:noWrap w:val="0"/>
            <w:vAlign w:val="center"/>
          </w:tcPr>
          <w:p>
            <w:pPr>
              <w:pStyle w:val="29"/>
              <w:keepNext w:val="0"/>
              <w:keepLines w:val="0"/>
              <w:pageBreakBefore w:val="0"/>
              <w:numPr>
                <w:ilvl w:val="0"/>
                <w:numId w:val="0"/>
              </w:numPr>
              <w:kinsoku/>
              <w:wordWrap/>
              <w:overflowPunct/>
              <w:topLinePunct w:val="0"/>
              <w:bidi w:val="0"/>
              <w:snapToGrid/>
              <w:spacing w:line="240" w:lineRule="auto"/>
              <w:ind w:leftChars="0"/>
              <w:jc w:val="center"/>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sz w:val="21"/>
                <w:szCs w:val="21"/>
              </w:rPr>
              <w:t>5分</w:t>
            </w:r>
          </w:p>
        </w:tc>
        <w:tc>
          <w:tcPr>
            <w:tcW w:w="672" w:type="dxa"/>
            <w:noWrap w:val="0"/>
            <w:vAlign w:val="center"/>
          </w:tcPr>
          <w:p>
            <w:pPr>
              <w:pStyle w:val="29"/>
              <w:keepNext w:val="0"/>
              <w:keepLines w:val="0"/>
              <w:pageBreakBefore w:val="0"/>
              <w:numPr>
                <w:ilvl w:val="0"/>
                <w:numId w:val="0"/>
              </w:numPr>
              <w:kinsoku/>
              <w:wordWrap/>
              <w:overflowPunct/>
              <w:topLinePunct w:val="0"/>
              <w:bidi w:val="0"/>
              <w:snapToGrid/>
              <w:spacing w:line="240" w:lineRule="auto"/>
              <w:ind w:leftChars="0"/>
              <w:jc w:val="center"/>
              <w:textAlignment w:val="auto"/>
              <w:rPr>
                <w:rFonts w:hint="eastAsia" w:asciiTheme="minorEastAsia" w:hAnsiTheme="minorEastAsia" w:eastAsiaTheme="minorEastAsia" w:cstheme="minorEastAsia"/>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076" w:type="dxa"/>
            <w:gridSpan w:val="3"/>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val="en-US" w:eastAsia="zh-CN"/>
              </w:rPr>
              <w:t>得</w:t>
            </w:r>
            <w:r>
              <w:rPr>
                <w:rFonts w:hint="eastAsia" w:asciiTheme="minorEastAsia" w:hAnsiTheme="minorEastAsia" w:eastAsiaTheme="minorEastAsia" w:cstheme="minorEastAsia"/>
                <w:b/>
                <w:sz w:val="21"/>
                <w:szCs w:val="21"/>
              </w:rPr>
              <w:t>分</w:t>
            </w:r>
          </w:p>
        </w:tc>
        <w:tc>
          <w:tcPr>
            <w:tcW w:w="791" w:type="dxa"/>
            <w:noWrap w:val="0"/>
            <w:vAlign w:val="center"/>
          </w:tcPr>
          <w:p>
            <w:pPr>
              <w:pStyle w:val="29"/>
              <w:keepNext w:val="0"/>
              <w:keepLines w:val="0"/>
              <w:pageBreakBefore w:val="0"/>
              <w:widowControl w:val="0"/>
              <w:numPr>
                <w:ilvl w:val="0"/>
                <w:numId w:val="0"/>
              </w:numPr>
              <w:kinsoku/>
              <w:wordWrap/>
              <w:overflowPunct/>
              <w:topLinePunct w:val="0"/>
              <w:bidi w:val="0"/>
              <w:snapToGrid/>
              <w:spacing w:line="240" w:lineRule="auto"/>
              <w:ind w:leftChars="0"/>
              <w:jc w:val="center"/>
              <w:textAlignment w:val="auto"/>
              <w:rPr>
                <w:rFonts w:hint="eastAsia" w:asciiTheme="minorEastAsia" w:hAnsiTheme="minorEastAsia" w:eastAsiaTheme="minorEastAsia" w:cstheme="minorEastAsia"/>
                <w:b/>
                <w:color w:val="auto"/>
                <w:kern w:val="2"/>
                <w:sz w:val="21"/>
                <w:szCs w:val="21"/>
                <w:lang w:val="en-US" w:eastAsia="zh-CN"/>
              </w:rPr>
            </w:pPr>
            <w:r>
              <w:rPr>
                <w:rFonts w:hint="eastAsia" w:asciiTheme="minorEastAsia" w:hAnsiTheme="minorEastAsia" w:eastAsiaTheme="minorEastAsia" w:cstheme="minorEastAsia"/>
                <w:b/>
                <w:color w:val="auto"/>
                <w:kern w:val="2"/>
                <w:sz w:val="21"/>
                <w:szCs w:val="21"/>
                <w:lang w:val="en-US" w:eastAsia="zh-CN"/>
              </w:rPr>
              <w:t>100分</w:t>
            </w:r>
          </w:p>
        </w:tc>
        <w:tc>
          <w:tcPr>
            <w:tcW w:w="672" w:type="dxa"/>
            <w:noWrap w:val="0"/>
            <w:vAlign w:val="center"/>
          </w:tcPr>
          <w:p>
            <w:pPr>
              <w:pStyle w:val="29"/>
              <w:keepNext w:val="0"/>
              <w:keepLines w:val="0"/>
              <w:pageBreakBefore w:val="0"/>
              <w:widowControl w:val="0"/>
              <w:numPr>
                <w:ilvl w:val="0"/>
                <w:numId w:val="0"/>
              </w:numPr>
              <w:kinsoku/>
              <w:wordWrap/>
              <w:overflowPunct/>
              <w:topLinePunct w:val="0"/>
              <w:bidi w:val="0"/>
              <w:snapToGrid/>
              <w:spacing w:line="240" w:lineRule="auto"/>
              <w:ind w:leftChars="0"/>
              <w:jc w:val="center"/>
              <w:textAlignment w:val="auto"/>
              <w:rPr>
                <w:rFonts w:hint="eastAsia" w:asciiTheme="minorEastAsia" w:hAnsiTheme="minorEastAsia" w:eastAsiaTheme="minorEastAsia" w:cstheme="minorEastAsia"/>
                <w:b/>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6" w:type="dxa"/>
            <w:gridSpan w:val="3"/>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eastAsia="zh-CN"/>
              </w:rPr>
              <w:t>评价人</w:t>
            </w:r>
            <w:r>
              <w:rPr>
                <w:rFonts w:hint="eastAsia" w:asciiTheme="minorEastAsia" w:hAnsiTheme="minorEastAsia" w:eastAsiaTheme="minorEastAsia" w:cstheme="minorEastAsia"/>
                <w:b/>
                <w:sz w:val="21"/>
                <w:szCs w:val="21"/>
                <w:lang w:val="en-US" w:eastAsia="zh-CN"/>
              </w:rPr>
              <w:t>签名</w:t>
            </w:r>
          </w:p>
        </w:tc>
        <w:tc>
          <w:tcPr>
            <w:tcW w:w="1463" w:type="dxa"/>
            <w:gridSpan w:val="2"/>
            <w:noWrap w:val="0"/>
            <w:vAlign w:val="center"/>
          </w:tcPr>
          <w:p>
            <w:pPr>
              <w:pStyle w:val="29"/>
              <w:keepNext w:val="0"/>
              <w:keepLines w:val="0"/>
              <w:pageBreakBefore w:val="0"/>
              <w:widowControl w:val="0"/>
              <w:numPr>
                <w:ilvl w:val="0"/>
                <w:numId w:val="0"/>
              </w:numPr>
              <w:kinsoku/>
              <w:wordWrap/>
              <w:overflowPunct/>
              <w:topLinePunct w:val="0"/>
              <w:bidi w:val="0"/>
              <w:snapToGrid/>
              <w:spacing w:line="240" w:lineRule="auto"/>
              <w:ind w:leftChars="0"/>
              <w:jc w:val="center"/>
              <w:textAlignment w:val="auto"/>
              <w:rPr>
                <w:rFonts w:hint="eastAsia" w:asciiTheme="minorEastAsia" w:hAnsiTheme="minorEastAsia" w:eastAsiaTheme="minorEastAsia" w:cstheme="minorEastAsia"/>
                <w:b/>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6" w:type="dxa"/>
            <w:gridSpan w:val="3"/>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评价时间</w:t>
            </w:r>
          </w:p>
        </w:tc>
        <w:tc>
          <w:tcPr>
            <w:tcW w:w="1463" w:type="dxa"/>
            <w:gridSpan w:val="2"/>
            <w:noWrap w:val="0"/>
            <w:vAlign w:val="center"/>
          </w:tcPr>
          <w:p>
            <w:pPr>
              <w:pStyle w:val="29"/>
              <w:keepNext w:val="0"/>
              <w:keepLines w:val="0"/>
              <w:pageBreakBefore w:val="0"/>
              <w:widowControl w:val="0"/>
              <w:numPr>
                <w:ilvl w:val="0"/>
                <w:numId w:val="0"/>
              </w:numPr>
              <w:kinsoku/>
              <w:wordWrap/>
              <w:overflowPunct/>
              <w:topLinePunct w:val="0"/>
              <w:bidi w:val="0"/>
              <w:snapToGrid/>
              <w:spacing w:line="240" w:lineRule="auto"/>
              <w:ind w:leftChars="0"/>
              <w:jc w:val="center"/>
              <w:textAlignment w:val="auto"/>
              <w:rPr>
                <w:rFonts w:hint="eastAsia" w:asciiTheme="minorEastAsia" w:hAnsiTheme="minorEastAsia" w:eastAsiaTheme="minorEastAsia" w:cstheme="minorEastAsia"/>
                <w:b/>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2" w:type="dxa"/>
            <w:gridSpan w:val="2"/>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val="0"/>
                <w:bCs/>
                <w:sz w:val="21"/>
                <w:szCs w:val="21"/>
                <w:lang w:val="en-US" w:eastAsia="zh-CN"/>
              </w:rPr>
              <w:t>备注</w:t>
            </w:r>
          </w:p>
        </w:tc>
        <w:tc>
          <w:tcPr>
            <w:tcW w:w="6634" w:type="dxa"/>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存在违法违规行为或严重违约的，一票否决。</w:t>
            </w:r>
          </w:p>
        </w:tc>
        <w:tc>
          <w:tcPr>
            <w:tcW w:w="1463" w:type="dxa"/>
            <w:gridSpan w:val="2"/>
            <w:noWrap w:val="0"/>
            <w:vAlign w:val="center"/>
          </w:tcPr>
          <w:p>
            <w:pPr>
              <w:pStyle w:val="29"/>
              <w:keepNext w:val="0"/>
              <w:keepLines w:val="0"/>
              <w:pageBreakBefore w:val="0"/>
              <w:widowControl w:val="0"/>
              <w:numPr>
                <w:ilvl w:val="0"/>
                <w:numId w:val="0"/>
              </w:numPr>
              <w:kinsoku/>
              <w:wordWrap/>
              <w:overflowPunct/>
              <w:topLinePunct w:val="0"/>
              <w:bidi w:val="0"/>
              <w:snapToGrid/>
              <w:spacing w:line="240" w:lineRule="auto"/>
              <w:ind w:leftChars="0"/>
              <w:jc w:val="center"/>
              <w:textAlignment w:val="auto"/>
              <w:rPr>
                <w:rFonts w:hint="eastAsia" w:asciiTheme="minorEastAsia" w:hAnsiTheme="minorEastAsia" w:eastAsiaTheme="minorEastAsia" w:cstheme="minorEastAsia"/>
                <w:b/>
                <w:color w:val="auto"/>
                <w:kern w:val="2"/>
                <w:sz w:val="21"/>
                <w:szCs w:val="21"/>
              </w:rPr>
            </w:pPr>
          </w:p>
        </w:tc>
      </w:tr>
    </w:tbl>
    <w:p>
      <w:pPr>
        <w:rPr>
          <w:rFonts w:hint="eastAsia"/>
          <w:lang w:eastAsia="zh-CN"/>
        </w:rPr>
        <w:sectPr>
          <w:footerReference r:id="rId5" w:type="default"/>
          <w:pgSz w:w="11906" w:h="16838"/>
          <w:pgMar w:top="1440" w:right="1800" w:bottom="1440" w:left="1800" w:header="851" w:footer="992" w:gutter="0"/>
          <w:pgNumType w:fmt="decimal" w:start="1"/>
          <w:cols w:space="720" w:num="1"/>
          <w:docGrid w:type="lines" w:linePitch="312" w:charSpace="0"/>
        </w:sectPr>
      </w:pPr>
    </w:p>
    <w:p>
      <w:pPr>
        <w:pStyle w:val="10"/>
        <w:adjustRightInd w:val="0"/>
        <w:snapToGrid w:val="0"/>
        <w:spacing w:line="440" w:lineRule="exact"/>
        <w:jc w:val="center"/>
        <w:rPr>
          <w:rFonts w:hint="eastAsia" w:ascii="仿宋" w:hAnsi="仿宋" w:eastAsia="仿宋" w:cs="仿宋"/>
          <w:b/>
          <w:color w:val="auto"/>
          <w:kern w:val="0"/>
          <w:sz w:val="28"/>
          <w:szCs w:val="28"/>
          <w:highlight w:val="none"/>
        </w:rPr>
      </w:pPr>
      <w:bookmarkStart w:id="3" w:name="_Toc202819882"/>
      <w:bookmarkStart w:id="4" w:name="_Toc202251703"/>
      <w:bookmarkStart w:id="5" w:name="_Toc202251078"/>
      <w:bookmarkStart w:id="6" w:name="_Toc202820355"/>
      <w:bookmarkStart w:id="7" w:name="_Toc202252037"/>
      <w:bookmarkStart w:id="8" w:name="_Toc202817000"/>
      <w:bookmarkStart w:id="9" w:name="_Toc202254108"/>
      <w:r>
        <w:rPr>
          <w:rFonts w:hint="eastAsia" w:ascii="仿宋" w:hAnsi="仿宋" w:eastAsia="仿宋" w:cs="仿宋"/>
          <w:b/>
          <w:color w:val="auto"/>
          <w:kern w:val="0"/>
          <w:sz w:val="28"/>
          <w:szCs w:val="28"/>
          <w:highlight w:val="none"/>
        </w:rPr>
        <w:t>第五部分  响应文件格式</w:t>
      </w:r>
    </w:p>
    <w:p>
      <w:pPr>
        <w:pStyle w:val="10"/>
        <w:adjustRightInd w:val="0"/>
        <w:snapToGrid w:val="0"/>
        <w:spacing w:line="440" w:lineRule="exact"/>
        <w:jc w:val="center"/>
        <w:rPr>
          <w:rFonts w:hint="eastAsia" w:ascii="仿宋" w:hAnsi="仿宋" w:eastAsia="仿宋" w:cs="仿宋"/>
          <w:b/>
          <w:color w:val="auto"/>
          <w:kern w:val="0"/>
          <w:sz w:val="28"/>
          <w:szCs w:val="28"/>
          <w:highlight w:val="none"/>
        </w:rPr>
      </w:pPr>
    </w:p>
    <w:p>
      <w:pPr>
        <w:spacing w:line="360" w:lineRule="auto"/>
        <w:ind w:left="-930" w:firstLine="48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一、供应商应提供有效的公司资质或厂家资质、业务代表授权书、质量保证承诺书等。</w:t>
      </w:r>
    </w:p>
    <w:p>
      <w:pPr>
        <w:spacing w:line="360" w:lineRule="auto"/>
        <w:ind w:left="-930" w:firstLine="480"/>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lang w:val="zh-CN"/>
        </w:rPr>
        <w:t>二、</w:t>
      </w:r>
      <w:r>
        <w:rPr>
          <w:rFonts w:hint="eastAsia" w:ascii="仿宋" w:hAnsi="仿宋" w:eastAsia="仿宋" w:cs="仿宋"/>
          <w:color w:val="auto"/>
          <w:sz w:val="24"/>
          <w:highlight w:val="none"/>
          <w:u w:val="single"/>
          <w:lang w:val="zh-CN"/>
        </w:rPr>
        <w:t>响应文件每页均应认真填写并加盖公章，包括附件，未盖章视为响应无效文件。所有页面必须清晰可分辨阅读，凡是有页面（含复印件）不清晰经专家讨论认为无法分辨的视为响应无效文件。</w:t>
      </w:r>
    </w:p>
    <w:p>
      <w:pPr>
        <w:spacing w:line="360" w:lineRule="auto"/>
        <w:ind w:left="-930" w:firstLine="4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三、</w:t>
      </w:r>
      <w:r>
        <w:rPr>
          <w:rFonts w:hint="eastAsia" w:ascii="仿宋" w:hAnsi="仿宋" w:eastAsia="仿宋" w:cs="仿宋"/>
          <w:color w:val="auto"/>
          <w:sz w:val="24"/>
          <w:highlight w:val="none"/>
          <w:u w:val="single"/>
        </w:rPr>
        <w:t>响应供应商必须按照以下顺序进行响应书</w:t>
      </w:r>
      <w:r>
        <w:rPr>
          <w:rFonts w:hint="eastAsia" w:ascii="仿宋" w:hAnsi="仿宋" w:eastAsia="仿宋" w:cs="仿宋"/>
          <w:b/>
          <w:bCs/>
          <w:color w:val="auto"/>
          <w:sz w:val="24"/>
          <w:highlight w:val="none"/>
          <w:u w:val="single"/>
        </w:rPr>
        <w:t>编排装订（至少要简单装订成册，不得随意用回形针之类的别住）及盖章密封标记</w:t>
      </w:r>
      <w:r>
        <w:rPr>
          <w:rFonts w:hint="eastAsia" w:ascii="仿宋" w:hAnsi="仿宋" w:eastAsia="仿宋" w:cs="仿宋"/>
          <w:color w:val="auto"/>
          <w:sz w:val="24"/>
          <w:highlight w:val="none"/>
          <w:u w:val="single"/>
        </w:rPr>
        <w:t>，文件袋必须贴封条密封盖章，注明</w:t>
      </w:r>
      <w:r>
        <w:rPr>
          <w:rFonts w:hint="eastAsia" w:ascii="仿宋" w:hAnsi="仿宋" w:eastAsia="仿宋" w:cs="仿宋"/>
          <w:color w:val="auto"/>
          <w:sz w:val="24"/>
          <w:highlight w:val="none"/>
          <w:u w:val="single"/>
          <w:lang w:val="en-US" w:eastAsia="zh-CN"/>
        </w:rPr>
        <w:t>项目名称</w:t>
      </w:r>
      <w:r>
        <w:rPr>
          <w:rFonts w:hint="eastAsia" w:ascii="仿宋" w:hAnsi="仿宋" w:eastAsia="仿宋" w:cs="仿宋"/>
          <w:color w:val="auto"/>
          <w:sz w:val="24"/>
          <w:highlight w:val="none"/>
          <w:u w:val="single"/>
        </w:rPr>
        <w:t>，一式</w:t>
      </w:r>
      <w:r>
        <w:rPr>
          <w:rFonts w:hint="eastAsia" w:ascii="仿宋" w:hAnsi="仿宋" w:eastAsia="仿宋" w:cs="仿宋"/>
          <w:color w:val="auto"/>
          <w:sz w:val="24"/>
          <w:highlight w:val="none"/>
          <w:u w:val="single"/>
          <w:lang w:eastAsia="zh-CN"/>
        </w:rPr>
        <w:t>两</w:t>
      </w:r>
      <w:r>
        <w:rPr>
          <w:rFonts w:hint="eastAsia" w:ascii="仿宋" w:hAnsi="仿宋" w:eastAsia="仿宋" w:cs="仿宋"/>
          <w:color w:val="auto"/>
          <w:sz w:val="24"/>
          <w:highlight w:val="none"/>
          <w:u w:val="single"/>
        </w:rPr>
        <w:t>份</w:t>
      </w:r>
      <w:r>
        <w:rPr>
          <w:rFonts w:hint="eastAsia" w:ascii="仿宋" w:hAnsi="仿宋" w:eastAsia="仿宋" w:cs="仿宋"/>
          <w:color w:val="auto"/>
          <w:sz w:val="24"/>
          <w:highlight w:val="none"/>
          <w:u w:val="single"/>
          <w:lang w:eastAsia="zh-CN"/>
        </w:rPr>
        <w:t>单独密封</w:t>
      </w:r>
      <w:r>
        <w:rPr>
          <w:rFonts w:hint="eastAsia" w:ascii="仿宋" w:hAnsi="仿宋" w:eastAsia="仿宋" w:cs="仿宋"/>
          <w:color w:val="auto"/>
          <w:sz w:val="24"/>
          <w:highlight w:val="none"/>
          <w:u w:val="single"/>
        </w:rPr>
        <w:t>。报价单一份另外单独封装。</w:t>
      </w:r>
    </w:p>
    <w:p>
      <w:pPr>
        <w:spacing w:line="360" w:lineRule="auto"/>
        <w:ind w:left="-930" w:firstLine="4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四、响应文件散乱未装订者不予评审，按响应无效处理；响应供应商因响应文件未装订而造成评审中资料遗失影响评审结果的，后果自负。</w:t>
      </w:r>
    </w:p>
    <w:p>
      <w:pPr>
        <w:spacing w:line="360" w:lineRule="auto"/>
        <w:ind w:left="-930" w:firstLine="480"/>
        <w:rPr>
          <w:rFonts w:ascii="仿宋" w:hAnsi="仿宋" w:eastAsia="仿宋" w:cs="仿宋"/>
          <w:b/>
          <w:bCs/>
          <w:color w:val="auto"/>
          <w:sz w:val="24"/>
          <w:highlight w:val="none"/>
          <w:u w:val="single"/>
        </w:rPr>
      </w:pPr>
    </w:p>
    <w:p>
      <w:pPr>
        <w:spacing w:line="360" w:lineRule="auto"/>
        <w:ind w:left="-930" w:firstLine="480"/>
        <w:rPr>
          <w:rFonts w:ascii="仿宋" w:hAnsi="仿宋" w:eastAsia="仿宋" w:cs="仿宋"/>
          <w:b/>
          <w:bCs/>
          <w:color w:val="auto"/>
          <w:sz w:val="24"/>
          <w:highlight w:val="none"/>
          <w:u w:val="single"/>
        </w:rPr>
      </w:pPr>
    </w:p>
    <w:p>
      <w:pPr>
        <w:spacing w:line="360" w:lineRule="auto"/>
        <w:ind w:left="-930" w:firstLine="480"/>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响应文件格式如下：</w:t>
      </w:r>
    </w:p>
    <w:p>
      <w:pPr>
        <w:pStyle w:val="10"/>
        <w:adjustRightInd w:val="0"/>
        <w:snapToGrid w:val="0"/>
        <w:spacing w:line="360" w:lineRule="auto"/>
        <w:jc w:val="center"/>
        <w:rPr>
          <w:rFonts w:hint="eastAsia" w:ascii="仿宋" w:hAnsi="仿宋" w:eastAsia="仿宋" w:cs="仿宋"/>
          <w:b/>
          <w:color w:val="auto"/>
          <w:kern w:val="0"/>
          <w:sz w:val="72"/>
          <w:szCs w:val="72"/>
          <w:highlight w:val="none"/>
        </w:rPr>
      </w:pPr>
    </w:p>
    <w:p>
      <w:pPr>
        <w:pStyle w:val="10"/>
        <w:adjustRightInd w:val="0"/>
        <w:snapToGrid w:val="0"/>
        <w:spacing w:line="360" w:lineRule="auto"/>
        <w:rPr>
          <w:rFonts w:hint="eastAsia" w:ascii="仿宋" w:hAnsi="仿宋" w:eastAsia="仿宋" w:cs="仿宋"/>
          <w:b/>
          <w:color w:val="auto"/>
          <w:kern w:val="0"/>
          <w:sz w:val="72"/>
          <w:szCs w:val="72"/>
          <w:highlight w:val="none"/>
        </w:rPr>
      </w:pPr>
      <w:r>
        <w:rPr>
          <w:rFonts w:hint="eastAsia" w:ascii="仿宋" w:hAnsi="仿宋" w:eastAsia="仿宋" w:cs="仿宋"/>
          <w:b/>
          <w:color w:val="auto"/>
          <w:kern w:val="0"/>
          <w:sz w:val="72"/>
          <w:szCs w:val="72"/>
          <w:highlight w:val="none"/>
        </w:rPr>
        <w:br w:type="page"/>
      </w:r>
    </w:p>
    <w:p>
      <w:pPr>
        <w:pStyle w:val="10"/>
        <w:adjustRightInd w:val="0"/>
        <w:snapToGrid w:val="0"/>
        <w:spacing w:line="360" w:lineRule="auto"/>
        <w:jc w:val="center"/>
        <w:rPr>
          <w:rFonts w:hint="eastAsia" w:ascii="仿宋" w:hAnsi="仿宋" w:eastAsia="仿宋" w:cs="仿宋"/>
          <w:b/>
          <w:color w:val="auto"/>
          <w:kern w:val="0"/>
          <w:sz w:val="84"/>
          <w:szCs w:val="84"/>
          <w:highlight w:val="none"/>
        </w:rPr>
      </w:pPr>
      <w:r>
        <w:rPr>
          <w:rFonts w:hint="eastAsia" w:ascii="仿宋" w:hAnsi="仿宋" w:eastAsia="仿宋" w:cs="仿宋"/>
          <w:b/>
          <w:color w:val="auto"/>
          <w:kern w:val="0"/>
          <w:sz w:val="72"/>
          <w:szCs w:val="72"/>
          <w:highlight w:val="none"/>
        </w:rPr>
        <w:t>响 应 文 件</w:t>
      </w:r>
    </w:p>
    <w:p>
      <w:pPr>
        <w:pStyle w:val="10"/>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（正本/副本）</w:t>
      </w:r>
    </w:p>
    <w:p>
      <w:pPr>
        <w:pStyle w:val="10"/>
        <w:adjustRightInd w:val="0"/>
        <w:snapToGrid w:val="0"/>
        <w:spacing w:line="360" w:lineRule="auto"/>
        <w:rPr>
          <w:rFonts w:hint="eastAsia" w:ascii="仿宋" w:hAnsi="仿宋" w:eastAsia="仿宋" w:cs="仿宋"/>
          <w:b/>
          <w:color w:val="auto"/>
          <w:kern w:val="0"/>
          <w:sz w:val="24"/>
          <w:szCs w:val="24"/>
          <w:highlight w:val="none"/>
        </w:rPr>
      </w:pPr>
    </w:p>
    <w:p>
      <w:pPr>
        <w:pStyle w:val="10"/>
        <w:adjustRightInd w:val="0"/>
        <w:snapToGrid w:val="0"/>
        <w:spacing w:line="440" w:lineRule="exact"/>
        <w:rPr>
          <w:rFonts w:hint="eastAsia" w:ascii="仿宋" w:hAnsi="仿宋" w:eastAsia="仿宋" w:cs="仿宋"/>
          <w:b/>
          <w:color w:val="auto"/>
          <w:kern w:val="0"/>
          <w:sz w:val="24"/>
          <w:szCs w:val="24"/>
          <w:highlight w:val="none"/>
        </w:rPr>
      </w:pPr>
    </w:p>
    <w:p>
      <w:pPr>
        <w:pStyle w:val="10"/>
        <w:adjustRightInd w:val="0"/>
        <w:snapToGrid w:val="0"/>
        <w:spacing w:line="4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eastAsia="zh-CN"/>
        </w:rPr>
        <w:t>惠州市第一妇幼保健院</w:t>
      </w:r>
      <w:r>
        <w:rPr>
          <w:rFonts w:hint="eastAsia" w:ascii="仿宋" w:hAnsi="仿宋" w:eastAsia="仿宋" w:cs="仿宋"/>
          <w:b/>
          <w:color w:val="auto"/>
          <w:sz w:val="28"/>
          <w:szCs w:val="28"/>
          <w:highlight w:val="none"/>
        </w:rPr>
        <w:t>院内比选）</w:t>
      </w:r>
    </w:p>
    <w:p>
      <w:pPr>
        <w:pStyle w:val="10"/>
        <w:spacing w:line="360" w:lineRule="auto"/>
        <w:rPr>
          <w:rFonts w:hint="eastAsia" w:ascii="仿宋" w:hAnsi="仿宋" w:eastAsia="仿宋" w:cs="仿宋"/>
          <w:b/>
          <w:color w:val="auto"/>
          <w:sz w:val="28"/>
          <w:szCs w:val="28"/>
          <w:highlight w:val="none"/>
        </w:rPr>
      </w:pPr>
    </w:p>
    <w:p>
      <w:pPr>
        <w:pStyle w:val="10"/>
        <w:spacing w:line="360" w:lineRule="auto"/>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 xml:space="preserve">    项目编号：</w:t>
      </w:r>
    </w:p>
    <w:p>
      <w:pPr>
        <w:pStyle w:val="10"/>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p>
    <w:p>
      <w:pPr>
        <w:pStyle w:val="10"/>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项目名称： </w:t>
      </w:r>
    </w:p>
    <w:p>
      <w:pPr>
        <w:pStyle w:val="10"/>
        <w:adjustRightInd w:val="0"/>
        <w:snapToGrid w:val="0"/>
        <w:spacing w:line="440" w:lineRule="exact"/>
        <w:rPr>
          <w:rFonts w:hint="eastAsia" w:ascii="仿宋" w:hAnsi="仿宋" w:eastAsia="仿宋" w:cs="仿宋"/>
          <w:b/>
          <w:color w:val="auto"/>
          <w:kern w:val="0"/>
          <w:sz w:val="24"/>
          <w:szCs w:val="24"/>
          <w:highlight w:val="none"/>
        </w:rPr>
      </w:pPr>
    </w:p>
    <w:p>
      <w:pPr>
        <w:pStyle w:val="10"/>
        <w:adjustRightInd w:val="0"/>
        <w:snapToGrid w:val="0"/>
        <w:spacing w:line="440" w:lineRule="exact"/>
        <w:rPr>
          <w:rFonts w:hint="eastAsia" w:ascii="仿宋" w:hAnsi="仿宋" w:eastAsia="仿宋" w:cs="仿宋"/>
          <w:b/>
          <w:color w:val="auto"/>
          <w:kern w:val="0"/>
          <w:sz w:val="24"/>
          <w:szCs w:val="24"/>
          <w:highlight w:val="none"/>
        </w:rPr>
      </w:pPr>
    </w:p>
    <w:p>
      <w:pPr>
        <w:pStyle w:val="10"/>
        <w:adjustRightInd w:val="0"/>
        <w:snapToGrid w:val="0"/>
        <w:spacing w:line="440" w:lineRule="exact"/>
        <w:rPr>
          <w:rFonts w:hint="eastAsia" w:ascii="仿宋" w:hAnsi="仿宋" w:eastAsia="仿宋" w:cs="仿宋"/>
          <w:b/>
          <w:color w:val="auto"/>
          <w:kern w:val="0"/>
          <w:sz w:val="24"/>
          <w:szCs w:val="24"/>
          <w:highlight w:val="none"/>
        </w:rPr>
      </w:pPr>
    </w:p>
    <w:p>
      <w:pPr>
        <w:pStyle w:val="10"/>
        <w:adjustRightInd w:val="0"/>
        <w:snapToGrid w:val="0"/>
        <w:spacing w:line="440" w:lineRule="exact"/>
        <w:rPr>
          <w:rFonts w:hint="eastAsia" w:ascii="仿宋" w:hAnsi="仿宋" w:eastAsia="仿宋" w:cs="仿宋"/>
          <w:b/>
          <w:color w:val="auto"/>
          <w:kern w:val="0"/>
          <w:sz w:val="24"/>
          <w:szCs w:val="24"/>
          <w:highlight w:val="none"/>
        </w:rPr>
      </w:pPr>
    </w:p>
    <w:p>
      <w:pPr>
        <w:pStyle w:val="10"/>
        <w:adjustRightInd w:val="0"/>
        <w:snapToGrid w:val="0"/>
        <w:spacing w:line="440" w:lineRule="exact"/>
        <w:rPr>
          <w:rFonts w:hint="eastAsia" w:ascii="仿宋" w:hAnsi="仿宋" w:eastAsia="仿宋" w:cs="仿宋"/>
          <w:b/>
          <w:color w:val="auto"/>
          <w:kern w:val="0"/>
          <w:sz w:val="24"/>
          <w:szCs w:val="24"/>
          <w:highlight w:val="none"/>
        </w:rPr>
      </w:pPr>
    </w:p>
    <w:p>
      <w:pPr>
        <w:pStyle w:val="10"/>
        <w:adjustRightInd w:val="0"/>
        <w:snapToGrid w:val="0"/>
        <w:spacing w:line="440" w:lineRule="exact"/>
        <w:rPr>
          <w:rFonts w:hint="eastAsia" w:ascii="仿宋" w:hAnsi="仿宋" w:eastAsia="仿宋" w:cs="仿宋"/>
          <w:b/>
          <w:color w:val="auto"/>
          <w:kern w:val="0"/>
          <w:sz w:val="24"/>
          <w:szCs w:val="24"/>
          <w:highlight w:val="none"/>
        </w:rPr>
      </w:pPr>
    </w:p>
    <w:p>
      <w:pPr>
        <w:pStyle w:val="10"/>
        <w:adjustRightInd w:val="0"/>
        <w:snapToGrid w:val="0"/>
        <w:spacing w:line="440" w:lineRule="exact"/>
        <w:rPr>
          <w:rFonts w:hint="eastAsia" w:ascii="仿宋" w:hAnsi="仿宋" w:eastAsia="仿宋" w:cs="仿宋"/>
          <w:b/>
          <w:color w:val="auto"/>
          <w:kern w:val="0"/>
          <w:sz w:val="24"/>
          <w:szCs w:val="24"/>
          <w:highlight w:val="none"/>
        </w:rPr>
      </w:pPr>
    </w:p>
    <w:p>
      <w:pPr>
        <w:pStyle w:val="10"/>
        <w:adjustRightInd w:val="0"/>
        <w:snapToGrid w:val="0"/>
        <w:spacing w:line="440" w:lineRule="exact"/>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 xml:space="preserve">响应供应商：                              </w:t>
      </w:r>
      <w:r>
        <w:rPr>
          <w:rFonts w:hint="eastAsia" w:ascii="仿宋" w:hAnsi="仿宋" w:eastAsia="仿宋" w:cs="仿宋"/>
          <w:b/>
          <w:color w:val="auto"/>
          <w:kern w:val="0"/>
          <w:sz w:val="24"/>
          <w:szCs w:val="24"/>
          <w:highlight w:val="none"/>
          <w:lang w:eastAsia="zh-CN"/>
        </w:rPr>
        <w:t>盖章</w:t>
      </w:r>
    </w:p>
    <w:p>
      <w:pPr>
        <w:pStyle w:val="10"/>
        <w:adjustRightInd w:val="0"/>
        <w:snapToGrid w:val="0"/>
        <w:spacing w:line="440" w:lineRule="exact"/>
        <w:rPr>
          <w:rFonts w:hint="eastAsia" w:ascii="仿宋" w:hAnsi="仿宋" w:eastAsia="仿宋" w:cs="仿宋"/>
          <w:b/>
          <w:color w:val="auto"/>
          <w:kern w:val="0"/>
          <w:sz w:val="24"/>
          <w:szCs w:val="24"/>
          <w:highlight w:val="none"/>
        </w:rPr>
      </w:pPr>
    </w:p>
    <w:p>
      <w:pPr>
        <w:pStyle w:val="10"/>
        <w:adjustRightInd w:val="0"/>
        <w:snapToGrid w:val="0"/>
        <w:spacing w:line="440" w:lineRule="exac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日      期：</w:t>
      </w:r>
    </w:p>
    <w:p>
      <w:pPr>
        <w:pStyle w:val="10"/>
        <w:adjustRightInd w:val="0"/>
        <w:snapToGrid w:val="0"/>
        <w:spacing w:line="440" w:lineRule="exact"/>
        <w:rPr>
          <w:rFonts w:hint="eastAsia"/>
          <w:color w:val="auto"/>
          <w:highlight w:val="none"/>
        </w:rPr>
      </w:pPr>
      <w:r>
        <w:rPr>
          <w:color w:val="auto"/>
          <w:highlight w:val="none"/>
        </w:rPr>
        <w:br w:type="page"/>
      </w:r>
      <w:r>
        <w:rPr>
          <w:rFonts w:hint="eastAsia" w:ascii="仿宋" w:hAnsi="仿宋" w:eastAsia="仿宋" w:cs="仿宋"/>
          <w:b/>
          <w:bCs/>
          <w:color w:val="auto"/>
          <w:sz w:val="28"/>
          <w:highlight w:val="none"/>
        </w:rPr>
        <w:t>1 资格性/符合性自查表</w:t>
      </w:r>
    </w:p>
    <w:tbl>
      <w:tblPr>
        <w:tblStyle w:val="17"/>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052"/>
        <w:gridCol w:w="4264"/>
        <w:gridCol w:w="1849"/>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8" w:type="dxa"/>
            <w:gridSpan w:val="2"/>
            <w:noWrap w:val="0"/>
            <w:vAlign w:val="top"/>
          </w:tcPr>
          <w:p>
            <w:pPr>
              <w:keepNext w:val="0"/>
              <w:keepLines w:val="0"/>
              <w:suppressLineNumbers w:val="0"/>
              <w:spacing w:before="0" w:beforeAutospacing="0" w:after="0" w:afterAutospacing="0"/>
              <w:ind w:left="0" w:right="0"/>
              <w:jc w:val="center"/>
              <w:rPr>
                <w:rFonts w:hint="eastAsia"/>
                <w:color w:val="auto"/>
                <w:highlight w:val="none"/>
              </w:rPr>
            </w:pPr>
            <w:r>
              <w:rPr>
                <w:rFonts w:hint="eastAsia" w:ascii="仿宋" w:hAnsi="仿宋" w:eastAsia="仿宋" w:cs="仿宋"/>
                <w:b/>
                <w:bCs/>
                <w:color w:val="auto"/>
                <w:szCs w:val="21"/>
                <w:highlight w:val="none"/>
              </w:rPr>
              <w:t>评审内容</w:t>
            </w:r>
          </w:p>
        </w:tc>
        <w:tc>
          <w:tcPr>
            <w:tcW w:w="4264"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b/>
                <w:bCs/>
                <w:color w:val="auto"/>
                <w:szCs w:val="21"/>
                <w:highlight w:val="none"/>
              </w:rPr>
              <w:t>采购文件要求</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b/>
                <w:bCs/>
                <w:color w:val="auto"/>
                <w:szCs w:val="21"/>
                <w:highlight w:val="none"/>
              </w:rPr>
              <w:t>自查结论</w:t>
            </w:r>
          </w:p>
        </w:tc>
        <w:tc>
          <w:tcPr>
            <w:tcW w:w="1204"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846" w:type="dxa"/>
            <w:vMerge w:val="restart"/>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rPr>
              <w:t>资格性审查</w:t>
            </w: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具有独立承担民事责任能力</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具有良好的商业信誉和健全的财务会计制度</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年至今任意一年经审计的审计报告复印件（包含审计报告中所涉及的财务报表和报表附注）；或②</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3.有</w:t>
            </w:r>
            <w:r>
              <w:rPr>
                <w:rFonts w:hint="eastAsia" w:ascii="仿宋" w:hAnsi="仿宋" w:eastAsia="仿宋" w:cs="仿宋"/>
                <w:color w:val="auto"/>
                <w:highlight w:val="none"/>
              </w:rPr>
              <w:t>依法缴纳税收</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r>
              <w:rPr>
                <w:rFonts w:hint="eastAsia" w:ascii="仿宋" w:hAnsi="仿宋" w:eastAsia="仿宋" w:cs="仿宋"/>
                <w:color w:val="auto"/>
                <w:highlight w:val="none"/>
                <w:lang w:eastAsia="zh-CN"/>
              </w:rPr>
              <w:t>或书面声明</w:t>
            </w:r>
            <w:r>
              <w:rPr>
                <w:rFonts w:hint="eastAsia" w:ascii="仿宋" w:hAnsi="仿宋" w:eastAsia="仿宋" w:cs="仿宋"/>
                <w:color w:val="auto"/>
                <w:highlight w:val="none"/>
              </w:rPr>
              <w:t>；</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4.有</w:t>
            </w:r>
            <w:r>
              <w:rPr>
                <w:rFonts w:hint="eastAsia" w:ascii="仿宋" w:hAnsi="仿宋" w:eastAsia="仿宋" w:cs="仿宋"/>
                <w:color w:val="auto"/>
                <w:highlight w:val="none"/>
              </w:rPr>
              <w:t>依法缴纳社会保险凭据</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比选截止时间近12个月内任意一个月的依法缴纳社会保险凭据（如依法不需要缴纳社保，则须提供相应文件证明其依法不需要缴纳）</w:t>
            </w:r>
            <w:r>
              <w:rPr>
                <w:rFonts w:hint="eastAsia" w:ascii="仿宋" w:hAnsi="仿宋" w:eastAsia="仿宋" w:cs="仿宋"/>
                <w:color w:val="auto"/>
                <w:highlight w:val="none"/>
                <w:lang w:eastAsia="zh-CN"/>
              </w:rPr>
              <w:t>或书面声明</w:t>
            </w:r>
            <w:r>
              <w:rPr>
                <w:rFonts w:hint="eastAsia" w:ascii="仿宋" w:hAnsi="仿宋" w:eastAsia="仿宋" w:cs="仿宋"/>
                <w:color w:val="auto"/>
                <w:highlight w:val="none"/>
              </w:rPr>
              <w:t>；</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履行合同所必需的设备和专业技术能力</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履行合同所必需的设备和专业技术能力的证明材料或书面声明；</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没有重大违法记录</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参加政府采购活动前3年内在经营活动中没有重大违法记录的书面声明。</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7.信用记录</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8.控股关系</w:t>
            </w:r>
          </w:p>
        </w:tc>
        <w:tc>
          <w:tcPr>
            <w:tcW w:w="4264"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或者未划分包号的同一采购项目。(代理机构出具声明函)</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9.不得参加本项目情况</w:t>
            </w:r>
          </w:p>
        </w:tc>
        <w:tc>
          <w:tcPr>
            <w:tcW w:w="4264"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为本采购项目提供整体设计、规范编制或者项目管理、监理、检测等服务的供应商，不得再参加本采购项目的采购活动。(代理机构出具声明函)</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10.联合体</w:t>
            </w:r>
          </w:p>
        </w:tc>
        <w:tc>
          <w:tcPr>
            <w:tcW w:w="4264"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本项目不接受联合体参加比选，不允许响应供应商对各比选项目进行分包或转包(代理机构出具声明函)</w:t>
            </w:r>
            <w:r>
              <w:rPr>
                <w:rFonts w:hint="eastAsia" w:ascii="仿宋" w:hAnsi="仿宋" w:eastAsia="仿宋" w:cs="仿宋"/>
                <w:color w:val="auto"/>
                <w:szCs w:val="21"/>
                <w:highlight w:val="none"/>
                <w:lang w:val="zh-CN" w:eastAsia="zh-CN"/>
              </w:rPr>
              <w:t>。</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11.网站备案</w:t>
            </w:r>
          </w:p>
        </w:tc>
        <w:tc>
          <w:tcPr>
            <w:tcW w:w="4264"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szCs w:val="21"/>
                <w:highlight w:val="none"/>
                <w:lang w:val="en-US" w:eastAsia="zh-CN"/>
              </w:rPr>
              <w:t>在省级及以上政府采购网站备案。（代理机构提供“广东省政府采购网”或“中国政府采购网”的备案信息截图。）</w:t>
            </w:r>
          </w:p>
        </w:tc>
        <w:tc>
          <w:tcPr>
            <w:tcW w:w="1849" w:type="dxa"/>
            <w:noWrap w:val="0"/>
            <w:vAlign w:val="center"/>
          </w:tcPr>
          <w:p>
            <w:pPr>
              <w:keepNext w:val="0"/>
              <w:keepLines w:val="0"/>
              <w:suppressLineNumbers w:val="0"/>
              <w:spacing w:before="0" w:beforeAutospacing="0" w:after="0" w:afterAutospacing="0"/>
              <w:ind w:left="-171" w:leftChars="0"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12.固定场所</w:t>
            </w:r>
          </w:p>
        </w:tc>
        <w:tc>
          <w:tcPr>
            <w:tcW w:w="4264"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在惠州市内有固定经营场所，具备招标采购工作必须的开评标场地和录音录像等监控设备设施。（提供：①房屋产权证明资料或租赁合同复印件②开标室、评标室及录音录像监控设备设施等照片，提供的照片需明确标注开标室、评标室、监控设备设施）。</w:t>
            </w:r>
          </w:p>
        </w:tc>
        <w:tc>
          <w:tcPr>
            <w:tcW w:w="1849" w:type="dxa"/>
            <w:noWrap w:val="0"/>
            <w:vAlign w:val="center"/>
          </w:tcPr>
          <w:p>
            <w:pPr>
              <w:keepNext w:val="0"/>
              <w:keepLines w:val="0"/>
              <w:suppressLineNumbers w:val="0"/>
              <w:spacing w:before="0" w:beforeAutospacing="0" w:after="0" w:afterAutospacing="0"/>
              <w:ind w:left="-171" w:leftChars="0"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13.人员要求</w:t>
            </w:r>
          </w:p>
        </w:tc>
        <w:tc>
          <w:tcPr>
            <w:tcW w:w="4264" w:type="dxa"/>
            <w:noWrap w:val="0"/>
            <w:vAlign w:val="center"/>
          </w:tcPr>
          <w:p>
            <w:pPr>
              <w:keepNext w:val="0"/>
              <w:keepLines w:val="0"/>
              <w:suppressLineNumbers w:val="0"/>
              <w:spacing w:before="0" w:beforeAutospacing="0" w:after="0" w:afterAutospacing="0" w:line="380" w:lineRule="exact"/>
              <w:ind w:right="0" w:right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GB" w:eastAsia="zh-CN"/>
              </w:rPr>
              <w:t>拥有≥5名熟悉政府采购法律法规、具备编制采购文件和组织采购活动等相应能力的专职从业人员。（提供专职从业人员名单、身份证复印件及比选截止日前近6个月内任意一个月由代理机构为其缴纳的社保证明材料。）</w:t>
            </w:r>
          </w:p>
        </w:tc>
        <w:tc>
          <w:tcPr>
            <w:tcW w:w="1849" w:type="dxa"/>
            <w:noWrap w:val="0"/>
            <w:vAlign w:val="center"/>
          </w:tcPr>
          <w:p>
            <w:pPr>
              <w:keepNext w:val="0"/>
              <w:keepLines w:val="0"/>
              <w:suppressLineNumbers w:val="0"/>
              <w:spacing w:before="0" w:beforeAutospacing="0" w:after="0" w:afterAutospacing="0"/>
              <w:ind w:left="-171" w:leftChars="0"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kern w:val="2"/>
                <w:sz w:val="21"/>
                <w:szCs w:val="21"/>
                <w:highlight w:val="yellow"/>
                <w:lang w:val="en-US" w:eastAsia="zh-CN" w:bidi="ar-SA"/>
              </w:rPr>
            </w:pPr>
            <w:r>
              <w:rPr>
                <w:rFonts w:hint="eastAsia" w:ascii="仿宋" w:hAnsi="仿宋" w:eastAsia="仿宋" w:cs="仿宋"/>
                <w:color w:val="auto"/>
                <w:szCs w:val="21"/>
                <w:highlight w:val="none"/>
                <w:lang w:val="en-US" w:eastAsia="zh-CN"/>
              </w:rPr>
              <w:t>14.落实政府采购政策需满足的资格要求</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yellow"/>
              </w:rPr>
            </w:pPr>
            <w:r>
              <w:rPr>
                <w:rFonts w:hint="eastAsia" w:ascii="仿宋" w:hAnsi="仿宋" w:eastAsia="仿宋" w:cs="仿宋"/>
                <w:color w:val="auto"/>
                <w:szCs w:val="21"/>
                <w:highlight w:val="none"/>
                <w:lang w:val="en-GB" w:eastAsia="zh-CN"/>
              </w:rPr>
              <w:t>本项目不属于专门面向中小企业采购的项目，本项目中小企业划分标准所属行业为：未列明行业。</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15.报名</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已在医院办公室报名。</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46" w:type="dxa"/>
            <w:vMerge w:val="restart"/>
            <w:noWrap w:val="0"/>
            <w:vAlign w:val="center"/>
          </w:tcPr>
          <w:p>
            <w:pPr>
              <w:keepNext w:val="0"/>
              <w:keepLines w:val="0"/>
              <w:suppressLineNumbers w:val="0"/>
              <w:spacing w:before="0" w:beforeAutospacing="0" w:after="0" w:afterAutospacing="0" w:line="380" w:lineRule="exact"/>
              <w:ind w:left="40" w:leftChars="19" w:right="0"/>
              <w:jc w:val="center"/>
              <w:rPr>
                <w:rFonts w:hint="eastAsia"/>
                <w:color w:val="auto"/>
                <w:highlight w:val="none"/>
              </w:rPr>
            </w:pPr>
            <w:r>
              <w:rPr>
                <w:rFonts w:hint="eastAsia" w:ascii="仿宋" w:hAnsi="仿宋" w:eastAsia="仿宋" w:cs="仿宋"/>
                <w:color w:val="auto"/>
                <w:szCs w:val="21"/>
                <w:highlight w:val="none"/>
              </w:rPr>
              <w:t>符合性审查</w:t>
            </w: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文件签署</w:t>
            </w:r>
          </w:p>
        </w:tc>
        <w:tc>
          <w:tcPr>
            <w:tcW w:w="4264" w:type="dxa"/>
            <w:noWrap w:val="0"/>
            <w:vAlign w:val="center"/>
          </w:tcPr>
          <w:p>
            <w:pPr>
              <w:keepNext w:val="0"/>
              <w:keepLines w:val="0"/>
              <w:suppressLineNumbers w:val="0"/>
              <w:spacing w:before="0" w:beforeAutospacing="0" w:after="0" w:afterAutospacing="0" w:line="240" w:lineRule="auto"/>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响应有效期</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color w:val="auto"/>
                <w:highlight w:val="none"/>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商务要求评审</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实质性（“★”项）商务条款是否全部完全响应；</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技术</w:t>
            </w:r>
            <w:r>
              <w:rPr>
                <w:rFonts w:hint="eastAsia" w:ascii="仿宋" w:hAnsi="仿宋" w:eastAsia="仿宋" w:cs="仿宋"/>
                <w:color w:val="auto"/>
                <w:szCs w:val="21"/>
                <w:highlight w:val="none"/>
              </w:rPr>
              <w:t>要求评审</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实质性（“★”项）技术要求条款是否全部完全响应；</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报价合理性</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其他</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按有关法律、法规、规章和比选文件中规定的其他无效响应情形。</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bl>
    <w:p>
      <w:pPr>
        <w:rPr>
          <w:rFonts w:hint="eastAsia"/>
          <w:color w:val="auto"/>
          <w:highlight w:val="none"/>
        </w:rPr>
      </w:pPr>
    </w:p>
    <w:p>
      <w:pPr>
        <w:pStyle w:val="9"/>
        <w:spacing w:line="360" w:lineRule="exact"/>
        <w:ind w:firstLine="56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注：以上材料将作为响应供应商</w:t>
      </w:r>
      <w:r>
        <w:rPr>
          <w:rFonts w:hint="eastAsia" w:ascii="仿宋" w:hAnsi="仿宋" w:eastAsia="仿宋" w:cs="仿宋"/>
          <w:color w:val="auto"/>
          <w:sz w:val="24"/>
          <w:szCs w:val="24"/>
          <w:highlight w:val="none"/>
          <w:lang w:val="en-US" w:eastAsia="zh-CN"/>
        </w:rPr>
        <w:t>资格性和符合性</w:t>
      </w:r>
      <w:r>
        <w:rPr>
          <w:rFonts w:hint="eastAsia" w:ascii="仿宋" w:hAnsi="仿宋" w:eastAsia="仿宋" w:cs="仿宋"/>
          <w:color w:val="auto"/>
          <w:sz w:val="24"/>
          <w:szCs w:val="24"/>
          <w:highlight w:val="none"/>
        </w:rPr>
        <w:t>审核的重要内容之一，响应供应商必须严格按照其内容及要求在响应文件中对应序列如实提供，对缺漏和不符合项将会直接导致响应无效！在对应的□打“√”，并标注页码。</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adjustRightInd w:val="0"/>
        <w:snapToGrid w:val="0"/>
        <w:spacing w:line="300" w:lineRule="auto"/>
        <w:rPr>
          <w:rFonts w:hint="eastAsia" w:ascii="仿宋" w:hAnsi="仿宋" w:eastAsia="仿宋" w:cs="仿宋"/>
          <w:color w:val="auto"/>
          <w:sz w:val="24"/>
          <w:highlight w:val="none"/>
        </w:rPr>
      </w:pPr>
    </w:p>
    <w:p>
      <w:pPr>
        <w:pStyle w:val="10"/>
        <w:adjustRightInd w:val="0"/>
        <w:snapToGrid w:val="0"/>
        <w:spacing w:line="440" w:lineRule="exact"/>
        <w:rPr>
          <w:rFonts w:hint="eastAsia" w:ascii="仿宋" w:hAnsi="仿宋" w:eastAsia="仿宋" w:cs="仿宋"/>
          <w:b/>
          <w:bCs/>
          <w:color w:val="auto"/>
          <w:sz w:val="28"/>
          <w:highlight w:val="none"/>
        </w:rPr>
      </w:pPr>
      <w:r>
        <w:rPr>
          <w:rFonts w:ascii="仿宋" w:hAnsi="仿宋" w:eastAsia="仿宋" w:cs="仿宋"/>
          <w:b/>
          <w:bCs/>
          <w:color w:val="auto"/>
          <w:sz w:val="28"/>
          <w:highlight w:val="none"/>
        </w:rPr>
        <w:br w:type="page"/>
      </w:r>
      <w:r>
        <w:rPr>
          <w:rFonts w:hint="eastAsia" w:ascii="仿宋" w:hAnsi="仿宋" w:eastAsia="仿宋" w:cs="仿宋"/>
          <w:b/>
          <w:bCs/>
          <w:color w:val="auto"/>
          <w:sz w:val="28"/>
          <w:highlight w:val="none"/>
        </w:rPr>
        <w:t>2 评审项目响应资料表</w:t>
      </w:r>
    </w:p>
    <w:tbl>
      <w:tblPr>
        <w:tblStyle w:val="17"/>
        <w:tblW w:w="81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5232"/>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16" w:type="dxa"/>
            <w:noWrap w:val="0"/>
            <w:vAlign w:val="center"/>
          </w:tcPr>
          <w:p>
            <w:pPr>
              <w:pStyle w:val="23"/>
              <w:keepNext w:val="0"/>
              <w:keepLines w:val="0"/>
              <w:widowControl/>
              <w:suppressLineNumbers w:val="0"/>
              <w:adjustRightInd/>
              <w:spacing w:before="0" w:beforeAutospacing="0" w:after="0" w:afterAutospacing="0"/>
              <w:ind w:left="0" w:right="0"/>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评审分项</w:t>
            </w:r>
          </w:p>
          <w:p>
            <w:pPr>
              <w:pStyle w:val="23"/>
              <w:keepNext w:val="0"/>
              <w:keepLines w:val="0"/>
              <w:widowControl/>
              <w:suppressLineNumbers w:val="0"/>
              <w:adjustRightInd/>
              <w:spacing w:before="0" w:beforeAutospacing="0" w:after="0" w:afterAutospacing="0"/>
              <w:ind w:left="0" w:right="0"/>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（评分标准）</w:t>
            </w:r>
          </w:p>
        </w:tc>
        <w:tc>
          <w:tcPr>
            <w:tcW w:w="5232" w:type="dxa"/>
            <w:noWrap w:val="0"/>
            <w:vAlign w:val="center"/>
          </w:tcPr>
          <w:p>
            <w:pPr>
              <w:pStyle w:val="23"/>
              <w:keepNext w:val="0"/>
              <w:keepLines w:val="0"/>
              <w:widowControl/>
              <w:suppressLineNumbers w:val="0"/>
              <w:adjustRightInd/>
              <w:spacing w:before="0" w:beforeAutospacing="0" w:after="0" w:afterAutospacing="0"/>
              <w:ind w:left="0" w:right="0"/>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评审内容</w:t>
            </w:r>
          </w:p>
        </w:tc>
        <w:tc>
          <w:tcPr>
            <w:tcW w:w="1535" w:type="dxa"/>
            <w:noWrap w:val="0"/>
            <w:vAlign w:val="center"/>
          </w:tcPr>
          <w:p>
            <w:pPr>
              <w:pStyle w:val="23"/>
              <w:keepNext w:val="0"/>
              <w:keepLines w:val="0"/>
              <w:widowControl/>
              <w:suppressLineNumbers w:val="0"/>
              <w:adjustRightInd/>
              <w:spacing w:before="0" w:beforeAutospacing="0" w:after="0" w:afterAutospacing="0"/>
              <w:ind w:left="0" w:right="0"/>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416"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1"/>
                <w:szCs w:val="21"/>
                <w:highlight w:val="none"/>
                <w:lang w:val="en-US" w:eastAsia="zh-CN" w:bidi="ar-SA"/>
              </w:rPr>
            </w:pPr>
          </w:p>
        </w:tc>
        <w:tc>
          <w:tcPr>
            <w:tcW w:w="5232" w:type="dxa"/>
            <w:noWrap w:val="0"/>
            <w:vAlign w:val="center"/>
          </w:tcPr>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1"/>
                <w:szCs w:val="21"/>
                <w:highlight w:val="none"/>
                <w:lang w:val="en-US" w:eastAsia="zh-CN"/>
              </w:rPr>
            </w:pP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416"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1"/>
                <w:szCs w:val="21"/>
                <w:highlight w:val="none"/>
                <w:lang w:val="en-US" w:eastAsia="zh-CN" w:bidi="ar-SA"/>
              </w:rPr>
            </w:pPr>
          </w:p>
        </w:tc>
        <w:tc>
          <w:tcPr>
            <w:tcW w:w="5232" w:type="dxa"/>
            <w:noWrap w:val="0"/>
            <w:vAlign w:val="center"/>
          </w:tcPr>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1"/>
                <w:szCs w:val="21"/>
                <w:highlight w:val="none"/>
                <w:lang w:val="en-US" w:eastAsia="zh-CN"/>
              </w:rPr>
            </w:pP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416"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1"/>
                <w:szCs w:val="21"/>
                <w:highlight w:val="none"/>
                <w:lang w:val="en-US" w:eastAsia="zh-CN" w:bidi="ar-SA"/>
              </w:rPr>
            </w:pPr>
          </w:p>
        </w:tc>
        <w:tc>
          <w:tcPr>
            <w:tcW w:w="5232" w:type="dxa"/>
            <w:noWrap w:val="0"/>
            <w:vAlign w:val="top"/>
          </w:tcPr>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1"/>
                <w:szCs w:val="21"/>
                <w:highlight w:val="none"/>
                <w:lang w:val="en-US" w:eastAsia="zh-CN"/>
              </w:rPr>
            </w:pP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416"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1"/>
                <w:szCs w:val="21"/>
                <w:highlight w:val="none"/>
                <w:lang w:val="en-US" w:eastAsia="zh-CN" w:bidi="ar-SA"/>
              </w:rPr>
            </w:pPr>
          </w:p>
        </w:tc>
        <w:tc>
          <w:tcPr>
            <w:tcW w:w="5232" w:type="dxa"/>
            <w:noWrap w:val="0"/>
            <w:vAlign w:val="top"/>
          </w:tcPr>
          <w:p>
            <w:pPr>
              <w:widowControl/>
              <w:numPr>
                <w:ilvl w:val="0"/>
                <w:numId w:val="0"/>
              </w:numPr>
              <w:ind w:left="0" w:leftChars="0" w:firstLine="0" w:firstLineChars="0"/>
              <w:jc w:val="left"/>
              <w:rPr>
                <w:rFonts w:hint="eastAsia" w:ascii="仿宋" w:hAnsi="仿宋" w:eastAsia="仿宋" w:cs="仿宋"/>
                <w:color w:val="auto"/>
                <w:kern w:val="0"/>
                <w:sz w:val="21"/>
                <w:szCs w:val="21"/>
                <w:highlight w:val="none"/>
                <w:lang w:val="en-US" w:eastAsia="zh-CN"/>
              </w:rPr>
            </w:pP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1"/>
                <w:szCs w:val="21"/>
                <w:highlight w:val="none"/>
                <w:lang w:val="en-US" w:eastAsia="zh-CN" w:bidi="ar-SA"/>
              </w:rPr>
            </w:pPr>
          </w:p>
        </w:tc>
        <w:tc>
          <w:tcPr>
            <w:tcW w:w="5232" w:type="dxa"/>
            <w:noWrap w:val="0"/>
            <w:vAlign w:val="top"/>
          </w:tcPr>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1"/>
                <w:szCs w:val="21"/>
                <w:highlight w:val="none"/>
                <w:lang w:val="en-US" w:eastAsia="zh-CN"/>
              </w:rPr>
            </w:pP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1"/>
                <w:szCs w:val="21"/>
                <w:highlight w:val="none"/>
                <w:lang w:val="en-US" w:eastAsia="zh-CN" w:bidi="ar-SA"/>
              </w:rPr>
            </w:pPr>
          </w:p>
        </w:tc>
        <w:tc>
          <w:tcPr>
            <w:tcW w:w="5232" w:type="dxa"/>
            <w:noWrap w:val="0"/>
            <w:vAlign w:val="top"/>
          </w:tcPr>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1"/>
                <w:szCs w:val="21"/>
                <w:highlight w:val="none"/>
                <w:lang w:val="en-US" w:eastAsia="zh-CN"/>
              </w:rPr>
            </w:pP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1"/>
                <w:szCs w:val="21"/>
                <w:highlight w:val="none"/>
                <w:lang w:val="en-US" w:eastAsia="zh-CN" w:bidi="ar-SA"/>
              </w:rPr>
            </w:pPr>
          </w:p>
        </w:tc>
        <w:tc>
          <w:tcPr>
            <w:tcW w:w="5232" w:type="dxa"/>
            <w:noWrap w:val="0"/>
            <w:vAlign w:val="center"/>
          </w:tcPr>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1"/>
                <w:szCs w:val="21"/>
                <w:highlight w:val="none"/>
                <w:lang w:val="en-US" w:eastAsia="zh-CN"/>
              </w:rPr>
            </w:pP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1"/>
                <w:szCs w:val="21"/>
                <w:highlight w:val="none"/>
                <w:lang w:val="en-US" w:eastAsia="zh-CN" w:bidi="ar-SA"/>
              </w:rPr>
            </w:pPr>
          </w:p>
        </w:tc>
        <w:tc>
          <w:tcPr>
            <w:tcW w:w="5232" w:type="dxa"/>
            <w:noWrap w:val="0"/>
            <w:vAlign w:val="top"/>
          </w:tcPr>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1"/>
                <w:szCs w:val="21"/>
                <w:highlight w:val="none"/>
                <w:lang w:eastAsia="zh-CN"/>
              </w:rPr>
            </w:pP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1"/>
                <w:szCs w:val="21"/>
                <w:highlight w:val="none"/>
                <w:lang w:val="en-US" w:eastAsia="zh-CN" w:bidi="ar-SA"/>
              </w:rPr>
            </w:pPr>
          </w:p>
        </w:tc>
        <w:tc>
          <w:tcPr>
            <w:tcW w:w="5232" w:type="dxa"/>
            <w:noWrap w:val="0"/>
            <w:vAlign w:val="top"/>
          </w:tcPr>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1"/>
                <w:szCs w:val="21"/>
                <w:highlight w:val="none"/>
                <w:lang w:val="en-US" w:eastAsia="zh-CN" w:bidi="ar-SA"/>
              </w:rPr>
            </w:pP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见响应文件第（      ）页</w:t>
            </w:r>
          </w:p>
        </w:tc>
      </w:tr>
    </w:tbl>
    <w:p>
      <w:pPr>
        <w:adjustRightInd w:val="0"/>
        <w:snapToGrid w:val="0"/>
        <w:spacing w:line="300" w:lineRule="auto"/>
        <w:rPr>
          <w:rFonts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响应供应商名称（盖章）：</w:t>
      </w:r>
      <w:r>
        <w:rPr>
          <w:rFonts w:hint="eastAsia" w:ascii="仿宋" w:hAnsi="仿宋" w:eastAsia="仿宋" w:cs="仿宋"/>
          <w:color w:val="auto"/>
          <w:sz w:val="24"/>
          <w:highlight w:val="none"/>
          <w:u w:val="single"/>
        </w:rPr>
        <w:t xml:space="preserve">                        </w:t>
      </w:r>
    </w:p>
    <w:p>
      <w:pPr>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color w:val="auto"/>
          <w:sz w:val="24"/>
          <w:highlight w:val="none"/>
        </w:rPr>
      </w:pPr>
    </w:p>
    <w:p>
      <w:pPr>
        <w:rPr>
          <w:rFonts w:hint="eastAsia" w:ascii="仿宋" w:hAnsi="仿宋" w:eastAsia="仿宋" w:cs="仿宋"/>
          <w:b/>
          <w:bCs/>
          <w:color w:val="auto"/>
          <w:sz w:val="28"/>
          <w:szCs w:val="28"/>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28"/>
          <w:szCs w:val="28"/>
          <w:highlight w:val="none"/>
        </w:rPr>
        <w:t>3 资格性文件</w:t>
      </w:r>
    </w:p>
    <w:p>
      <w:pPr>
        <w:pStyle w:val="4"/>
        <w:spacing w:before="0" w:after="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响应函</w:t>
      </w:r>
    </w:p>
    <w:p>
      <w:pPr>
        <w:adjustRightInd w:val="0"/>
        <w:snapToGrid w:val="0"/>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rPr>
        <w:t>：</w:t>
      </w:r>
    </w:p>
    <w:p>
      <w:pPr>
        <w:autoSpaceDE w:val="0"/>
        <w:autoSpaceDN w:val="0"/>
        <w:spacing w:line="380" w:lineRule="exact"/>
        <w:ind w:firstLine="486" w:firstLineChars="200"/>
        <w:rPr>
          <w:rFonts w:hint="eastAsia" w:ascii="仿宋" w:hAnsi="仿宋" w:eastAsia="仿宋" w:cs="仿宋"/>
          <w:color w:val="auto"/>
          <w:sz w:val="24"/>
          <w:highlight w:val="none"/>
          <w:u w:val="single"/>
        </w:rPr>
      </w:pPr>
      <w:r>
        <w:rPr>
          <w:rFonts w:hint="eastAsia" w:ascii="仿宋" w:hAnsi="仿宋" w:eastAsia="仿宋" w:cs="仿宋"/>
          <w:color w:val="auto"/>
          <w:kern w:val="0"/>
          <w:sz w:val="24"/>
          <w:highlight w:val="none"/>
        </w:rPr>
        <w:t>依据贵方</w:t>
      </w: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single"/>
          <w:lang w:val="zh-CN"/>
        </w:rPr>
        <w:t xml:space="preserve"> </w:t>
      </w:r>
      <w:r>
        <w:rPr>
          <w:rFonts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u w:val="single"/>
          <w:lang w:val="zh-CN"/>
        </w:rPr>
        <w:t>项目（</w:t>
      </w:r>
      <w:r>
        <w:rPr>
          <w:rFonts w:hint="eastAsia" w:ascii="仿宋" w:hAnsi="仿宋" w:eastAsia="仿宋" w:cs="仿宋"/>
          <w:color w:val="auto"/>
          <w:sz w:val="24"/>
          <w:highlight w:val="none"/>
          <w:u w:val="single"/>
        </w:rPr>
        <w:t>项目编号：</w:t>
      </w:r>
      <w:r>
        <w:rPr>
          <w:rFonts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zh-CN"/>
        </w:rPr>
        <w:t>）的</w:t>
      </w:r>
      <w:r>
        <w:rPr>
          <w:rFonts w:hint="eastAsia" w:ascii="仿宋" w:hAnsi="仿宋" w:eastAsia="仿宋" w:cs="仿宋"/>
          <w:color w:val="auto"/>
          <w:kern w:val="0"/>
          <w:sz w:val="24"/>
          <w:highlight w:val="none"/>
        </w:rPr>
        <w:t>响应邀请，我方代表</w:t>
      </w:r>
      <w:r>
        <w:rPr>
          <w:rFonts w:hint="eastAsia" w:ascii="仿宋" w:hAnsi="仿宋" w:eastAsia="仿宋" w:cs="仿宋"/>
          <w:color w:val="auto"/>
          <w:sz w:val="24"/>
          <w:highlight w:val="none"/>
          <w:u w:val="single"/>
        </w:rPr>
        <w:t>（姓名、职务）</w:t>
      </w:r>
      <w:r>
        <w:rPr>
          <w:rFonts w:hint="eastAsia" w:ascii="仿宋" w:hAnsi="仿宋" w:eastAsia="仿宋" w:cs="仿宋"/>
          <w:color w:val="auto"/>
          <w:kern w:val="0"/>
          <w:sz w:val="24"/>
          <w:highlight w:val="none"/>
        </w:rPr>
        <w:t>经正式授权并代表</w:t>
      </w:r>
      <w:r>
        <w:rPr>
          <w:rFonts w:hint="eastAsia" w:ascii="仿宋" w:hAnsi="仿宋" w:eastAsia="仿宋" w:cs="仿宋"/>
          <w:color w:val="auto"/>
          <w:sz w:val="24"/>
          <w:highlight w:val="none"/>
          <w:u w:val="single"/>
        </w:rPr>
        <w:t>（响应供应商名称、地址）</w:t>
      </w:r>
      <w:r>
        <w:rPr>
          <w:rFonts w:hint="eastAsia" w:ascii="仿宋" w:hAnsi="仿宋" w:eastAsia="仿宋" w:cs="仿宋"/>
          <w:color w:val="auto"/>
          <w:kern w:val="0"/>
          <w:sz w:val="24"/>
          <w:highlight w:val="none"/>
        </w:rPr>
        <w:t>提交下述文件一式</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2</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p>
    <w:p>
      <w:pPr>
        <w:autoSpaceDE w:val="0"/>
        <w:autoSpaceDN w:val="0"/>
        <w:adjustRightInd w:val="0"/>
        <w:spacing w:line="380" w:lineRule="exact"/>
        <w:ind w:right="246" w:firstLine="486"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 </w:t>
      </w:r>
      <w:r>
        <w:rPr>
          <w:rFonts w:hint="eastAsia" w:ascii="仿宋" w:hAnsi="仿宋" w:eastAsia="仿宋" w:cs="仿宋"/>
          <w:color w:val="auto"/>
          <w:sz w:val="24"/>
          <w:highlight w:val="none"/>
        </w:rPr>
        <w:t>自查表</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6"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 </w:t>
      </w:r>
      <w:r>
        <w:rPr>
          <w:rFonts w:hint="eastAsia" w:ascii="仿宋" w:hAnsi="仿宋" w:eastAsia="仿宋" w:cs="仿宋"/>
          <w:color w:val="auto"/>
          <w:sz w:val="24"/>
          <w:highlight w:val="none"/>
        </w:rPr>
        <w:t>资格性文件</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6"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3. </w:t>
      </w:r>
      <w:r>
        <w:rPr>
          <w:rFonts w:hint="eastAsia" w:ascii="仿宋" w:hAnsi="仿宋" w:eastAsia="仿宋" w:cs="仿宋"/>
          <w:color w:val="auto"/>
          <w:sz w:val="24"/>
          <w:highlight w:val="none"/>
        </w:rPr>
        <w:t>商务部分</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6" w:firstLine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 xml:space="preserve">4. </w:t>
      </w:r>
      <w:r>
        <w:rPr>
          <w:rFonts w:hint="eastAsia" w:ascii="仿宋" w:hAnsi="仿宋" w:eastAsia="仿宋" w:cs="仿宋"/>
          <w:color w:val="auto"/>
          <w:kern w:val="0"/>
          <w:sz w:val="24"/>
          <w:highlight w:val="none"/>
          <w:lang w:eastAsia="zh-CN"/>
        </w:rPr>
        <w:t>技术</w:t>
      </w:r>
      <w:r>
        <w:rPr>
          <w:rFonts w:hint="eastAsia" w:ascii="仿宋" w:hAnsi="仿宋" w:eastAsia="仿宋" w:cs="仿宋"/>
          <w:color w:val="auto"/>
          <w:kern w:val="0"/>
          <w:sz w:val="24"/>
          <w:highlight w:val="none"/>
        </w:rPr>
        <w:t>部分</w:t>
      </w:r>
      <w:r>
        <w:rPr>
          <w:rFonts w:hint="eastAsia" w:ascii="仿宋" w:hAnsi="仿宋" w:eastAsia="仿宋" w:cs="仿宋"/>
          <w:color w:val="auto"/>
          <w:kern w:val="0"/>
          <w:sz w:val="24"/>
          <w:highlight w:val="none"/>
          <w:lang w:eastAsia="zh-CN"/>
        </w:rPr>
        <w:t>；</w:t>
      </w:r>
    </w:p>
    <w:p>
      <w:pPr>
        <w:autoSpaceDE w:val="0"/>
        <w:autoSpaceDN w:val="0"/>
        <w:adjustRightInd w:val="0"/>
        <w:spacing w:line="380" w:lineRule="exact"/>
        <w:ind w:right="246" w:firstLine="486"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5. 价格部分</w:t>
      </w:r>
      <w:r>
        <w:rPr>
          <w:rFonts w:hint="eastAsia" w:ascii="仿宋" w:hAnsi="仿宋" w:eastAsia="仿宋" w:cs="仿宋"/>
          <w:color w:val="auto"/>
          <w:sz w:val="24"/>
          <w:highlight w:val="none"/>
        </w:rPr>
        <w:t>。</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在此，我方声明如下：</w:t>
      </w:r>
    </w:p>
    <w:p>
      <w:pPr>
        <w:spacing w:line="380" w:lineRule="exact"/>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1.同意并接受比选文件的各项要求，遵守比选文件中的各项规定，按比选文件的要求提供报价。</w:t>
      </w:r>
    </w:p>
    <w:p>
      <w:pPr>
        <w:spacing w:line="380" w:lineRule="exact"/>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2.响应有效期为递交响应文件之日起</w:t>
      </w:r>
      <w:r>
        <w:rPr>
          <w:rFonts w:hint="eastAsia" w:ascii="仿宋" w:hAnsi="仿宋" w:eastAsia="仿宋" w:cs="仿宋"/>
          <w:color w:val="auto"/>
          <w:sz w:val="24"/>
          <w:highlight w:val="none"/>
          <w:u w:val="single"/>
        </w:rPr>
        <w:t>90天</w:t>
      </w:r>
      <w:r>
        <w:rPr>
          <w:rFonts w:hint="eastAsia" w:ascii="仿宋" w:hAnsi="仿宋" w:eastAsia="仿宋" w:cs="仿宋"/>
          <w:color w:val="auto"/>
          <w:sz w:val="24"/>
          <w:highlight w:val="none"/>
        </w:rPr>
        <w:t>，成交人响应/比选有效期延至合同验收之日。</w:t>
      </w:r>
    </w:p>
    <w:p>
      <w:pPr>
        <w:spacing w:line="380" w:lineRule="exact"/>
        <w:ind w:firstLine="486"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b/>
          <w:bCs/>
          <w:color w:val="auto"/>
          <w:sz w:val="24"/>
          <w:highlight w:val="none"/>
        </w:rPr>
        <w:t>我方已经详细地阅读了全部比选文件及其附件，包括澄清及参考文件(如果有的话)。我方已完全清晰理解比选文件的所有要求，不存在任何含糊不清和误解之处，同意放弃对这些文件所提出的异议和质疑的权利。</w:t>
      </w:r>
    </w:p>
    <w:p>
      <w:pPr>
        <w:spacing w:line="380" w:lineRule="exact"/>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4.我方已毫无保留地向贵方提供一切所需的证明材料。</w:t>
      </w:r>
    </w:p>
    <w:p>
      <w:pPr>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5.我方承诺在本次响应/响应文件中提供的一切文件，无论是原件还是复印件均为真实和准确的，绝无任何虚假、伪造和夸大的成份，否则，愿承担相应的后果和法律责任。</w:t>
      </w:r>
    </w:p>
    <w:p>
      <w:pPr>
        <w:spacing w:line="380" w:lineRule="exact"/>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6.我方完全服从贵院采购流程与规定并尊重</w:t>
      </w:r>
      <w:r>
        <w:rPr>
          <w:rFonts w:hint="eastAsia" w:ascii="仿宋" w:hAnsi="仿宋" w:eastAsia="仿宋" w:cs="仿宋"/>
          <w:color w:val="auto"/>
          <w:sz w:val="24"/>
          <w:highlight w:val="none"/>
          <w:lang w:eastAsia="zh-CN"/>
        </w:rPr>
        <w:t>评审小组</w:t>
      </w:r>
      <w:r>
        <w:rPr>
          <w:rFonts w:hint="eastAsia" w:ascii="仿宋" w:hAnsi="仿宋" w:eastAsia="仿宋" w:cs="仿宋"/>
          <w:color w:val="auto"/>
          <w:sz w:val="24"/>
          <w:highlight w:val="none"/>
        </w:rPr>
        <w:t>所作的评定结果，同时清楚理解到报价最低并非意味着必定获得成交资格。</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p>
    <w:p>
      <w:pPr>
        <w:tabs>
          <w:tab w:val="left" w:pos="5250"/>
        </w:tabs>
        <w:autoSpaceDE w:val="0"/>
        <w:autoSpaceDN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账</w:t>
      </w:r>
      <w:r>
        <w:rPr>
          <w:rFonts w:hint="eastAsia" w:ascii="仿宋" w:hAnsi="仿宋" w:eastAsia="仿宋" w:cs="仿宋"/>
          <w:color w:val="auto"/>
          <w:sz w:val="24"/>
          <w:highlight w:val="none"/>
        </w:rPr>
        <w:t>号：</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传真：</w:t>
      </w:r>
      <w:r>
        <w:rPr>
          <w:rFonts w:hint="eastAsia" w:ascii="仿宋" w:hAnsi="仿宋" w:eastAsia="仿宋" w:cs="仿宋"/>
          <w:color w:val="auto"/>
          <w:kern w:val="0"/>
          <w:sz w:val="24"/>
          <w:highlight w:val="none"/>
          <w:u w:val="single"/>
        </w:rPr>
        <w:t xml:space="preserve">                               </w:t>
      </w:r>
    </w:p>
    <w:p>
      <w:pPr>
        <w:autoSpaceDE w:val="0"/>
        <w:autoSpaceDN w:val="0"/>
        <w:adjustRightInd w:val="0"/>
        <w:spacing w:line="380" w:lineRule="exact"/>
        <w:ind w:right="33"/>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r>
        <w:rPr>
          <w:rFonts w:hint="eastAsia" w:ascii="仿宋" w:hAnsi="仿宋" w:eastAsia="仿宋" w:cs="仿宋"/>
          <w:color w:val="auto"/>
          <w:kern w:val="0"/>
          <w:sz w:val="24"/>
          <w:highlight w:val="none"/>
          <w:u w:val="singl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电子邮件：</w:t>
      </w:r>
      <w:r>
        <w:rPr>
          <w:rFonts w:hint="eastAsia" w:ascii="仿宋" w:hAnsi="仿宋" w:eastAsia="仿宋" w:cs="仿宋"/>
          <w:color w:val="auto"/>
          <w:kern w:val="0"/>
          <w:sz w:val="24"/>
          <w:highlight w:val="none"/>
          <w:u w:val="single"/>
        </w:rPr>
        <w:t xml:space="preserve">                           </w:t>
      </w:r>
    </w:p>
    <w:p>
      <w:pPr>
        <w:pStyle w:val="2"/>
        <w:rPr>
          <w:rFonts w:hint="eastAsia"/>
          <w:color w:val="auto"/>
          <w:highlight w:val="none"/>
        </w:rPr>
      </w:pPr>
    </w:p>
    <w:p>
      <w:pPr>
        <w:adjustRightInd w:val="0"/>
        <w:snapToGrid w:val="0"/>
        <w:spacing w:line="380" w:lineRule="exact"/>
        <w:rPr>
          <w:rFonts w:hint="eastAsia" w:ascii="仿宋" w:hAnsi="仿宋" w:eastAsia="仿宋" w:cs="仿宋"/>
          <w:color w:val="auto"/>
          <w:sz w:val="30"/>
          <w:szCs w:val="30"/>
          <w:highlight w:val="none"/>
        </w:rPr>
      </w:pPr>
      <w:r>
        <w:rPr>
          <w:rFonts w:hint="eastAsia" w:ascii="仿宋" w:hAnsi="仿宋" w:eastAsia="仿宋" w:cs="仿宋"/>
          <w:color w:val="auto"/>
          <w:sz w:val="24"/>
          <w:highlight w:val="none"/>
          <w:u w:val="single"/>
        </w:rPr>
        <w:br w:type="page"/>
      </w:r>
    </w:p>
    <w:p>
      <w:pPr>
        <w:pStyle w:val="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3.2法定代表人/负责人资格证明书及授权委托书</w:t>
      </w:r>
    </w:p>
    <w:p>
      <w:pPr>
        <w:spacing w:line="48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（1）法定代表人/负责人资格证明书</w:t>
      </w:r>
    </w:p>
    <w:p>
      <w:pPr>
        <w:pStyle w:val="26"/>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可使用下述格式，也可使用广东省工商行政管理局统一印制的法定代表人证明书格式）</w:t>
      </w:r>
    </w:p>
    <w:p>
      <w:pPr>
        <w:pStyle w:val="26"/>
        <w:jc w:val="center"/>
        <w:outlineLvl w:val="3"/>
        <w:rPr>
          <w:rFonts w:ascii="仿宋" w:hAnsi="仿宋" w:eastAsia="仿宋" w:cs="仿宋"/>
          <w:color w:val="auto"/>
          <w:sz w:val="24"/>
          <w:szCs w:val="24"/>
          <w:highlight w:val="none"/>
        </w:rPr>
      </w:pPr>
      <w:r>
        <w:rPr>
          <w:rFonts w:ascii="仿宋" w:hAnsi="仿宋" w:eastAsia="仿宋" w:cs="仿宋"/>
          <w:b/>
          <w:color w:val="auto"/>
          <w:sz w:val="24"/>
          <w:szCs w:val="24"/>
          <w:highlight w:val="none"/>
        </w:rPr>
        <w:t>法定代表人证明书</w:t>
      </w:r>
    </w:p>
    <w:p>
      <w:pPr>
        <w:pStyle w:val="26"/>
        <w:ind w:firstLine="480"/>
        <w:rPr>
          <w:rFonts w:ascii="仿宋" w:hAnsi="仿宋" w:eastAsia="仿宋" w:cs="仿宋"/>
          <w:color w:val="auto"/>
          <w:sz w:val="24"/>
          <w:szCs w:val="24"/>
          <w:highlight w:val="none"/>
        </w:rPr>
      </w:pP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现任我单位</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职务，为法定代表人，特此证明。</w:t>
      </w:r>
    </w:p>
    <w:p>
      <w:pPr>
        <w:pStyle w:val="26"/>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有效期限：</w:t>
      </w:r>
      <w:r>
        <w:rPr>
          <w:rFonts w:hint="eastAsia" w:ascii="仿宋" w:hAnsi="仿宋" w:eastAsia="仿宋" w:cs="仿宋"/>
          <w:color w:val="auto"/>
          <w:sz w:val="24"/>
          <w:highlight w:val="none"/>
          <w:u w:val="single"/>
        </w:rPr>
        <w:t xml:space="preserve">                  </w:t>
      </w:r>
    </w:p>
    <w:p>
      <w:pPr>
        <w:pStyle w:val="26"/>
        <w:ind w:firstLine="480"/>
        <w:rPr>
          <w:rFonts w:hint="eastAsia" w:ascii="仿宋" w:hAnsi="仿宋" w:eastAsia="仿宋" w:cs="仿宋"/>
          <w:color w:val="auto"/>
          <w:sz w:val="24"/>
          <w:highlight w:val="none"/>
          <w:u w:val="single"/>
        </w:rPr>
      </w:pPr>
      <w:r>
        <w:rPr>
          <w:rFonts w:ascii="仿宋" w:hAnsi="仿宋" w:eastAsia="仿宋" w:cs="仿宋"/>
          <w:color w:val="auto"/>
          <w:sz w:val="24"/>
          <w:szCs w:val="24"/>
          <w:highlight w:val="none"/>
        </w:rPr>
        <w:t>附：代表人性别：</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年龄：</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身份证号码：</w:t>
      </w:r>
      <w:r>
        <w:rPr>
          <w:rFonts w:hint="eastAsia" w:ascii="仿宋" w:hAnsi="仿宋" w:eastAsia="仿宋" w:cs="仿宋"/>
          <w:color w:val="auto"/>
          <w:sz w:val="24"/>
          <w:highlight w:val="none"/>
          <w:u w:val="single"/>
        </w:rPr>
        <w:t xml:space="preserve">                  </w:t>
      </w:r>
    </w:p>
    <w:p>
      <w:pPr>
        <w:pStyle w:val="26"/>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注册号码：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ascii="仿宋" w:hAnsi="仿宋" w:eastAsia="仿宋" w:cs="仿宋"/>
          <w:color w:val="auto"/>
          <w:sz w:val="24"/>
          <w:szCs w:val="24"/>
          <w:highlight w:val="none"/>
        </w:rPr>
        <w:t>企业类型：</w:t>
      </w:r>
    </w:p>
    <w:p>
      <w:pPr>
        <w:pStyle w:val="26"/>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经营范围：</w:t>
      </w:r>
      <w:r>
        <w:rPr>
          <w:rFonts w:hint="eastAsia" w:ascii="仿宋" w:hAnsi="仿宋" w:eastAsia="仿宋" w:cs="仿宋"/>
          <w:color w:val="auto"/>
          <w:sz w:val="24"/>
          <w:highlight w:val="none"/>
          <w:u w:val="single"/>
        </w:rPr>
        <w:t xml:space="preserve">            </w:t>
      </w:r>
    </w:p>
    <w:p>
      <w:pPr>
        <w:pStyle w:val="26"/>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p>
    <w:p>
      <w:pPr>
        <w:pStyle w:val="26"/>
        <w:rPr>
          <w:rFonts w:hint="eastAsia" w:ascii="仿宋" w:hAnsi="仿宋" w:eastAsia="仿宋" w:cs="仿宋"/>
          <w:color w:val="auto"/>
          <w:sz w:val="24"/>
          <w:highlight w:val="none"/>
          <w:u w:val="single"/>
        </w:rPr>
      </w:pP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名称（盖章）：</w:t>
      </w:r>
      <w:r>
        <w:rPr>
          <w:rFonts w:hint="eastAsia" w:ascii="仿宋" w:hAnsi="仿宋" w:eastAsia="仿宋" w:cs="仿宋"/>
          <w:color w:val="auto"/>
          <w:sz w:val="24"/>
          <w:highlight w:val="none"/>
          <w:u w:val="single"/>
        </w:rPr>
        <w:t xml:space="preserve">                  </w:t>
      </w:r>
    </w:p>
    <w:p>
      <w:pPr>
        <w:pStyle w:val="26"/>
        <w:rPr>
          <w:rFonts w:ascii="仿宋" w:hAnsi="仿宋" w:eastAsia="仿宋" w:cs="仿宋"/>
          <w:color w:val="auto"/>
          <w:sz w:val="24"/>
          <w:szCs w:val="24"/>
          <w:highlight w:val="none"/>
        </w:rPr>
      </w:pPr>
      <w:r>
        <w:rPr>
          <w:rFonts w:ascii="仿宋" w:hAnsi="仿宋" w:eastAsia="仿宋" w:cs="仿宋"/>
          <w:color w:val="auto"/>
          <w:sz w:val="24"/>
          <w:szCs w:val="24"/>
          <w:highlight w:val="none"/>
        </w:rPr>
        <w:t>地址：</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 xml:space="preserve"> </w:t>
      </w:r>
    </w:p>
    <w:p>
      <w:pPr>
        <w:pStyle w:val="26"/>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响应供应商法定代表人</w:t>
      </w:r>
      <w:r>
        <w:rPr>
          <w:rFonts w:ascii="仿宋" w:hAnsi="仿宋" w:eastAsia="仿宋" w:cs="仿宋"/>
          <w:color w:val="auto"/>
          <w:sz w:val="24"/>
          <w:szCs w:val="24"/>
          <w:highlight w:val="none"/>
        </w:rPr>
        <w:t>（签字或盖章）：</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 xml:space="preserve"> </w:t>
      </w:r>
    </w:p>
    <w:p>
      <w:pPr>
        <w:pStyle w:val="26"/>
        <w:rPr>
          <w:rFonts w:ascii="仿宋" w:hAnsi="仿宋" w:eastAsia="仿宋" w:cs="仿宋"/>
          <w:color w:val="auto"/>
          <w:sz w:val="24"/>
          <w:szCs w:val="24"/>
          <w:highlight w:val="none"/>
        </w:rPr>
      </w:pPr>
      <w:r>
        <w:rPr>
          <w:rFonts w:ascii="仿宋" w:hAnsi="仿宋" w:eastAsia="仿宋" w:cs="仿宋"/>
          <w:color w:val="auto"/>
          <w:sz w:val="24"/>
          <w:szCs w:val="24"/>
          <w:highlight w:val="none"/>
        </w:rPr>
        <w:t>职务：</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 xml:space="preserve"> </w:t>
      </w:r>
    </w:p>
    <w:p>
      <w:pPr>
        <w:pStyle w:val="26"/>
        <w:rPr>
          <w:rFonts w:ascii="仿宋" w:hAnsi="仿宋" w:eastAsia="仿宋" w:cs="仿宋"/>
          <w:color w:val="auto"/>
          <w:sz w:val="24"/>
          <w:szCs w:val="24"/>
          <w:highlight w:val="none"/>
        </w:rPr>
      </w:pPr>
      <w:r>
        <w:rPr>
          <w:rFonts w:ascii="仿宋" w:hAnsi="仿宋" w:eastAsia="仿宋" w:cs="仿宋"/>
          <w:color w:val="auto"/>
          <w:sz w:val="24"/>
          <w:szCs w:val="24"/>
          <w:highlight w:val="none"/>
        </w:rPr>
        <w:t>日期： 年 月 日</w:t>
      </w: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rPr>
        <w:t xml:space="preserve"> (为避免响应无效，请供应商务必提供本附件)</w:t>
      </w:r>
    </w:p>
    <w:p>
      <w:pPr>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2922905</wp:posOffset>
                </wp:positionH>
                <wp:positionV relativeFrom="paragraph">
                  <wp:posOffset>5715</wp:posOffset>
                </wp:positionV>
                <wp:extent cx="2333625" cy="1584325"/>
                <wp:effectExtent l="4445" t="4445" r="8890" b="11430"/>
                <wp:wrapNone/>
                <wp:docPr id="4" name="流程图: 可选过程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30.15pt;margin-top:0.45pt;height:124.75pt;width:183.75pt;z-index:251663360;mso-width-relative:page;mso-height-relative:page;" fillcolor="#FFFFFF" filled="t" stroked="t" coordsize="21600,21600" o:gfxdata="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VPlDdcAAAAIAQAADwAAAAAAAAAB&#10;ACAAAAAiAAAAZHJzL2Rvd25yZXYueG1sUEsBAhQAFAAAAAgAh07iQIj7VQ0RAgAAEAQAAA4AAAAA&#10;AAAAAQAgAAAAJgEAAGRycy9lMm9Eb2MueG1sUEsFBgAAAAAGAAYAWQEAAKk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hint="eastAsia" w:ascii="仿宋" w:hAnsi="仿宋" w:eastAsia="仿宋" w:cs="仿宋"/>
          <w:b/>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182880</wp:posOffset>
                </wp:positionH>
                <wp:positionV relativeFrom="paragraph">
                  <wp:posOffset>43815</wp:posOffset>
                </wp:positionV>
                <wp:extent cx="2333625" cy="1584325"/>
                <wp:effectExtent l="4445" t="4445" r="8890" b="11430"/>
                <wp:wrapNone/>
                <wp:docPr id="5" name="流程图: 可选过程 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4.4pt;margin-top:3.45pt;height:124.75pt;width:183.75pt;z-index:251661312;mso-width-relative:page;mso-height-relative:page;" fillcolor="#FFFFFF" filled="t" stroked="t" coordsize="21600,21600" o:gfxdata="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6S+wB1gAAAAgBAAAPAAAAAAAAAAEA&#10;IAAAACIAAABkcnMvZG93bnJldi54bWxQSwECFAAUAAAACACHTuJAteALPRECAAAQBAAADgAAAAAA&#10;AAABACAAAAAlAQAAZHJzL2Uyb0RvYy54bWxQSwUGAAAAAAYABgBZAQAAqA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（2）法定代表人/负责人授权委托书</w:t>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（对于银行、保险、电信、邮政、铁路等行业以及获得总公司</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授权的分公司，可以提供</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分支机构负责人授权书）</w:t>
      </w:r>
    </w:p>
    <w:p>
      <w:pPr>
        <w:jc w:val="center"/>
        <w:rPr>
          <w:rFonts w:hint="eastAsia" w:ascii="仿宋" w:hAnsi="仿宋" w:eastAsia="仿宋" w:cs="仿宋"/>
          <w:b/>
          <w:color w:val="auto"/>
          <w:sz w:val="24"/>
          <w:highlight w:val="none"/>
        </w:rPr>
      </w:pPr>
    </w:p>
    <w:p>
      <w:pPr>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法定代表人授权书</w:t>
      </w:r>
    </w:p>
    <w:p>
      <w:pPr>
        <w:ind w:firstLine="480"/>
        <w:rPr>
          <w:rFonts w:hint="eastAsia" w:ascii="仿宋" w:hAnsi="仿宋" w:eastAsia="仿宋" w:cs="仿宋"/>
          <w:color w:val="auto"/>
          <w:sz w:val="24"/>
          <w:highlight w:val="none"/>
        </w:rPr>
      </w:pPr>
    </w:p>
    <w:p>
      <w:pPr>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惠州市第一妇幼保健院</w:t>
      </w:r>
    </w:p>
    <w:p>
      <w:pPr>
        <w:ind w:firstLine="480"/>
        <w:rPr>
          <w:rFonts w:hint="eastAsia" w:ascii="仿宋" w:hAnsi="仿宋" w:eastAsia="仿宋" w:cs="仿宋"/>
          <w:color w:val="auto"/>
          <w:sz w:val="24"/>
          <w:highlight w:val="none"/>
        </w:rPr>
      </w:pP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本授权书声明：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是注册于</w:t>
      </w:r>
      <w:r>
        <w:rPr>
          <w:rFonts w:hint="eastAsia" w:ascii="仿宋" w:hAnsi="仿宋" w:eastAsia="仿宋" w:cs="仿宋"/>
          <w:color w:val="auto"/>
          <w:sz w:val="24"/>
          <w:highlight w:val="none"/>
          <w:u w:val="single"/>
        </w:rPr>
        <w:t>（国家或地区）</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eastAsia="zh-CN"/>
        </w:rPr>
        <w:t>响应供应商</w:t>
      </w:r>
      <w:r>
        <w:rPr>
          <w:rFonts w:hint="eastAsia" w:ascii="仿宋" w:hAnsi="仿宋" w:eastAsia="仿宋" w:cs="仿宋"/>
          <w:color w:val="auto"/>
          <w:sz w:val="24"/>
          <w:highlight w:val="none"/>
          <w:u w:val="single"/>
        </w:rPr>
        <w:t>名称）</w:t>
      </w:r>
      <w:r>
        <w:rPr>
          <w:rFonts w:hint="eastAsia" w:ascii="仿宋" w:hAnsi="仿宋" w:eastAsia="仿宋" w:cs="仿宋"/>
          <w:color w:val="auto"/>
          <w:sz w:val="24"/>
          <w:highlight w:val="none"/>
        </w:rPr>
        <w:t>的法定代表人，现任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职务，有效证件号码：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。现授权</w:t>
      </w:r>
      <w:r>
        <w:rPr>
          <w:rFonts w:hint="eastAsia" w:ascii="仿宋" w:hAnsi="仿宋" w:eastAsia="仿宋" w:cs="仿宋"/>
          <w:color w:val="auto"/>
          <w:sz w:val="24"/>
          <w:highlight w:val="none"/>
          <w:u w:val="single"/>
        </w:rPr>
        <w:t>（姓名、职务）</w:t>
      </w:r>
      <w:r>
        <w:rPr>
          <w:rFonts w:hint="eastAsia" w:ascii="仿宋" w:hAnsi="仿宋" w:eastAsia="仿宋" w:cs="仿宋"/>
          <w:color w:val="auto"/>
          <w:sz w:val="24"/>
          <w:highlight w:val="none"/>
        </w:rPr>
        <w:t>作为我公司的全权代理人，就“</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”项目采购[采购项目编号为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和合同执行，以我方的名义处理一切与之有关的事宜。</w:t>
      </w:r>
    </w:p>
    <w:p>
      <w:pPr>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本授权书于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日签字生效，特此声明。</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响应供应商法定代表人</w:t>
      </w:r>
      <w:r>
        <w:rPr>
          <w:rFonts w:hint="eastAsia" w:ascii="仿宋" w:hAnsi="仿宋" w:eastAsia="仿宋" w:cs="仿宋"/>
          <w:color w:val="auto"/>
          <w:sz w:val="24"/>
          <w:highlight w:val="none"/>
        </w:rPr>
        <w:t>（签字或盖章）：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法定代表人授权代表（签字或盖章）：</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职务：</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ind w:firstLine="480"/>
        <w:rPr>
          <w:color w:val="auto"/>
          <w:highlight w:val="none"/>
        </w:rPr>
      </w:pPr>
    </w:p>
    <w:p>
      <w:pPr>
        <w:spacing w:line="360" w:lineRule="auto"/>
        <w:ind w:firstLine="42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84455</wp:posOffset>
                </wp:positionV>
                <wp:extent cx="2333625" cy="1584325"/>
                <wp:effectExtent l="4445" t="4445" r="8890" b="11430"/>
                <wp:wrapNone/>
                <wp:docPr id="3" name="流程图: 可选过程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代理人身份证复印件正面</w:t>
                            </w:r>
                          </w:p>
                        </w:txbxContent>
                      </wps:txbx>
                      <wps:bodyPr upright="1"/>
                    </wps:wsp>
                  </a:graphicData>
                </a:graphic>
              </wp:anchor>
            </w:drawing>
          </mc:Choice>
          <mc:Fallback>
            <w:pict>
              <v:shape id="_x0000_s1026" o:spid="_x0000_s1026" o:spt="176" type="#_x0000_t176" style="position:absolute;left:0pt;margin-left:-0.75pt;margin-top:6.65pt;height:124.75pt;width:183.75pt;z-index:251662336;mso-width-relative:page;mso-height-relative:page;" fillcolor="#FFFFFF" filled="t" stroked="t" coordsize="21600,21600" o:gfxdata="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l/zInXAAAACQEAAA8AAAAAAAAA&#10;AQAgAAAAIgAAAGRycy9kb3ducmV2LnhtbFBLAQIUABQAAAAIAIdO4kA7us+cEgIAABAEAAAOAAAA&#10;AAAAAAEAIAAAACYBAABkcnMvZTJvRG9jLnhtbFBLBQYAAAAABgAGAFkBAACq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代理人身份证复印件正面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5408" behindDoc="0" locked="0" layoutInCell="1" allowOverlap="1">
                <wp:simplePos x="0" y="0"/>
                <wp:positionH relativeFrom="column">
                  <wp:posOffset>2889885</wp:posOffset>
                </wp:positionH>
                <wp:positionV relativeFrom="paragraph">
                  <wp:posOffset>62230</wp:posOffset>
                </wp:positionV>
                <wp:extent cx="2333625" cy="1584325"/>
                <wp:effectExtent l="4445" t="4445" r="889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代理人身份证复印件反面</w:t>
                            </w:r>
                          </w:p>
                        </w:txbxContent>
                      </wps:txbx>
                      <wps:bodyPr upright="1"/>
                    </wps:wsp>
                  </a:graphicData>
                </a:graphic>
              </wp:anchor>
            </w:drawing>
          </mc:Choice>
          <mc:Fallback>
            <w:pict>
              <v:shape id="_x0000_s1026" o:spid="_x0000_s1026" o:spt="176" type="#_x0000_t176" style="position:absolute;left:0pt;margin-left:227.55pt;margin-top:4.9pt;height:124.75pt;width:183.75pt;z-index:251665408;mso-width-relative:page;mso-height-relative:page;" fillcolor="#FFFFFF" filled="t" stroked="t" coordsize="21600,21600" o:gfxdata="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b59pdcAAAAJAQAADwAAAAAAAAAB&#10;ACAAAAAiAAAAZHJzL2Rvd25yZXYueG1sUEsBAhQAFAAAAAgAh07iQEGMc/wRAgAAEAQAAA4AAAAA&#10;AAAAAQAgAAAAJgEAAGRycy9lMm9Eb2MueG1sUEsFBgAAAAAGAAYAWQEAAKk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代理人身份证复印件反面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4384" behindDoc="0" locked="0" layoutInCell="1" allowOverlap="1">
                <wp:simplePos x="0" y="0"/>
                <wp:positionH relativeFrom="column">
                  <wp:posOffset>1030605</wp:posOffset>
                </wp:positionH>
                <wp:positionV relativeFrom="paragraph">
                  <wp:posOffset>7917180</wp:posOffset>
                </wp:positionV>
                <wp:extent cx="2333625" cy="1584325"/>
                <wp:effectExtent l="4445" t="4445" r="889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81.15pt;margin-top:623.4pt;height:124.75pt;width:183.75pt;z-index:251664384;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XDLHtkAAAANAQAADwAAAAAA&#10;AAABACAAAAAiAAAAZHJzL2Rvd25yZXYueG1sUEsBAhQAFAAAAAgAh07iQAahkawSAgAAEAQAAA4A&#10;AAAAAAAAAQAgAAAAKAEAAGRycy9lMm9Eb2MueG1sUEsFBgAAAAAGAAYAWQEAAKw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v:textbox>
              </v:shape>
            </w:pict>
          </mc:Fallback>
        </mc:AlternateContent>
      </w:r>
    </w:p>
    <w:p>
      <w:pPr>
        <w:spacing w:line="300" w:lineRule="auto"/>
        <w:jc w:val="center"/>
        <w:rPr>
          <w:rFonts w:hint="eastAsia" w:ascii="仿宋" w:hAnsi="仿宋" w:eastAsia="仿宋" w:cs="仿宋"/>
          <w:b/>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30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关于资格的声明函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u w:val="single"/>
        </w:rPr>
        <w:t>：</w:t>
      </w:r>
    </w:p>
    <w:p>
      <w:pPr>
        <w:spacing w:line="480" w:lineRule="exact"/>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关于贵方采购项目名称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响应邀请，本签字人愿意参加响应，提供比选文件中规定的货物、服务及工程，并证明提交的下列文件和说明是准确的和真实的。</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1.具备《政府采购法》第二十二条规定的条件，且提供以下证明文件：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（1）在中华人民共和国境内注册的具有独立承担民事责任能力的法人或其他组织（提供营业执照等证明文件）；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必须具有良好的商业信誉和健全的财务会计制度。可提供：①2022年至今任意一年经审计的审计报告复印件（包含审计报告中所涉及的财务报表和报表附注）；或②2022年度至今任意一年响应供应商内部的财务报表复印件（新成立公司提供成立至今的月或季度财务报表复印件）；或③截至响应文件递交截止日12个月内银行出具的资信证明（复印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（3）比选截止时间近12个月内任意一个月的依法缴纳税收证明材料（如依法免税，则须提供相应文件证明其依法免税）或书面声明；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（4）比选截止时间近12个月内任意一个月的依法缴纳社会保险凭据（如依法不需要缴纳社保，则须提供相应文件证明其依法不需要缴纳）或书面声明。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（5）履行合同所必需的设备和专业技术能力的证明材料或书面声明；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3.单位负责人为同一人或者存在直接控股、管理关系的不同供应商，不得参加同一包号比选或者未划分包号的同一采购项目。(代理机构出具声明函)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4.为本采购项目提供整体设计、规范编制或者项目管理、监理、检测等服务的供应商，不得再参加本采购项目的采购活动。(代理机构出具声明函)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5.本项目不接受联合体参加比选，不允许响应供应商对各比选项目进行分包或转包(代理机构出具声明函)。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6.在省级及以上政府采购网站备案。（代理机构提供“广东省政府采购网”或“中国政府采购网”的备案信息截图。）</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7.在惠州市内有固定经营场所，具备招标采购工作必须的开评标场地和录音录像等监控设备设施。（提供：①房屋产权证明资料或租赁合同复印件②开标室、评标室及录音录像监控设备设施等照片，提供的照片需明确标注开标室、评标室、监控设备设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8.拥有≥5名熟悉政府采购法律法规、具备编制采购文件和组织采购活动等相应能力的专职从业人员。（提供专职从业人员名单、身份证复印件及比选截止日前近6个月内任意一个月由代理机构为其缴纳的社保证明材料。）</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9.本项目不属于专门面向中小企业采购的项目，本项目中小企业划分标准所属行业为：未列明行业。</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10.已在医院办公室报名。</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（相关资质及证明文件附后）</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pStyle w:val="3"/>
        <w:rPr>
          <w:rFonts w:hint="eastAsia"/>
          <w:color w:val="auto"/>
          <w:sz w:val="24"/>
          <w:szCs w:val="24"/>
          <w:highlight w:val="none"/>
        </w:rPr>
      </w:pPr>
      <w:r>
        <w:rPr>
          <w:color w:val="auto"/>
          <w:sz w:val="24"/>
          <w:highlight w:val="none"/>
        </w:rPr>
        <w:br w:type="page"/>
      </w:r>
      <w:r>
        <w:rPr>
          <w:rFonts w:hint="eastAsia" w:ascii="仿宋" w:hAnsi="仿宋" w:eastAsia="仿宋" w:cs="仿宋"/>
          <w:color w:val="auto"/>
          <w:highlight w:val="none"/>
        </w:rPr>
        <w:t>4 商务部分</w:t>
      </w:r>
    </w:p>
    <w:p>
      <w:pPr>
        <w:tabs>
          <w:tab w:val="left" w:pos="540"/>
        </w:tabs>
        <w:spacing w:line="400" w:lineRule="exact"/>
        <w:rPr>
          <w:rFonts w:hint="eastAsia" w:ascii="仿宋" w:hAnsi="仿宋" w:eastAsia="仿宋" w:cs="仿宋"/>
          <w:b/>
          <w:color w:val="auto"/>
          <w:sz w:val="24"/>
          <w:highlight w:val="none"/>
          <w:lang w:val="en-GB"/>
        </w:rPr>
      </w:pPr>
      <w:r>
        <w:rPr>
          <w:rFonts w:hint="eastAsia" w:ascii="仿宋" w:hAnsi="仿宋" w:eastAsia="仿宋" w:cs="仿宋"/>
          <w:b/>
          <w:color w:val="auto"/>
          <w:sz w:val="24"/>
          <w:highlight w:val="none"/>
        </w:rPr>
        <w:t>4.1</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lang w:val="en-GB"/>
        </w:rPr>
        <w:t>其它必需重要事项说明及承诺(单页)</w:t>
      </w:r>
    </w:p>
    <w:p>
      <w:pPr>
        <w:tabs>
          <w:tab w:val="left" w:pos="540"/>
        </w:tabs>
        <w:spacing w:line="400" w:lineRule="exac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4"/>
          <w:highlight w:val="none"/>
          <w:lang w:val="en-US" w:eastAsia="zh-CN"/>
        </w:rPr>
        <w:t>4.1.1</w:t>
      </w:r>
      <w:r>
        <w:rPr>
          <w:rFonts w:hint="eastAsia" w:ascii="仿宋" w:hAnsi="仿宋" w:eastAsia="仿宋" w:cs="仿宋"/>
          <w:b w:val="0"/>
          <w:bCs/>
          <w:color w:val="auto"/>
          <w:sz w:val="24"/>
          <w:highlight w:val="none"/>
          <w:lang w:val="en-GB"/>
        </w:rPr>
        <w:t>近三年经营活动中无重大违法违规声明函</w:t>
      </w:r>
    </w:p>
    <w:p>
      <w:pPr>
        <w:adjustRightInd w:val="0"/>
        <w:snapToGrid w:val="0"/>
        <w:spacing w:line="400" w:lineRule="exact"/>
        <w:rPr>
          <w:rFonts w:hint="eastAsia" w:ascii="仿宋" w:hAnsi="仿宋" w:eastAsia="仿宋" w:cs="仿宋"/>
          <w:color w:val="auto"/>
          <w:sz w:val="24"/>
          <w:highlight w:val="none"/>
        </w:rPr>
      </w:pP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参加本项目前三年内，在经营活动中没有违法记录承诺函。</w:t>
      </w:r>
    </w:p>
    <w:p>
      <w:pPr>
        <w:adjustRightInd w:val="0"/>
        <w:snapToGrid w:val="0"/>
        <w:spacing w:line="4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近三年经营活动中无重大违法违规声明函</w:t>
      </w:r>
    </w:p>
    <w:p>
      <w:pPr>
        <w:spacing w:line="400" w:lineRule="exact"/>
        <w:ind w:left="-547" w:leftChars="-257" w:firstLine="486"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本人以</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响应供应商名称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法定代表人的资格，郑重声明：</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我公司在参加本项目采购活动前三年，在经营活动中无重大违法、违规的不良记录。若在本次项目响应的全过程中，被查实我公司提供的资料及上述声明不属实，或提供的相关资料不属实或不满足资格审查要求，</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有权取消我公司的响应及成交资格，且我公司将无条件承担由此给本次比选带来的一切后果，包括经济损失。</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pPr>
        <w:adjustRightInd w:val="0"/>
        <w:snapToGrid w:val="0"/>
        <w:spacing w:line="400" w:lineRule="exact"/>
        <w:ind w:firstLine="555"/>
        <w:rPr>
          <w:rFonts w:hint="eastAsia" w:ascii="仿宋" w:hAnsi="仿宋" w:eastAsia="仿宋" w:cs="仿宋"/>
          <w:color w:val="auto"/>
          <w:sz w:val="24"/>
          <w:highlight w:val="none"/>
        </w:rPr>
      </w:pP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400" w:lineRule="exact"/>
        <w:rPr>
          <w:rFonts w:hint="eastAsia" w:ascii="仿宋" w:hAnsi="仿宋" w:eastAsia="仿宋" w:cs="仿宋"/>
          <w:color w:val="auto"/>
          <w:sz w:val="24"/>
          <w:highlight w:val="none"/>
        </w:rPr>
      </w:pPr>
      <w:r>
        <w:rPr>
          <w:rFonts w:ascii="仿宋" w:hAnsi="仿宋" w:eastAsia="仿宋" w:cs="仿宋"/>
          <w:color w:val="auto"/>
          <w:sz w:val="24"/>
          <w:highlight w:val="none"/>
        </w:rPr>
        <w:br w:type="page"/>
      </w:r>
      <w:r>
        <w:rPr>
          <w:rFonts w:hint="eastAsia" w:ascii="仿宋" w:hAnsi="仿宋" w:eastAsia="仿宋" w:cs="仿宋"/>
          <w:color w:val="auto"/>
          <w:sz w:val="24"/>
          <w:highlight w:val="none"/>
          <w:lang w:val="en-US" w:eastAsia="zh-CN"/>
        </w:rPr>
        <w:t>4.1.</w:t>
      </w:r>
      <w:r>
        <w:rPr>
          <w:rFonts w:hint="eastAsia" w:ascii="仿宋" w:hAnsi="仿宋" w:eastAsia="仿宋" w:cs="仿宋"/>
          <w:color w:val="auto"/>
          <w:sz w:val="24"/>
          <w:highlight w:val="none"/>
        </w:rPr>
        <w:t>2诚信响应承诺书。</w:t>
      </w:r>
    </w:p>
    <w:p>
      <w:pPr>
        <w:spacing w:line="400" w:lineRule="exact"/>
        <w:jc w:val="center"/>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诚信响应承诺书(单页)</w:t>
      </w:r>
    </w:p>
    <w:p>
      <w:pPr>
        <w:spacing w:line="400" w:lineRule="exact"/>
        <w:ind w:left="-547" w:leftChars="-257" w:firstLine="486"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pPr>
        <w:spacing w:line="400" w:lineRule="exact"/>
        <w:ind w:left="-547" w:leftChars="-257" w:firstLine="972"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本企业郑重承诺：</w:t>
      </w:r>
    </w:p>
    <w:p>
      <w:pPr>
        <w:spacing w:line="400" w:lineRule="exact"/>
        <w:ind w:firstLine="425"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一、遵守政府采购法律、法规和规章制度，维护医院采购市场秩序和公平竞争环境，不恶意竞价；</w:t>
      </w:r>
    </w:p>
    <w:p>
      <w:pPr>
        <w:spacing w:line="400" w:lineRule="exact"/>
        <w:ind w:firstLine="425"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二、依法诚信参与医院比选、响应采购活动，自觉维护采购人合法权益；</w:t>
      </w:r>
    </w:p>
    <w:p>
      <w:pPr>
        <w:spacing w:line="400" w:lineRule="exact"/>
        <w:ind w:left="-547" w:leftChars="-257" w:firstLine="972"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三、严格保守医院比选采购活动中获取的国家秘密和商业秘密；</w:t>
      </w:r>
    </w:p>
    <w:p>
      <w:pPr>
        <w:spacing w:line="400" w:lineRule="exact"/>
        <w:ind w:firstLine="425"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四、依法履行采购合同和采购活动中的各项承诺，为采购人提供符合规定质量标准的货物、工程和服务，以及优良的售后服务；</w:t>
      </w:r>
    </w:p>
    <w:p>
      <w:pPr>
        <w:spacing w:line="400" w:lineRule="exact"/>
        <w:ind w:left="-547" w:leftChars="-257" w:firstLine="972"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五、依法诚信进行质疑与投诉活动；</w:t>
      </w:r>
    </w:p>
    <w:p>
      <w:pPr>
        <w:spacing w:line="400" w:lineRule="exact"/>
        <w:ind w:left="-547" w:leftChars="-257" w:firstLine="972"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六、主动接受医院比选采购监督管理部门的监督检查。</w:t>
      </w:r>
    </w:p>
    <w:p>
      <w:pPr>
        <w:spacing w:line="400" w:lineRule="exact"/>
        <w:ind w:firstLine="425"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本公司若有违反本承诺内容的行为，愿意承担相应的后果和法律责任，包括愿意接受医院作出的处罚。 </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备注：附上</w:t>
      </w:r>
      <w:r>
        <w:rPr>
          <w:rFonts w:hint="eastAsia" w:ascii="仿宋" w:hAnsi="仿宋" w:eastAsia="仿宋" w:cs="仿宋"/>
          <w:color w:val="auto"/>
          <w:sz w:val="24"/>
          <w:highlight w:val="none"/>
          <w:lang w:bidi="ar"/>
        </w:rPr>
        <w:t>国家企业信用信息公示系统/信用中国/中国政府采购网查询的征信情况。</w:t>
      </w:r>
    </w:p>
    <w:p>
      <w:pPr>
        <w:rPr>
          <w:rFonts w:hint="eastAsia" w:ascii="仿宋" w:hAnsi="仿宋" w:eastAsia="仿宋" w:cs="仿宋"/>
          <w:color w:val="auto"/>
          <w:highlight w:val="none"/>
        </w:rPr>
      </w:pPr>
      <w:r>
        <w:rPr>
          <w:rFonts w:hint="eastAsia" w:ascii="仿宋" w:hAnsi="仿宋" w:eastAsia="仿宋" w:cs="仿宋"/>
          <w:color w:val="auto"/>
          <w:highlight w:val="none"/>
        </w:rPr>
        <w:br w:type="page"/>
      </w:r>
    </w:p>
    <w:p>
      <w:pPr>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4.1.3</w:t>
      </w:r>
      <w:r>
        <w:rPr>
          <w:rFonts w:hint="eastAsia" w:ascii="仿宋" w:hAnsi="仿宋" w:eastAsia="仿宋" w:cs="仿宋"/>
          <w:color w:val="auto"/>
          <w:sz w:val="24"/>
          <w:highlight w:val="none"/>
          <w:lang w:eastAsia="zh-CN"/>
        </w:rPr>
        <w:t>中小企业声明函</w:t>
      </w:r>
      <w:r>
        <w:rPr>
          <w:rFonts w:hint="eastAsia" w:ascii="仿宋" w:hAnsi="仿宋" w:eastAsia="仿宋" w:cs="仿宋"/>
          <w:color w:val="auto"/>
          <w:sz w:val="24"/>
          <w:highlight w:val="none"/>
        </w:rPr>
        <w:t>。</w:t>
      </w:r>
    </w:p>
    <w:p>
      <w:pPr>
        <w:numPr>
          <w:ilvl w:val="0"/>
          <w:numId w:val="0"/>
        </w:numPr>
        <w:rPr>
          <w:rFonts w:hint="eastAsia" w:ascii="仿宋" w:hAnsi="仿宋" w:eastAsia="仿宋" w:cs="仿宋"/>
          <w:color w:val="auto"/>
          <w:sz w:val="24"/>
          <w:highlight w:val="none"/>
        </w:rPr>
      </w:pPr>
    </w:p>
    <w:p>
      <w:pPr>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pPr>
        <w:numPr>
          <w:ilvl w:val="0"/>
          <w:numId w:val="0"/>
        </w:numPr>
        <w:rPr>
          <w:rFonts w:hint="eastAsia"/>
          <w:color w:val="auto"/>
          <w:highlight w:val="none"/>
        </w:rPr>
      </w:pPr>
      <w:r>
        <w:rPr>
          <w:rFonts w:hint="eastAsia" w:ascii="仿宋" w:hAnsi="仿宋" w:eastAsia="仿宋" w:cs="仿宋"/>
          <w:color w:val="auto"/>
          <w:sz w:val="24"/>
          <w:highlight w:val="none"/>
          <w:lang w:val="en-US" w:eastAsia="zh-CN"/>
        </w:rPr>
        <w:t>4.1.3.1</w:t>
      </w:r>
      <w:r>
        <w:rPr>
          <w:rFonts w:hint="eastAsia" w:ascii="仿宋" w:hAnsi="仿宋" w:eastAsia="仿宋" w:cs="仿宋"/>
          <w:color w:val="auto"/>
          <w:sz w:val="24"/>
          <w:highlight w:val="none"/>
        </w:rPr>
        <w:t>中小企业声明函（所投产品制造商为中小企业时提交本函，所属行业应符合采购文件中明确的本项目所属行业）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4"/>
          <w:highlight w:val="none"/>
        </w:rPr>
      </w:pPr>
      <w:r>
        <w:rPr>
          <w:rFonts w:hint="eastAsia" w:ascii="仿宋" w:hAnsi="仿宋" w:eastAsia="仿宋" w:cs="仿宋"/>
          <w:b/>
          <w:color w:val="auto"/>
          <w:sz w:val="30"/>
          <w:szCs w:val="30"/>
          <w:highlight w:val="none"/>
          <w:lang w:val="hr-HR"/>
        </w:rPr>
        <w:t>中小企业声明函（货物）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号）的规定，本公司（联合体）参加（单位名称）的（项目名称）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1.（标的名称），属于（采购文件中明确的所属行业）行业；制造商为（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2.（标的名称），属于（采购文件中明确的所属行业）行业；制造商为（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应当对其出具的《中小企业声明函》真实性负责，</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出具的《中小企业声明函》内容不实的，属于提供虚假材料谋取</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。在实际操作中，</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希望获得中小企业扶持政策支持的，应从制造商处获得充分、准确的信息。对相关制造商信息了解不充分，或者不能确定相关信息真实、准确的，不建议出具《中小企业声明函》。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4.1.3.2</w:t>
      </w:r>
      <w:r>
        <w:rPr>
          <w:rFonts w:hint="eastAsia" w:ascii="仿宋" w:hAnsi="仿宋" w:eastAsia="仿宋" w:cs="仿宋"/>
          <w:color w:val="auto"/>
          <w:sz w:val="24"/>
          <w:highlight w:val="none"/>
        </w:rPr>
        <w:t>中小企业声明函（承建本项目工程为中小企业或者承接本项目服务为中小企业时提交本函，所属行业应符合采购文件中明确的本项目所属行业）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中小企业声明函（工程、服务）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w:t>
      </w:r>
      <w:bookmarkStart w:id="10" w:name="_GoBack"/>
      <w:bookmarkEnd w:id="10"/>
      <w:r>
        <w:rPr>
          <w:rFonts w:hint="eastAsia" w:ascii="仿宋" w:hAnsi="仿宋" w:eastAsia="仿宋" w:cs="仿宋"/>
          <w:color w:val="auto"/>
          <w:sz w:val="24"/>
          <w:highlight w:val="none"/>
        </w:rPr>
        <w:t>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应当自行核实是否属于小微企业，并认真填写声明函，若有虚假将追究其责任。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4.1.4</w:t>
      </w:r>
      <w:r>
        <w:rPr>
          <w:rFonts w:hint="eastAsia" w:ascii="仿宋" w:hAnsi="仿宋" w:eastAsia="仿宋" w:cs="仿宋"/>
          <w:color w:val="auto"/>
          <w:sz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监狱企业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提供由监狱管理局、戒毒管理局（含新疆生产建设兵团）出具的属于监狱企业的证明文件。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残疾人福利性单位声明函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注：本函未填写或未勾选视作未做声明。</w:t>
      </w:r>
    </w:p>
    <w:p>
      <w:pPr>
        <w:rPr>
          <w:rFonts w:hint="default"/>
          <w:color w:val="auto"/>
          <w:highlight w:val="none"/>
          <w:lang w:val="en-US" w:eastAsia="zh-CN"/>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color w:val="auto"/>
          <w:sz w:val="20"/>
          <w:szCs w:val="22"/>
          <w:highlight w:val="none"/>
        </w:rPr>
      </w:pPr>
      <w:r>
        <w:rPr>
          <w:rFonts w:hint="eastAsia" w:ascii="仿宋" w:hAnsi="仿宋" w:eastAsia="仿宋" w:cs="仿宋"/>
          <w:b/>
          <w:color w:val="auto"/>
          <w:sz w:val="24"/>
          <w:highlight w:val="none"/>
        </w:rPr>
        <w:t>4.2商务条款响应</w:t>
      </w:r>
    </w:p>
    <w:p>
      <w:pPr>
        <w:adjustRightInd w:val="0"/>
        <w:snapToGrid w:val="0"/>
        <w:spacing w:line="30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4.2.1 实质性响应商务条款</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077"/>
        <w:gridCol w:w="3651"/>
        <w:gridCol w:w="736"/>
        <w:gridCol w:w="1430"/>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520" w:type="dxa"/>
            <w:gridSpan w:val="6"/>
            <w:noWrap w:val="0"/>
            <w:vAlign w:val="center"/>
          </w:tcPr>
          <w:p>
            <w:pPr>
              <w:keepNext w:val="0"/>
              <w:keepLines w:val="0"/>
              <w:suppressLineNumbers w:val="0"/>
              <w:spacing w:before="0" w:beforeAutospacing="0" w:after="12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”项）商务条款响应表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96"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077"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3651"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要求</w:t>
            </w:r>
          </w:p>
        </w:tc>
        <w:tc>
          <w:tcPr>
            <w:tcW w:w="736"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430"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1030"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96"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1077"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color w:val="auto"/>
                <w:sz w:val="21"/>
                <w:szCs w:val="21"/>
                <w:highlight w:val="none"/>
                <w:lang w:val="en-US" w:eastAsia="zh-CN"/>
              </w:rPr>
            </w:pPr>
          </w:p>
        </w:tc>
        <w:tc>
          <w:tcPr>
            <w:tcW w:w="3651"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lang w:val="en-US" w:eastAsia="zh-CN"/>
              </w:rPr>
            </w:pPr>
          </w:p>
        </w:tc>
        <w:tc>
          <w:tcPr>
            <w:tcW w:w="736"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43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03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9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107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3651"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c>
          <w:tcPr>
            <w:tcW w:w="736"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4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0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96"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107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i w:val="0"/>
                <w:color w:val="auto"/>
                <w:kern w:val="0"/>
                <w:sz w:val="22"/>
                <w:szCs w:val="22"/>
                <w:highlight w:val="none"/>
                <w:u w:val="none"/>
                <w:lang w:val="en-US" w:eastAsia="zh-CN" w:bidi="ar"/>
              </w:rPr>
            </w:pPr>
          </w:p>
        </w:tc>
        <w:tc>
          <w:tcPr>
            <w:tcW w:w="3651" w:type="dxa"/>
            <w:noWrap w:val="0"/>
            <w:vAlign w:val="top"/>
          </w:tcPr>
          <w:p>
            <w:pPr>
              <w:keepNext w:val="0"/>
              <w:keepLines w:val="0"/>
              <w:suppressLineNumbers w:val="0"/>
              <w:spacing w:before="0" w:beforeAutospacing="0" w:after="0" w:afterAutospacing="0"/>
              <w:ind w:left="0" w:right="0"/>
              <w:jc w:val="center"/>
              <w:rPr>
                <w:rFonts w:hint="eastAsia" w:ascii="仿宋" w:hAnsi="仿宋" w:eastAsia="仿宋" w:cs="仿宋"/>
                <w:b/>
                <w:bCs/>
                <w:i w:val="0"/>
                <w:color w:val="auto"/>
                <w:kern w:val="0"/>
                <w:sz w:val="22"/>
                <w:szCs w:val="22"/>
                <w:highlight w:val="none"/>
                <w:u w:val="none"/>
                <w:lang w:val="en-US" w:eastAsia="zh-CN" w:bidi="ar"/>
              </w:rPr>
            </w:pPr>
          </w:p>
        </w:tc>
        <w:tc>
          <w:tcPr>
            <w:tcW w:w="736"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4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0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w:t>
      </w:r>
      <w:r>
        <w:rPr>
          <w:rFonts w:hint="eastAsia" w:ascii="仿宋" w:hAnsi="仿宋" w:eastAsia="仿宋" w:cs="仿宋"/>
          <w:color w:val="auto"/>
          <w:sz w:val="24"/>
          <w:highlight w:val="none"/>
          <w:lang w:val="en-GB"/>
        </w:rPr>
        <w:t>响应供应商</w:t>
      </w:r>
      <w:r>
        <w:rPr>
          <w:rFonts w:hint="eastAsia" w:ascii="仿宋" w:hAnsi="仿宋" w:eastAsia="仿宋" w:cs="仿宋"/>
          <w:color w:val="auto"/>
          <w:sz w:val="24"/>
          <w:highlight w:val="none"/>
        </w:rPr>
        <w:t>必须对上述一般上述实质性商务条款逐条响应，</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标“</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”项为不可负偏离（劣于），任何一项负偏离该响应无效。</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w:t>
      </w:r>
    </w:p>
    <w:p>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2.本表内容不得擅自修改。</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300" w:lineRule="auto"/>
        <w:rPr>
          <w:rFonts w:hint="eastAsia" w:ascii="仿宋" w:hAnsi="仿宋" w:eastAsia="仿宋" w:cs="仿宋"/>
          <w:color w:val="auto"/>
          <w:sz w:val="24"/>
          <w:highlight w:val="none"/>
        </w:rPr>
      </w:pPr>
    </w:p>
    <w:p>
      <w:pPr>
        <w:pStyle w:val="4"/>
        <w:spacing w:before="0" w:after="0"/>
        <w:jc w:val="left"/>
        <w:rPr>
          <w:rFonts w:hint="eastAsia" w:ascii="仿宋" w:hAnsi="仿宋" w:eastAsia="仿宋" w:cs="仿宋"/>
          <w:color w:val="auto"/>
          <w:highlight w:val="none"/>
        </w:rPr>
      </w:pPr>
      <w:r>
        <w:rPr>
          <w:rFonts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4.2.2 一般</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商务条款响应表</w:t>
      </w:r>
    </w:p>
    <w:tbl>
      <w:tblPr>
        <w:tblStyle w:val="17"/>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3947"/>
        <w:gridCol w:w="1381"/>
        <w:gridCol w:w="1322"/>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3947"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一般商务条款要求</w:t>
            </w:r>
          </w:p>
        </w:tc>
        <w:tc>
          <w:tcPr>
            <w:tcW w:w="1381"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322"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1391"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w:t>
            </w:r>
            <w:r>
              <w:rPr>
                <w:rFonts w:hint="eastAsia" w:ascii="仿宋" w:hAnsi="仿宋" w:eastAsia="仿宋" w:cs="仿宋"/>
                <w:color w:val="auto"/>
                <w:szCs w:val="21"/>
                <w:highlight w:val="none"/>
                <w:lang w:eastAsia="zh-CN"/>
              </w:rPr>
              <w:t>商务</w:t>
            </w:r>
            <w:r>
              <w:rPr>
                <w:rFonts w:hint="eastAsia" w:ascii="仿宋" w:hAnsi="仿宋" w:eastAsia="仿宋" w:cs="仿宋"/>
                <w:color w:val="auto"/>
                <w:szCs w:val="21"/>
                <w:highlight w:val="none"/>
              </w:rPr>
              <w:t>条款要求</w:t>
            </w:r>
          </w:p>
        </w:tc>
        <w:tc>
          <w:tcPr>
            <w:tcW w:w="1381" w:type="dxa"/>
            <w:noWrap w:val="0"/>
            <w:vAlign w:val="center"/>
          </w:tcPr>
          <w:p>
            <w:pPr>
              <w:pStyle w:val="25"/>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2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完全理解并接受对合格响应</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rPr>
              <w:t>、合格的货物、工程和服务要求</w:t>
            </w:r>
          </w:p>
        </w:tc>
        <w:tc>
          <w:tcPr>
            <w:tcW w:w="1381" w:type="dxa"/>
            <w:noWrap w:val="0"/>
            <w:vAlign w:val="center"/>
          </w:tcPr>
          <w:p>
            <w:pPr>
              <w:pStyle w:val="25"/>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2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完全理解并接受对响应</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rPr>
              <w:t>的各项须知、规约要求和责任义务</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4</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响应有效期：响应有效期为自递交响应文件起至确定正式成交人止</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不少于</w:t>
            </w:r>
            <w:r>
              <w:rPr>
                <w:rFonts w:hint="eastAsia" w:ascii="仿宋" w:hAnsi="仿宋" w:eastAsia="仿宋" w:cs="仿宋"/>
                <w:color w:val="auto"/>
                <w:szCs w:val="21"/>
                <w:highlight w:val="none"/>
                <w:u w:val="single"/>
              </w:rPr>
              <w:t xml:space="preserve">90 </w:t>
            </w:r>
            <w:r>
              <w:rPr>
                <w:rFonts w:hint="eastAsia" w:ascii="仿宋" w:hAnsi="仿宋" w:eastAsia="仿宋" w:cs="仿宋"/>
                <w:color w:val="auto"/>
                <w:szCs w:val="21"/>
                <w:highlight w:val="none"/>
              </w:rPr>
              <w:t>天，成交单位有效期至项目验收之日</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报价内容均涵盖报价要求之一切费用和伴随服务</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lang w:val="en-GB"/>
              </w:rPr>
              <w:t>同意接受合同范本所列述的各项条款</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rPr>
              <w:t>同意按本项目要求缴付相关款项</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pStyle w:val="25"/>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5"/>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rPr>
              <w:t>同意</w:t>
            </w:r>
            <w:r>
              <w:rPr>
                <w:rFonts w:hint="eastAsia" w:ascii="仿宋" w:hAnsi="仿宋" w:eastAsia="仿宋" w:cs="仿宋"/>
                <w:color w:val="auto"/>
                <w:szCs w:val="21"/>
                <w:highlight w:val="none"/>
                <w:lang w:eastAsia="zh-CN"/>
              </w:rPr>
              <w:t>采购人</w:t>
            </w:r>
            <w:r>
              <w:rPr>
                <w:rFonts w:hint="eastAsia" w:ascii="仿宋" w:hAnsi="仿宋" w:eastAsia="仿宋" w:cs="仿宋"/>
                <w:color w:val="auto"/>
                <w:szCs w:val="21"/>
                <w:highlight w:val="none"/>
              </w:rPr>
              <w:t>以任何形式对我方响应文件内容的真实性和有效性进行审查、验证</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pStyle w:val="25"/>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5"/>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3947" w:type="dxa"/>
            <w:noWrap w:val="0"/>
            <w:vAlign w:val="center"/>
          </w:tcPr>
          <w:p>
            <w:pPr>
              <w:pStyle w:val="14"/>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rPr>
              <w:t>满足对服务的各项要求</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pStyle w:val="25"/>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5"/>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6650" w:type="dxa"/>
            <w:gridSpan w:val="3"/>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其它商务条款偏离说明：</w:t>
            </w:r>
          </w:p>
        </w:tc>
        <w:tc>
          <w:tcPr>
            <w:tcW w:w="1391"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r>
    </w:tbl>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注： 1.响应供应商</w:t>
      </w:r>
      <w:r>
        <w:rPr>
          <w:rFonts w:hint="eastAsia" w:ascii="仿宋" w:hAnsi="仿宋" w:eastAsia="仿宋" w:cs="仿宋"/>
          <w:color w:val="auto"/>
          <w:sz w:val="24"/>
          <w:highlight w:val="none"/>
        </w:rPr>
        <w:t>必须对上述一般商务条款逐条响应。</w:t>
      </w:r>
      <w:r>
        <w:rPr>
          <w:rFonts w:hint="eastAsia" w:ascii="仿宋" w:hAnsi="仿宋" w:eastAsia="仿宋" w:cs="仿宋"/>
          <w:b/>
          <w:bCs/>
          <w:color w:val="auto"/>
          <w:sz w:val="24"/>
          <w:highlight w:val="none"/>
        </w:rPr>
        <w:t>如有缺漏项视同不符合对应条款之要求。</w:t>
      </w:r>
      <w:r>
        <w:rPr>
          <w:rFonts w:hint="eastAsia" w:ascii="仿宋" w:hAnsi="仿宋" w:eastAsia="仿宋" w:cs="仿宋"/>
          <w:color w:val="auto"/>
          <w:sz w:val="24"/>
          <w:highlight w:val="none"/>
          <w:lang w:val="en-GB"/>
        </w:rPr>
        <w:t>请在“是否响应”填“是”或“否”（不得空白，空白视为“否”），并对照偏离情况请在“偏离说明”栏内扼要说明偏离情况，不响应视为负偏离。</w:t>
      </w:r>
    </w:p>
    <w:p>
      <w:pPr>
        <w:ind w:firstLine="42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 xml:space="preserve"> 2.本表内容不得擅自修改。</w:t>
      </w:r>
    </w:p>
    <w:p>
      <w:pPr>
        <w:rPr>
          <w:rFonts w:hint="eastAsia" w:ascii="仿宋" w:hAnsi="仿宋" w:eastAsia="仿宋" w:cs="仿宋"/>
          <w:color w:val="auto"/>
          <w:szCs w:val="21"/>
          <w:highlight w:val="none"/>
          <w:lang w:val="en-GB"/>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color w:val="auto"/>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r>
        <w:rPr>
          <w:rFonts w:hint="eastAsia"/>
          <w:color w:val="auto"/>
          <w:highlight w:val="none"/>
        </w:rPr>
        <w:br w:type="page"/>
      </w:r>
    </w:p>
    <w:p>
      <w:pPr>
        <w:tabs>
          <w:tab w:val="left" w:pos="540"/>
        </w:tabs>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所投项目业绩介绍（单页）</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72"/>
        <w:gridCol w:w="2787"/>
        <w:gridCol w:w="1533"/>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27"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1872"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客户名称</w:t>
            </w:r>
          </w:p>
        </w:tc>
        <w:tc>
          <w:tcPr>
            <w:tcW w:w="2787"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项目名称及合同金额（万元）</w:t>
            </w:r>
          </w:p>
        </w:tc>
        <w:tc>
          <w:tcPr>
            <w:tcW w:w="1533"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签订合同时间</w:t>
            </w:r>
          </w:p>
        </w:tc>
        <w:tc>
          <w:tcPr>
            <w:tcW w:w="1518"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pStyle w:val="27"/>
              <w:keepNext w:val="0"/>
              <w:keepLines w:val="0"/>
              <w:suppressLineNumbers w:val="0"/>
              <w:spacing w:before="0" w:beforeAutospacing="0" w:after="0" w:afterAutospacing="0"/>
              <w:rPr>
                <w:rFonts w:hint="eastAsia" w:ascii="仿宋" w:hAnsi="仿宋" w:eastAsia="仿宋" w:cs="仿宋"/>
                <w:color w:val="auto"/>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bl>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注：业绩是必须以响应供应商名义完成并已验收的项目。响应供应商必须提供合同复印件或成交通知书（请留意评审细则是否要求提供验收报告）。</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pStyle w:val="2"/>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 </w:t>
      </w:r>
      <w:r>
        <w:rPr>
          <w:rFonts w:hint="eastAsia" w:ascii="仿宋" w:hAnsi="仿宋" w:eastAsia="仿宋" w:cs="仿宋"/>
          <w:color w:val="auto"/>
          <w:sz w:val="24"/>
          <w:highlight w:val="none"/>
          <w:lang w:eastAsia="zh-CN"/>
        </w:rPr>
        <w:t>技术</w:t>
      </w:r>
      <w:r>
        <w:rPr>
          <w:rFonts w:hint="eastAsia" w:ascii="仿宋" w:hAnsi="仿宋" w:eastAsia="仿宋" w:cs="仿宋"/>
          <w:color w:val="auto"/>
          <w:sz w:val="24"/>
          <w:highlight w:val="none"/>
        </w:rPr>
        <w:t>部分</w:t>
      </w:r>
    </w:p>
    <w:p>
      <w:pPr>
        <w:pStyle w:val="10"/>
        <w:adjustRightInd w:val="0"/>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 xml:space="preserve"> </w:t>
      </w:r>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/服务</w:t>
      </w:r>
      <w:r>
        <w:rPr>
          <w:rFonts w:hint="eastAsia" w:ascii="仿宋" w:hAnsi="仿宋" w:eastAsia="仿宋" w:cs="仿宋"/>
          <w:b/>
          <w:color w:val="auto"/>
          <w:sz w:val="24"/>
          <w:highlight w:val="none"/>
        </w:rPr>
        <w:t>要求响应表（单页填写）</w:t>
      </w:r>
    </w:p>
    <w:p>
      <w:pPr>
        <w:pStyle w:val="10"/>
        <w:adjustRightInd w:val="0"/>
        <w:snapToGrid w:val="0"/>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.1 实质性服务要求（“★”项）条款响应表</w:t>
      </w:r>
    </w:p>
    <w:tbl>
      <w:tblPr>
        <w:tblStyle w:val="17"/>
        <w:tblW w:w="9180"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241"/>
        <w:gridCol w:w="1897"/>
        <w:gridCol w:w="1701"/>
        <w:gridCol w:w="871"/>
        <w:gridCol w:w="912"/>
        <w:gridCol w:w="775"/>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180" w:type="dxa"/>
            <w:gridSpan w:val="8"/>
            <w:noWrap w:val="0"/>
            <w:vAlign w:val="top"/>
          </w:tcPr>
          <w:p>
            <w:pPr>
              <w:keepNext w:val="0"/>
              <w:keepLines w:val="0"/>
              <w:suppressLineNumbers w:val="0"/>
              <w:spacing w:before="0" w:beforeAutospacing="0" w:after="0" w:afterAutospacing="0"/>
              <w:ind w:left="0" w:right="0" w:firstLine="3159" w:firstLineChars="1300"/>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实质性服务要求（“★”项）条款响应表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642"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序号</w:t>
            </w:r>
          </w:p>
        </w:tc>
        <w:tc>
          <w:tcPr>
            <w:tcW w:w="124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名称</w:t>
            </w:r>
          </w:p>
        </w:tc>
        <w:tc>
          <w:tcPr>
            <w:tcW w:w="1897"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170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响应服务参数</w:t>
            </w:r>
          </w:p>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（填写响应的具体参数）</w:t>
            </w:r>
          </w:p>
        </w:tc>
        <w:tc>
          <w:tcPr>
            <w:tcW w:w="87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是否响应</w:t>
            </w:r>
          </w:p>
        </w:tc>
        <w:tc>
          <w:tcPr>
            <w:tcW w:w="912"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偏离情况</w:t>
            </w:r>
          </w:p>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（正/负/无）</w:t>
            </w:r>
          </w:p>
        </w:tc>
        <w:tc>
          <w:tcPr>
            <w:tcW w:w="775"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偏离说明</w:t>
            </w:r>
          </w:p>
        </w:tc>
        <w:tc>
          <w:tcPr>
            <w:tcW w:w="114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注明对应证明材料条款所在位置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2" w:type="dxa"/>
            <w:noWrap w:val="0"/>
            <w:vAlign w:val="center"/>
          </w:tcPr>
          <w:p>
            <w:pPr>
              <w:keepNext w:val="0"/>
              <w:keepLines w:val="0"/>
              <w:suppressLineNumbers w:val="0"/>
              <w:spacing w:before="0" w:beforeAutospacing="0" w:after="0" w:afterAutospacing="0" w:line="380" w:lineRule="exact"/>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12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897" w:type="dxa"/>
            <w:noWrap w:val="0"/>
            <w:vAlign w:val="center"/>
          </w:tcPr>
          <w:p>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color w:val="auto"/>
                <w:sz w:val="21"/>
                <w:szCs w:val="21"/>
                <w:highlight w:val="none"/>
                <w:lang w:val="en-US" w:eastAsia="zh-CN"/>
              </w:rPr>
            </w:pPr>
          </w:p>
        </w:tc>
        <w:tc>
          <w:tcPr>
            <w:tcW w:w="170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87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912"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775"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14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42" w:type="dxa"/>
            <w:noWrap w:val="0"/>
            <w:vAlign w:val="center"/>
          </w:tcPr>
          <w:p>
            <w:pPr>
              <w:keepNext w:val="0"/>
              <w:keepLines w:val="0"/>
              <w:suppressLineNumbers w:val="0"/>
              <w:spacing w:before="0" w:beforeAutospacing="0" w:after="0" w:afterAutospacing="0" w:line="380" w:lineRule="exact"/>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12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897"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 w:val="21"/>
                <w:szCs w:val="21"/>
                <w:highlight w:val="none"/>
                <w:lang w:val="en-US" w:eastAsia="zh-CN"/>
              </w:rPr>
            </w:pPr>
          </w:p>
        </w:tc>
        <w:tc>
          <w:tcPr>
            <w:tcW w:w="170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87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912"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775"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14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42" w:type="dxa"/>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1241"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 w:val="24"/>
                <w:highlight w:val="none"/>
              </w:rPr>
            </w:pPr>
          </w:p>
        </w:tc>
        <w:tc>
          <w:tcPr>
            <w:tcW w:w="1897"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1"/>
                <w:szCs w:val="21"/>
                <w:highlight w:val="none"/>
              </w:rPr>
            </w:pPr>
          </w:p>
        </w:tc>
        <w:tc>
          <w:tcPr>
            <w:tcW w:w="170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87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912"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7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14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42" w:type="dxa"/>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24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897"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70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87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912"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7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14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注：1.响应供应商必须对应比选文件中的服务要求的“★”项内容逐条响应。</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“★”项为不可负偏离（劣于）的重要项。</w:t>
      </w:r>
      <w:r>
        <w:rPr>
          <w:rFonts w:hint="eastAsia" w:ascii="仿宋" w:hAnsi="仿宋" w:eastAsia="仿宋" w:cs="仿宋"/>
          <w:color w:val="auto"/>
          <w:sz w:val="24"/>
          <w:highlight w:val="none"/>
          <w:lang w:val="en-GB"/>
        </w:rPr>
        <w:t>响应供应商请在“是否响应”栏内填“是”或“否”（不得空白，空白视为“否”；若比选文件中没有做出实质性要求，则填“无”），并对照偏离情况请在“偏离说明”栏内扼要说明偏离情况，不响应视为负偏离。比选技术参数/要求必须按照比选文件的，不得作任何更改。否则视为不符合响应要求。</w:t>
      </w:r>
    </w:p>
    <w:p>
      <w:pPr>
        <w:pStyle w:val="10"/>
        <w:adjustRightInd w:val="0"/>
        <w:snapToGrid w:val="0"/>
        <w:spacing w:line="440" w:lineRule="exact"/>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2.响应供应商响应采购需求必须具体，明确。含糊不清、不确切或伪造、变造证明材料的，按照不完全响应或者不响应处理。</w:t>
      </w:r>
    </w:p>
    <w:p>
      <w:pPr>
        <w:pStyle w:val="10"/>
        <w:adjustRightInd w:val="0"/>
        <w:snapToGrid w:val="0"/>
        <w:spacing w:line="440" w:lineRule="exact"/>
        <w:ind w:firstLine="486"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highlight w:val="none"/>
        </w:rPr>
        <w:t>如所响应参数与比选要求不一致的，响应供应商必须按所响应的参数进行响应参数填写（必须详细填写），不得随意复制比选文件服务要求粘贴。否则后果自负！</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color w:val="auto"/>
          <w:sz w:val="24"/>
          <w:highlight w:val="none"/>
        </w:rPr>
      </w:pPr>
      <w:r>
        <w:rPr>
          <w:rFonts w:ascii="仿宋" w:hAnsi="仿宋" w:eastAsia="仿宋" w:cs="仿宋"/>
          <w:color w:val="auto"/>
          <w:sz w:val="24"/>
          <w:highlight w:val="none"/>
        </w:rPr>
        <w:br w:type="page"/>
      </w: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.2非实质性</w:t>
      </w:r>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w:t>
      </w:r>
      <w:r>
        <w:rPr>
          <w:rFonts w:hint="eastAsia" w:ascii="仿宋" w:hAnsi="仿宋" w:eastAsia="仿宋" w:cs="仿宋"/>
          <w:b/>
          <w:color w:val="auto"/>
          <w:sz w:val="24"/>
          <w:highlight w:val="none"/>
        </w:rPr>
        <w:t>服务要求条款响应表</w:t>
      </w:r>
    </w:p>
    <w:tbl>
      <w:tblPr>
        <w:tblStyle w:val="17"/>
        <w:tblW w:w="9855" w:type="dxa"/>
        <w:tblInd w:w="-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025"/>
        <w:gridCol w:w="2641"/>
        <w:gridCol w:w="1764"/>
        <w:gridCol w:w="780"/>
        <w:gridCol w:w="1065"/>
        <w:gridCol w:w="66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855" w:type="dxa"/>
            <w:gridSpan w:val="8"/>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一般服务要求条款</w:t>
            </w:r>
            <w:r>
              <w:rPr>
                <w:rFonts w:hint="eastAsia" w:ascii="仿宋" w:hAnsi="仿宋" w:eastAsia="仿宋" w:cs="宋体"/>
                <w:color w:val="auto"/>
                <w:kern w:val="0"/>
                <w:sz w:val="24"/>
                <w:highlight w:val="none"/>
              </w:rPr>
              <w:t>和</w:t>
            </w:r>
            <w:r>
              <w:rPr>
                <w:rFonts w:hint="eastAsia" w:ascii="仿宋" w:hAnsi="仿宋" w:eastAsia="仿宋" w:cs="仿宋"/>
                <w:color w:val="auto"/>
                <w:sz w:val="24"/>
                <w:highlight w:val="none"/>
              </w:rPr>
              <w:t>含</w:t>
            </w:r>
            <w:r>
              <w:rPr>
                <w:rFonts w:hint="eastAsia" w:ascii="仿宋" w:hAnsi="仿宋" w:eastAsia="仿宋" w:cs="宋体"/>
                <w:color w:val="auto"/>
                <w:kern w:val="0"/>
                <w:sz w:val="24"/>
                <w:highlight w:val="none"/>
              </w:rPr>
              <w:t>“▲”的</w:t>
            </w:r>
            <w:r>
              <w:rPr>
                <w:rFonts w:hint="default" w:ascii="仿宋" w:hAnsi="仿宋" w:eastAsia="仿宋" w:cs="宋体"/>
                <w:color w:val="auto"/>
                <w:kern w:val="0"/>
                <w:sz w:val="24"/>
                <w:highlight w:val="none"/>
              </w:rPr>
              <w:t>主要</w:t>
            </w:r>
            <w:r>
              <w:rPr>
                <w:rFonts w:hint="eastAsia" w:ascii="仿宋" w:hAnsi="仿宋" w:eastAsia="仿宋" w:cs="宋体"/>
                <w:color w:val="auto"/>
                <w:kern w:val="0"/>
                <w:sz w:val="24"/>
                <w:highlight w:val="none"/>
              </w:rPr>
              <w:t>服务要求</w:t>
            </w:r>
            <w:r>
              <w:rPr>
                <w:rFonts w:hint="eastAsia" w:ascii="仿宋" w:hAnsi="仿宋" w:eastAsia="仿宋" w:cs="仿宋"/>
                <w:color w:val="auto"/>
                <w:sz w:val="24"/>
                <w:highlight w:val="none"/>
              </w:rPr>
              <w:t>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025"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2641"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1764"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响应服务参数</w:t>
            </w:r>
          </w:p>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（填写响应的具体参数）</w:t>
            </w:r>
          </w:p>
        </w:tc>
        <w:tc>
          <w:tcPr>
            <w:tcW w:w="780"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065"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w:t>
            </w:r>
          </w:p>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（正/负/无）</w:t>
            </w:r>
          </w:p>
        </w:tc>
        <w:tc>
          <w:tcPr>
            <w:tcW w:w="660"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c>
          <w:tcPr>
            <w:tcW w:w="1350" w:type="dxa"/>
            <w:shd w:val="clear" w:color="auto" w:fill="F1F1F1"/>
            <w:noWrap w:val="0"/>
            <w:vAlign w:val="top"/>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需注明对应证明</w:t>
            </w:r>
            <w:r>
              <w:rPr>
                <w:rFonts w:hint="default" w:ascii="仿宋" w:hAnsi="仿宋" w:eastAsia="仿宋" w:cs="仿宋"/>
                <w:color w:val="auto"/>
                <w:szCs w:val="21"/>
                <w:highlight w:val="none"/>
              </w:rPr>
              <w:t>材料</w:t>
            </w:r>
            <w:r>
              <w:rPr>
                <w:rFonts w:hint="eastAsia" w:ascii="仿宋" w:hAnsi="仿宋" w:eastAsia="仿宋" w:cs="仿宋"/>
                <w:color w:val="auto"/>
                <w:szCs w:val="21"/>
                <w:highlight w:val="none"/>
              </w:rPr>
              <w:t>条款所在位置，</w:t>
            </w:r>
            <w:r>
              <w:rPr>
                <w:rFonts w:hint="default" w:ascii="仿宋" w:hAnsi="仿宋" w:eastAsia="仿宋" w:cs="仿宋"/>
                <w:color w:val="auto"/>
                <w:szCs w:val="21"/>
                <w:highlight w:val="none"/>
              </w:rPr>
              <w:t>尤其是</w:t>
            </w:r>
            <w:r>
              <w:rPr>
                <w:rFonts w:hint="eastAsia" w:ascii="仿宋" w:hAnsi="仿宋" w:eastAsia="仿宋" w:cs="仿宋"/>
                <w:color w:val="auto"/>
                <w:szCs w:val="21"/>
                <w:highlight w:val="none"/>
              </w:rPr>
              <w:t>含</w:t>
            </w:r>
            <w:r>
              <w:rPr>
                <w:rFonts w:hint="eastAsia" w:ascii="仿宋" w:hAnsi="仿宋" w:eastAsia="仿宋" w:cs="宋体"/>
                <w:color w:val="auto"/>
                <w:kern w:val="0"/>
                <w:szCs w:val="21"/>
                <w:highlight w:val="none"/>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025"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1025"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lang w:val="en-US" w:eastAsia="zh-CN"/>
              </w:rPr>
            </w:pP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w:t>
      </w:r>
      <w:r>
        <w:rPr>
          <w:rFonts w:ascii="仿宋" w:hAnsi="仿宋" w:eastAsia="仿宋" w:cs="仿宋"/>
          <w:color w:val="auto"/>
          <w:sz w:val="24"/>
          <w:highlight w:val="none"/>
        </w:rPr>
        <w:t>的</w:t>
      </w:r>
      <w:r>
        <w:rPr>
          <w:rFonts w:hint="eastAsia" w:ascii="仿宋" w:hAnsi="仿宋" w:eastAsia="仿宋" w:cs="仿宋"/>
          <w:color w:val="auto"/>
          <w:sz w:val="24"/>
          <w:highlight w:val="none"/>
        </w:rPr>
        <w:t>服务要求的内容逐条响应。</w:t>
      </w:r>
      <w:r>
        <w:rPr>
          <w:rFonts w:hint="eastAsia" w:ascii="仿宋" w:hAnsi="仿宋" w:eastAsia="仿宋" w:cs="仿宋"/>
          <w:b/>
          <w:bCs/>
          <w:color w:val="auto"/>
          <w:sz w:val="24"/>
          <w:highlight w:val="none"/>
        </w:rPr>
        <w:t>如有缺漏项视同不符合对应服务要求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服务要求必须按照比选文件的，不得作任何更改。否则视为不符合响应要求。</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w:t>
      </w:r>
      <w:r>
        <w:rPr>
          <w:rFonts w:hint="eastAsia" w:ascii="仿宋" w:hAnsi="仿宋" w:eastAsia="仿宋" w:cs="仿宋"/>
          <w:color w:val="auto"/>
          <w:sz w:val="24"/>
          <w:highlight w:val="none"/>
        </w:rPr>
        <w:t>响应供应商响应采购需求应具体、明确，含糊不清、不确切或伪造、变造证明材料的，按照不完全响应或者完全不响应处理。</w:t>
      </w:r>
    </w:p>
    <w:p>
      <w:pPr>
        <w:adjustRightInd w:val="0"/>
        <w:snapToGrid w:val="0"/>
        <w:spacing w:line="300" w:lineRule="auto"/>
        <w:rPr>
          <w:rFonts w:ascii="仿宋" w:hAnsi="仿宋" w:eastAsia="仿宋" w:cs="仿宋"/>
          <w:b/>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6.价格部分</w:t>
      </w:r>
    </w:p>
    <w:bookmarkEnd w:id="3"/>
    <w:bookmarkEnd w:id="4"/>
    <w:bookmarkEnd w:id="5"/>
    <w:bookmarkEnd w:id="6"/>
    <w:bookmarkEnd w:id="7"/>
    <w:bookmarkEnd w:id="8"/>
    <w:bookmarkEnd w:id="9"/>
    <w:p>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报价单</w:t>
      </w:r>
    </w:p>
    <w:tbl>
      <w:tblPr>
        <w:tblStyle w:val="17"/>
        <w:tblW w:w="9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2320"/>
        <w:gridCol w:w="1540"/>
        <w:gridCol w:w="2870"/>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44" w:type="dxa"/>
            <w:noWrap w:val="0"/>
            <w:vAlign w:val="center"/>
          </w:tcPr>
          <w:p>
            <w:pPr>
              <w:jc w:val="center"/>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rPr>
              <w:t>序号</w:t>
            </w:r>
          </w:p>
        </w:tc>
        <w:tc>
          <w:tcPr>
            <w:tcW w:w="2320" w:type="dxa"/>
            <w:noWrap w:val="0"/>
            <w:vAlign w:val="center"/>
          </w:tcPr>
          <w:p>
            <w:pPr>
              <w:jc w:val="center"/>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rPr>
              <w:t>名称</w:t>
            </w:r>
          </w:p>
        </w:tc>
        <w:tc>
          <w:tcPr>
            <w:tcW w:w="1540" w:type="dxa"/>
            <w:noWrap w:val="0"/>
            <w:vAlign w:val="center"/>
          </w:tcPr>
          <w:p>
            <w:pPr>
              <w:jc w:val="center"/>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rPr>
              <w:t>服务期</w:t>
            </w:r>
          </w:p>
        </w:tc>
        <w:tc>
          <w:tcPr>
            <w:tcW w:w="2870" w:type="dxa"/>
            <w:noWrap w:val="0"/>
            <w:vAlign w:val="center"/>
          </w:tcPr>
          <w:p>
            <w:pPr>
              <w:jc w:val="center"/>
              <w:rPr>
                <w:rFonts w:hint="eastAsia" w:ascii="仿宋" w:hAnsi="仿宋" w:eastAsia="仿宋" w:cs="仿宋"/>
                <w:color w:val="auto"/>
                <w:spacing w:val="20"/>
                <w:sz w:val="24"/>
                <w:szCs w:val="24"/>
                <w:highlight w:val="none"/>
                <w:lang w:eastAsia="zh-CN"/>
              </w:rPr>
            </w:pPr>
            <w:r>
              <w:rPr>
                <w:rFonts w:hint="eastAsia" w:ascii="仿宋" w:hAnsi="仿宋" w:eastAsia="仿宋" w:cs="仿宋"/>
                <w:color w:val="auto"/>
                <w:spacing w:val="20"/>
                <w:sz w:val="24"/>
                <w:szCs w:val="24"/>
                <w:highlight w:val="none"/>
                <w:lang w:val="en-US" w:eastAsia="zh-CN"/>
              </w:rPr>
              <w:t>响应</w:t>
            </w:r>
            <w:r>
              <w:rPr>
                <w:rFonts w:hint="eastAsia" w:ascii="仿宋" w:hAnsi="仿宋" w:eastAsia="仿宋" w:cs="仿宋"/>
                <w:color w:val="auto"/>
                <w:spacing w:val="20"/>
                <w:sz w:val="24"/>
                <w:szCs w:val="24"/>
                <w:highlight w:val="none"/>
                <w:lang w:eastAsia="zh-CN"/>
              </w:rPr>
              <w:t>报价</w:t>
            </w:r>
          </w:p>
        </w:tc>
        <w:tc>
          <w:tcPr>
            <w:tcW w:w="2381" w:type="dxa"/>
            <w:noWrap w:val="0"/>
            <w:vAlign w:val="center"/>
          </w:tcPr>
          <w:p>
            <w:pPr>
              <w:jc w:val="center"/>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44" w:type="dxa"/>
            <w:noWrap w:val="0"/>
            <w:vAlign w:val="center"/>
          </w:tcPr>
          <w:p>
            <w:pPr>
              <w:jc w:val="center"/>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rPr>
              <w:t>1</w:t>
            </w:r>
          </w:p>
        </w:tc>
        <w:tc>
          <w:tcPr>
            <w:tcW w:w="2320" w:type="dxa"/>
            <w:noWrap w:val="0"/>
            <w:vAlign w:val="center"/>
          </w:tcPr>
          <w:p>
            <w:pPr>
              <w:jc w:val="center"/>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rPr>
              <w:t>代理服务费</w:t>
            </w:r>
          </w:p>
        </w:tc>
        <w:tc>
          <w:tcPr>
            <w:tcW w:w="1540" w:type="dxa"/>
            <w:noWrap w:val="0"/>
            <w:vAlign w:val="center"/>
          </w:tcPr>
          <w:p>
            <w:pPr>
              <w:jc w:val="center"/>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rPr>
              <w:t>2年</w:t>
            </w:r>
          </w:p>
        </w:tc>
        <w:tc>
          <w:tcPr>
            <w:tcW w:w="2870" w:type="dxa"/>
            <w:noWrap w:val="0"/>
            <w:vAlign w:val="center"/>
          </w:tcPr>
          <w:p>
            <w:pPr>
              <w:jc w:val="center"/>
              <w:rPr>
                <w:rFonts w:hint="default" w:ascii="仿宋" w:hAnsi="仿宋" w:eastAsia="仿宋" w:cs="仿宋"/>
                <w:color w:val="auto"/>
                <w:spacing w:val="20"/>
                <w:sz w:val="24"/>
                <w:szCs w:val="24"/>
                <w:highlight w:val="none"/>
                <w:lang w:val="en-US" w:eastAsia="zh-CN"/>
              </w:rPr>
            </w:pPr>
            <w:r>
              <w:rPr>
                <w:rFonts w:hint="eastAsia" w:ascii="仿宋" w:hAnsi="仿宋" w:eastAsia="仿宋" w:cs="仿宋"/>
                <w:color w:val="auto"/>
                <w:spacing w:val="20"/>
                <w:sz w:val="24"/>
                <w:szCs w:val="24"/>
                <w:highlight w:val="none"/>
                <w:lang w:val="en-US" w:eastAsia="zh-CN"/>
              </w:rPr>
              <w:t>下浮率：</w:t>
            </w:r>
            <w:r>
              <w:rPr>
                <w:rFonts w:hint="eastAsia" w:ascii="仿宋" w:hAnsi="仿宋" w:eastAsia="仿宋" w:cs="仿宋"/>
                <w:color w:val="auto"/>
                <w:spacing w:val="20"/>
                <w:sz w:val="24"/>
                <w:szCs w:val="24"/>
                <w:highlight w:val="none"/>
                <w:u w:val="single"/>
                <w:lang w:val="en-US" w:eastAsia="zh-CN"/>
              </w:rPr>
              <w:t xml:space="preserve">   </w:t>
            </w:r>
            <w:r>
              <w:rPr>
                <w:rFonts w:hint="eastAsia" w:ascii="仿宋" w:hAnsi="仿宋" w:eastAsia="仿宋" w:cs="仿宋"/>
                <w:color w:val="auto"/>
                <w:spacing w:val="20"/>
                <w:sz w:val="24"/>
                <w:szCs w:val="24"/>
                <w:highlight w:val="none"/>
                <w:lang w:val="en-US" w:eastAsia="zh-CN"/>
              </w:rPr>
              <w:t>%</w:t>
            </w:r>
          </w:p>
        </w:tc>
        <w:tc>
          <w:tcPr>
            <w:tcW w:w="2381" w:type="dxa"/>
            <w:noWrap w:val="0"/>
            <w:vAlign w:val="center"/>
          </w:tcPr>
          <w:p>
            <w:pPr>
              <w:rPr>
                <w:rFonts w:hint="eastAsia" w:ascii="仿宋" w:hAnsi="仿宋" w:eastAsia="仿宋" w:cs="仿宋"/>
                <w:color w:val="auto"/>
                <w:spacing w:val="20"/>
                <w:sz w:val="24"/>
                <w:szCs w:val="24"/>
                <w:highlight w:val="none"/>
              </w:rPr>
            </w:pPr>
            <w:r>
              <w:rPr>
                <w:rFonts w:hint="eastAsia" w:ascii="仿宋" w:hAnsi="仿宋" w:eastAsia="仿宋" w:cs="仿宋"/>
                <w:color w:val="auto"/>
                <w:kern w:val="2"/>
                <w:sz w:val="24"/>
                <w:szCs w:val="24"/>
                <w:highlight w:val="none"/>
                <w:lang w:val="en-US" w:eastAsia="zh-CN" w:bidi="ar-SA"/>
              </w:rPr>
              <w:t>下浮率须为整数百分比（如：1%、2%、5%、10%、15%）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844" w:type="dxa"/>
            <w:noWrap w:val="0"/>
            <w:vAlign w:val="center"/>
          </w:tcPr>
          <w:p>
            <w:pPr>
              <w:jc w:val="center"/>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rPr>
              <w:t>2</w:t>
            </w:r>
          </w:p>
        </w:tc>
        <w:tc>
          <w:tcPr>
            <w:tcW w:w="2320" w:type="dxa"/>
            <w:noWrap w:val="0"/>
            <w:vAlign w:val="center"/>
          </w:tcPr>
          <w:p>
            <w:pPr>
              <w:jc w:val="center"/>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rPr>
              <w:t>专家论证服务费</w:t>
            </w:r>
          </w:p>
        </w:tc>
        <w:tc>
          <w:tcPr>
            <w:tcW w:w="1540" w:type="dxa"/>
            <w:noWrap w:val="0"/>
            <w:vAlign w:val="center"/>
          </w:tcPr>
          <w:p>
            <w:pPr>
              <w:jc w:val="center"/>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rPr>
              <w:t>2年</w:t>
            </w:r>
          </w:p>
        </w:tc>
        <w:tc>
          <w:tcPr>
            <w:tcW w:w="2870" w:type="dxa"/>
            <w:noWrap w:val="0"/>
            <w:vAlign w:val="center"/>
          </w:tcPr>
          <w:p>
            <w:pPr>
              <w:jc w:val="center"/>
              <w:rPr>
                <w:rFonts w:hint="default" w:ascii="仿宋" w:hAnsi="仿宋" w:eastAsia="仿宋" w:cs="仿宋"/>
                <w:color w:val="auto"/>
                <w:spacing w:val="20"/>
                <w:sz w:val="24"/>
                <w:szCs w:val="24"/>
                <w:highlight w:val="none"/>
                <w:lang w:val="en-US" w:eastAsia="zh-CN"/>
              </w:rPr>
            </w:pPr>
            <w:r>
              <w:rPr>
                <w:rFonts w:hint="eastAsia" w:ascii="仿宋" w:hAnsi="仿宋" w:eastAsia="仿宋" w:cs="仿宋"/>
                <w:color w:val="auto"/>
                <w:spacing w:val="20"/>
                <w:sz w:val="24"/>
                <w:szCs w:val="24"/>
                <w:highlight w:val="none"/>
                <w:lang w:val="en-US" w:eastAsia="zh-CN"/>
              </w:rPr>
              <w:t>单价报价：</w:t>
            </w:r>
            <w:r>
              <w:rPr>
                <w:rFonts w:hint="eastAsia" w:ascii="仿宋" w:hAnsi="仿宋" w:eastAsia="仿宋" w:cs="仿宋"/>
                <w:color w:val="auto"/>
                <w:spacing w:val="20"/>
                <w:sz w:val="24"/>
                <w:szCs w:val="24"/>
                <w:highlight w:val="none"/>
                <w:u w:val="single"/>
                <w:lang w:val="en-US" w:eastAsia="zh-CN"/>
              </w:rPr>
              <w:t xml:space="preserve">   元</w:t>
            </w:r>
          </w:p>
        </w:tc>
        <w:tc>
          <w:tcPr>
            <w:tcW w:w="2381" w:type="dxa"/>
            <w:noWrap w:val="0"/>
            <w:vAlign w:val="center"/>
          </w:tcPr>
          <w:p>
            <w:pPr>
              <w:rPr>
                <w:rFonts w:hint="eastAsia" w:ascii="仿宋" w:hAnsi="仿宋" w:eastAsia="仿宋" w:cs="仿宋"/>
                <w:color w:val="auto"/>
                <w:spacing w:val="20"/>
                <w:sz w:val="24"/>
                <w:szCs w:val="24"/>
                <w:highlight w:val="none"/>
              </w:rPr>
            </w:pPr>
          </w:p>
        </w:tc>
      </w:tr>
    </w:tbl>
    <w:p>
      <w:pPr>
        <w:rPr>
          <w:rFonts w:hint="eastAsia" w:ascii="仿宋" w:hAnsi="仿宋" w:eastAsia="仿宋" w:cs="仿宋"/>
          <w:color w:val="auto"/>
          <w:spacing w:val="20"/>
          <w:szCs w:val="21"/>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报价内容均涵盖报价要求之一切费用和伴随服务及税金等其他所有费用。</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名称（盖章）：</w:t>
      </w:r>
      <w:r>
        <w:rPr>
          <w:rFonts w:hint="eastAsia" w:ascii="仿宋" w:hAnsi="仿宋" w:eastAsia="仿宋" w:cs="仿宋"/>
          <w:color w:val="auto"/>
          <w:sz w:val="24"/>
          <w:highlight w:val="none"/>
          <w:u w:val="single"/>
        </w:rPr>
        <w:t xml:space="preserve">                        </w:t>
      </w:r>
    </w:p>
    <w:p>
      <w:pPr>
        <w:rPr>
          <w:rFonts w:hint="eastAsia" w:ascii="仿宋" w:hAnsi="仿宋" w:eastAsia="仿宋" w:cs="仿宋"/>
          <w:b/>
          <w:bCs/>
          <w:color w:val="auto"/>
          <w:sz w:val="28"/>
          <w:szCs w:val="28"/>
          <w:highlight w:val="none"/>
        </w:rPr>
      </w:pPr>
      <w:r>
        <w:rPr>
          <w:rFonts w:hint="eastAsia" w:ascii="仿宋" w:hAnsi="仿宋" w:eastAsia="仿宋" w:cs="仿宋"/>
          <w:color w:val="auto"/>
          <w:sz w:val="24"/>
          <w:highlight w:val="none"/>
        </w:rPr>
        <w:t>日期：   年   月   日</w:t>
      </w:r>
    </w:p>
    <w:p>
      <w:pPr>
        <w:rPr>
          <w:color w:val="auto"/>
          <w:highlight w:val="none"/>
        </w:rPr>
      </w:pPr>
    </w:p>
    <w:p>
      <w:pPr>
        <w:pStyle w:val="3"/>
        <w:rPr>
          <w:rFonts w:hint="eastAsia"/>
          <w:color w:val="auto"/>
          <w:highlight w:val="none"/>
        </w:rPr>
      </w:pPr>
    </w:p>
    <w:sectPr>
      <w:footerReference r:id="rId6" w:type="default"/>
      <w:pgSz w:w="11906" w:h="16838"/>
      <w:pgMar w:top="1440" w:right="1797" w:bottom="1440" w:left="1797" w:header="851" w:footer="992" w:gutter="0"/>
      <w:pgNumType w:fmt="decimal"/>
      <w:cols w:space="720" w:num="1"/>
      <w:docGrid w:type="linesAndChars" w:linePitch="319"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仿宋_GBK">
    <w:altName w:val="Arial Unicode MS"/>
    <w:panose1 w:val="03000509000000000000"/>
    <w:charset w:val="86"/>
    <w:family w:val="auto"/>
    <w:pitch w:val="default"/>
    <w:sig w:usb0="00000000" w:usb1="00000000" w:usb2="00000000" w:usb3="00000000" w:csb0="00000000" w:csb1="00000000"/>
  </w:font>
  <w:font w:name="..ì.">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FangSong_GB2312-Identity-H">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62</w:t>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35</w:t>
                          </w:r>
                          <w:r>
                            <w:fldChar w:fldCharType="end"/>
                          </w:r>
                          <w:r>
                            <w:t xml:space="preserve"> 页 共 </w:t>
                          </w:r>
                          <w:r>
                            <w:rPr>
                              <w:rFonts w:hint="eastAsia"/>
                              <w:lang w:val="en-US" w:eastAsia="zh-CN"/>
                            </w:rPr>
                            <w:t>62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35</w:t>
                    </w:r>
                    <w:r>
                      <w:fldChar w:fldCharType="end"/>
                    </w:r>
                    <w:r>
                      <w:t xml:space="preserve"> 页 共 </w:t>
                    </w:r>
                    <w:r>
                      <w:rPr>
                        <w:rFonts w:hint="eastAsia"/>
                        <w:lang w:val="en-US" w:eastAsia="zh-CN"/>
                      </w:rPr>
                      <w:t>62</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209548"/>
    <w:multiLevelType w:val="singleLevel"/>
    <w:tmpl w:val="C6209548"/>
    <w:lvl w:ilvl="0" w:tentative="0">
      <w:start w:val="2"/>
      <w:numFmt w:val="decimal"/>
      <w:lvlText w:val="%1."/>
      <w:lvlJc w:val="left"/>
      <w:pPr>
        <w:tabs>
          <w:tab w:val="left" w:pos="312"/>
        </w:tabs>
      </w:pPr>
    </w:lvl>
  </w:abstractNum>
  <w:abstractNum w:abstractNumId="1">
    <w:nsid w:val="DAA41725"/>
    <w:multiLevelType w:val="singleLevel"/>
    <w:tmpl w:val="DAA41725"/>
    <w:lvl w:ilvl="0" w:tentative="0">
      <w:start w:val="1"/>
      <w:numFmt w:val="lowerLetter"/>
      <w:lvlText w:val="%1."/>
      <w:lvlJc w:val="left"/>
      <w:pPr>
        <w:tabs>
          <w:tab w:val="left" w:pos="312"/>
        </w:tabs>
      </w:pPr>
    </w:lvl>
  </w:abstractNum>
  <w:abstractNum w:abstractNumId="2">
    <w:nsid w:val="EAB18A66"/>
    <w:multiLevelType w:val="singleLevel"/>
    <w:tmpl w:val="EAB18A66"/>
    <w:lvl w:ilvl="0" w:tentative="0">
      <w:start w:val="1"/>
      <w:numFmt w:val="chineseCounting"/>
      <w:suff w:val="nothing"/>
      <w:lvlText w:val="%1、"/>
      <w:lvlJc w:val="left"/>
      <w:rPr>
        <w:rFonts w:hint="eastAsia"/>
      </w:rPr>
    </w:lvl>
  </w:abstractNum>
  <w:abstractNum w:abstractNumId="3">
    <w:nsid w:val="130F79A2"/>
    <w:multiLevelType w:val="singleLevel"/>
    <w:tmpl w:val="130F79A2"/>
    <w:lvl w:ilvl="0" w:tentative="0">
      <w:start w:val="1"/>
      <w:numFmt w:val="decimal"/>
      <w:suff w:val="nothing"/>
      <w:lvlText w:val="（%1）"/>
      <w:lvlJc w:val="left"/>
    </w:lvl>
  </w:abstractNum>
  <w:abstractNum w:abstractNumId="4">
    <w:nsid w:val="53BE6FC0"/>
    <w:multiLevelType w:val="multilevel"/>
    <w:tmpl w:val="53BE6FC0"/>
    <w:lvl w:ilvl="0" w:tentative="0">
      <w:start w:val="1"/>
      <w:numFmt w:val="decimal"/>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pStyle w:val="29"/>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5">
    <w:nsid w:val="569C8C25"/>
    <w:multiLevelType w:val="singleLevel"/>
    <w:tmpl w:val="569C8C25"/>
    <w:lvl w:ilvl="0" w:tentative="0">
      <w:start w:val="1"/>
      <w:numFmt w:val="chineseCounting"/>
      <w:suff w:val="nothing"/>
      <w:lvlText w:val="%1、"/>
      <w:lvlJc w:val="left"/>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jYWY3NGVjY2U2ZGVkYTVjYWFjMGM0MjJhNWVhMDEifQ=="/>
  </w:docVars>
  <w:rsids>
    <w:rsidRoot w:val="449F6876"/>
    <w:rsid w:val="005165FD"/>
    <w:rsid w:val="00C811B6"/>
    <w:rsid w:val="00CC31D5"/>
    <w:rsid w:val="02EA0F9D"/>
    <w:rsid w:val="0322105C"/>
    <w:rsid w:val="03511E45"/>
    <w:rsid w:val="04373926"/>
    <w:rsid w:val="043D6A36"/>
    <w:rsid w:val="04F27347"/>
    <w:rsid w:val="050504ED"/>
    <w:rsid w:val="050C5845"/>
    <w:rsid w:val="05384A2A"/>
    <w:rsid w:val="06173F4A"/>
    <w:rsid w:val="06804B80"/>
    <w:rsid w:val="06A72D4F"/>
    <w:rsid w:val="0718185F"/>
    <w:rsid w:val="078B5EF9"/>
    <w:rsid w:val="07EF7F11"/>
    <w:rsid w:val="08A65FC6"/>
    <w:rsid w:val="08B34CCA"/>
    <w:rsid w:val="08C12090"/>
    <w:rsid w:val="08EF1015"/>
    <w:rsid w:val="08FA5832"/>
    <w:rsid w:val="092818F6"/>
    <w:rsid w:val="099E252A"/>
    <w:rsid w:val="0A6845A4"/>
    <w:rsid w:val="0AC205B2"/>
    <w:rsid w:val="0BE55BC6"/>
    <w:rsid w:val="0C7D02D4"/>
    <w:rsid w:val="0DA919F1"/>
    <w:rsid w:val="0DED34CC"/>
    <w:rsid w:val="0DFE786B"/>
    <w:rsid w:val="0EF67EF4"/>
    <w:rsid w:val="0F261946"/>
    <w:rsid w:val="0F4F34AD"/>
    <w:rsid w:val="0F723566"/>
    <w:rsid w:val="0FFF6B0C"/>
    <w:rsid w:val="101137C7"/>
    <w:rsid w:val="101E1C3F"/>
    <w:rsid w:val="10EE6D80"/>
    <w:rsid w:val="11E40B43"/>
    <w:rsid w:val="12384A45"/>
    <w:rsid w:val="126158DC"/>
    <w:rsid w:val="132B3A46"/>
    <w:rsid w:val="137600AD"/>
    <w:rsid w:val="13B54DA6"/>
    <w:rsid w:val="13CD3961"/>
    <w:rsid w:val="14612340"/>
    <w:rsid w:val="150116ED"/>
    <w:rsid w:val="15E56E23"/>
    <w:rsid w:val="16C82828"/>
    <w:rsid w:val="1708202B"/>
    <w:rsid w:val="173734C0"/>
    <w:rsid w:val="18A67FFA"/>
    <w:rsid w:val="18E60586"/>
    <w:rsid w:val="19151B6E"/>
    <w:rsid w:val="197676ED"/>
    <w:rsid w:val="1A1D683D"/>
    <w:rsid w:val="1A2D037C"/>
    <w:rsid w:val="1AA35274"/>
    <w:rsid w:val="1B7013CA"/>
    <w:rsid w:val="1B7A599F"/>
    <w:rsid w:val="1BED4AA1"/>
    <w:rsid w:val="1C160CD0"/>
    <w:rsid w:val="1C287588"/>
    <w:rsid w:val="1C2B4657"/>
    <w:rsid w:val="1CE52CD3"/>
    <w:rsid w:val="1D5318D7"/>
    <w:rsid w:val="1DE70957"/>
    <w:rsid w:val="1E257DEB"/>
    <w:rsid w:val="1E41072F"/>
    <w:rsid w:val="1EA27C15"/>
    <w:rsid w:val="1FED5642"/>
    <w:rsid w:val="20012DC3"/>
    <w:rsid w:val="20B37B6D"/>
    <w:rsid w:val="21310E86"/>
    <w:rsid w:val="216860BA"/>
    <w:rsid w:val="222C5CBD"/>
    <w:rsid w:val="23052BAC"/>
    <w:rsid w:val="232C53BF"/>
    <w:rsid w:val="238661DD"/>
    <w:rsid w:val="238E17C4"/>
    <w:rsid w:val="248F7BB2"/>
    <w:rsid w:val="25391734"/>
    <w:rsid w:val="253A7A5F"/>
    <w:rsid w:val="260312FD"/>
    <w:rsid w:val="2663167A"/>
    <w:rsid w:val="271909D4"/>
    <w:rsid w:val="27C32587"/>
    <w:rsid w:val="289D1B1A"/>
    <w:rsid w:val="28B82AAC"/>
    <w:rsid w:val="290D3C92"/>
    <w:rsid w:val="29950655"/>
    <w:rsid w:val="29D57087"/>
    <w:rsid w:val="2A75610D"/>
    <w:rsid w:val="2B693787"/>
    <w:rsid w:val="2B981D7E"/>
    <w:rsid w:val="2C954FA0"/>
    <w:rsid w:val="2D143162"/>
    <w:rsid w:val="2D7228A9"/>
    <w:rsid w:val="2E291284"/>
    <w:rsid w:val="2EE73701"/>
    <w:rsid w:val="2FD8527D"/>
    <w:rsid w:val="2FFA169A"/>
    <w:rsid w:val="30474334"/>
    <w:rsid w:val="307A3688"/>
    <w:rsid w:val="315018ED"/>
    <w:rsid w:val="31C22C9A"/>
    <w:rsid w:val="32AE0734"/>
    <w:rsid w:val="32B17D82"/>
    <w:rsid w:val="337B5F22"/>
    <w:rsid w:val="33E91CAC"/>
    <w:rsid w:val="34812166"/>
    <w:rsid w:val="35517D5A"/>
    <w:rsid w:val="37B66F2C"/>
    <w:rsid w:val="37F35CB8"/>
    <w:rsid w:val="381625A9"/>
    <w:rsid w:val="3848252F"/>
    <w:rsid w:val="389507B8"/>
    <w:rsid w:val="390B7E6F"/>
    <w:rsid w:val="39B04B60"/>
    <w:rsid w:val="39DA5CFF"/>
    <w:rsid w:val="3A3A368A"/>
    <w:rsid w:val="3AD24772"/>
    <w:rsid w:val="3B595F90"/>
    <w:rsid w:val="3B9F744E"/>
    <w:rsid w:val="3C4F17D1"/>
    <w:rsid w:val="3D2319EA"/>
    <w:rsid w:val="3D5C5958"/>
    <w:rsid w:val="3E3A2BAC"/>
    <w:rsid w:val="3E692AE5"/>
    <w:rsid w:val="3F4A39C9"/>
    <w:rsid w:val="3F960F9D"/>
    <w:rsid w:val="401C18D8"/>
    <w:rsid w:val="40594A4D"/>
    <w:rsid w:val="405D2682"/>
    <w:rsid w:val="409639D8"/>
    <w:rsid w:val="40D432B0"/>
    <w:rsid w:val="41093F35"/>
    <w:rsid w:val="416F7CDC"/>
    <w:rsid w:val="424F4345"/>
    <w:rsid w:val="43F77DF4"/>
    <w:rsid w:val="43FC5637"/>
    <w:rsid w:val="445350CD"/>
    <w:rsid w:val="44751183"/>
    <w:rsid w:val="4491763B"/>
    <w:rsid w:val="44924A18"/>
    <w:rsid w:val="449F6876"/>
    <w:rsid w:val="458C51DB"/>
    <w:rsid w:val="45B222C8"/>
    <w:rsid w:val="46EA3B5B"/>
    <w:rsid w:val="48363B92"/>
    <w:rsid w:val="483E2A55"/>
    <w:rsid w:val="48623B4F"/>
    <w:rsid w:val="4942417A"/>
    <w:rsid w:val="49B972DC"/>
    <w:rsid w:val="49C93B6A"/>
    <w:rsid w:val="4B863241"/>
    <w:rsid w:val="4C9F6783"/>
    <w:rsid w:val="4D166BA1"/>
    <w:rsid w:val="4DF0007C"/>
    <w:rsid w:val="4E2673A0"/>
    <w:rsid w:val="4E3B35EF"/>
    <w:rsid w:val="4EC42F27"/>
    <w:rsid w:val="4ED83812"/>
    <w:rsid w:val="4EF705F4"/>
    <w:rsid w:val="4F495646"/>
    <w:rsid w:val="4FBC6DBE"/>
    <w:rsid w:val="508179FB"/>
    <w:rsid w:val="51587D1E"/>
    <w:rsid w:val="51B83946"/>
    <w:rsid w:val="524F4ADF"/>
    <w:rsid w:val="533569B5"/>
    <w:rsid w:val="534A4264"/>
    <w:rsid w:val="54496EAF"/>
    <w:rsid w:val="54C95BF3"/>
    <w:rsid w:val="54ED4AD3"/>
    <w:rsid w:val="55327FDB"/>
    <w:rsid w:val="55350B99"/>
    <w:rsid w:val="55B10DE2"/>
    <w:rsid w:val="55BC3DB6"/>
    <w:rsid w:val="56102C99"/>
    <w:rsid w:val="56D31450"/>
    <w:rsid w:val="56D561C2"/>
    <w:rsid w:val="58833643"/>
    <w:rsid w:val="588558E4"/>
    <w:rsid w:val="58EE4A0B"/>
    <w:rsid w:val="59533F81"/>
    <w:rsid w:val="59A45332"/>
    <w:rsid w:val="59A920AE"/>
    <w:rsid w:val="59B13BF9"/>
    <w:rsid w:val="59B43A05"/>
    <w:rsid w:val="59CA5315"/>
    <w:rsid w:val="5A21355F"/>
    <w:rsid w:val="5B394754"/>
    <w:rsid w:val="5B675224"/>
    <w:rsid w:val="5C2A33AA"/>
    <w:rsid w:val="5C3B5B8F"/>
    <w:rsid w:val="5C7B0139"/>
    <w:rsid w:val="5C974C50"/>
    <w:rsid w:val="5CC3532D"/>
    <w:rsid w:val="5D821F4F"/>
    <w:rsid w:val="5E7E640C"/>
    <w:rsid w:val="5EAF43A2"/>
    <w:rsid w:val="5F8B67C1"/>
    <w:rsid w:val="5FBE63DC"/>
    <w:rsid w:val="602F7491"/>
    <w:rsid w:val="61077FAC"/>
    <w:rsid w:val="616429B0"/>
    <w:rsid w:val="61B72B2A"/>
    <w:rsid w:val="61E46992"/>
    <w:rsid w:val="625D3501"/>
    <w:rsid w:val="6264221D"/>
    <w:rsid w:val="62C11706"/>
    <w:rsid w:val="636A7971"/>
    <w:rsid w:val="63C9105B"/>
    <w:rsid w:val="644C5C91"/>
    <w:rsid w:val="64CB017B"/>
    <w:rsid w:val="65977FBC"/>
    <w:rsid w:val="66853297"/>
    <w:rsid w:val="669F7DCF"/>
    <w:rsid w:val="67474E70"/>
    <w:rsid w:val="691E7386"/>
    <w:rsid w:val="692B247F"/>
    <w:rsid w:val="69E00CE0"/>
    <w:rsid w:val="6A232802"/>
    <w:rsid w:val="6A463319"/>
    <w:rsid w:val="6A79792E"/>
    <w:rsid w:val="6B32518D"/>
    <w:rsid w:val="6D9014E4"/>
    <w:rsid w:val="6EE0020C"/>
    <w:rsid w:val="6F6754A4"/>
    <w:rsid w:val="70AE4CB7"/>
    <w:rsid w:val="70CB230C"/>
    <w:rsid w:val="711D41EA"/>
    <w:rsid w:val="71394295"/>
    <w:rsid w:val="71D208DB"/>
    <w:rsid w:val="7311539A"/>
    <w:rsid w:val="731D32F3"/>
    <w:rsid w:val="743D134F"/>
    <w:rsid w:val="745368A0"/>
    <w:rsid w:val="74B16424"/>
    <w:rsid w:val="74E40C2F"/>
    <w:rsid w:val="74EC2316"/>
    <w:rsid w:val="752A5DBA"/>
    <w:rsid w:val="757147F7"/>
    <w:rsid w:val="775C1F10"/>
    <w:rsid w:val="78962F61"/>
    <w:rsid w:val="78EF6C73"/>
    <w:rsid w:val="79E54469"/>
    <w:rsid w:val="7A7C0FE8"/>
    <w:rsid w:val="7B0A6D7A"/>
    <w:rsid w:val="7B0D31C6"/>
    <w:rsid w:val="7B334809"/>
    <w:rsid w:val="7C3020E6"/>
    <w:rsid w:val="7C6D4A29"/>
    <w:rsid w:val="7C9154C3"/>
    <w:rsid w:val="7D8940C5"/>
    <w:rsid w:val="7D9760C0"/>
    <w:rsid w:val="7E4A68BE"/>
    <w:rsid w:val="7E7B3FC7"/>
    <w:rsid w:val="7EC51C41"/>
    <w:rsid w:val="7EE86361"/>
    <w:rsid w:val="7F564889"/>
    <w:rsid w:val="7FCF793A"/>
    <w:rsid w:val="7FD22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5">
    <w:name w:val="heading 6"/>
    <w:basedOn w:val="1"/>
    <w:next w:val="1"/>
    <w:qFormat/>
    <w:uiPriority w:val="0"/>
    <w:pPr>
      <w:keepNext/>
      <w:keepLines/>
      <w:spacing w:before="240" w:beforeLines="0" w:after="64" w:afterLines="0" w:line="317" w:lineRule="auto"/>
      <w:outlineLvl w:val="5"/>
    </w:pPr>
    <w:rPr>
      <w:rFonts w:ascii="Arial" w:hAnsi="Arial" w:eastAsia="黑体"/>
      <w:b/>
      <w:bCs/>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Normal Indent"/>
    <w:basedOn w:val="1"/>
    <w:next w:val="1"/>
    <w:qFormat/>
    <w:uiPriority w:val="0"/>
    <w:pPr>
      <w:ind w:firstLine="420"/>
    </w:pPr>
    <w:rPr>
      <w:szCs w:val="20"/>
    </w:rPr>
  </w:style>
  <w:style w:type="paragraph" w:styleId="7">
    <w:name w:val="caption"/>
    <w:basedOn w:val="1"/>
    <w:next w:val="1"/>
    <w:qFormat/>
    <w:uiPriority w:val="0"/>
    <w:rPr>
      <w:rFonts w:ascii="Cambria" w:hAnsi="Cambria" w:eastAsia="黑体" w:cs="Times New Roman"/>
      <w:sz w:val="20"/>
      <w:szCs w:val="20"/>
    </w:rPr>
  </w:style>
  <w:style w:type="paragraph" w:styleId="8">
    <w:name w:val="annotation text"/>
    <w:basedOn w:val="1"/>
    <w:qFormat/>
    <w:uiPriority w:val="0"/>
    <w:pPr>
      <w:jc w:val="left"/>
    </w:pPr>
  </w:style>
  <w:style w:type="paragraph" w:styleId="9">
    <w:name w:val="Body Text 3"/>
    <w:basedOn w:val="1"/>
    <w:qFormat/>
    <w:uiPriority w:val="0"/>
    <w:pPr>
      <w:spacing w:after="120"/>
    </w:pPr>
    <w:rPr>
      <w:sz w:val="16"/>
      <w:szCs w:val="16"/>
    </w:r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qFormat/>
    <w:uiPriority w:val="0"/>
  </w:style>
  <w:style w:type="paragraph" w:styleId="14">
    <w:name w:val="index heading"/>
    <w:basedOn w:val="1"/>
    <w:next w:val="15"/>
    <w:qFormat/>
    <w:uiPriority w:val="0"/>
    <w:rPr>
      <w:szCs w:val="20"/>
    </w:rPr>
  </w:style>
  <w:style w:type="paragraph" w:styleId="15">
    <w:name w:val="index 1"/>
    <w:basedOn w:val="1"/>
    <w:next w:val="1"/>
    <w:qFormat/>
    <w:uiPriority w:val="0"/>
  </w:style>
  <w:style w:type="paragraph" w:styleId="16">
    <w:name w:val="Normal (Web)"/>
    <w:basedOn w:val="1"/>
    <w:qFormat/>
    <w:uiPriority w:val="0"/>
    <w:pPr>
      <w:widowControl/>
      <w:spacing w:before="100" w:beforeAutospacing="1" w:after="100" w:afterAutospacing="1"/>
      <w:jc w:val="left"/>
    </w:pPr>
    <w:rPr>
      <w:kern w:val="0"/>
      <w:sz w:val="24"/>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paragraph" w:customStyle="1" w:styleId="21">
    <w:name w:val="Quote"/>
    <w:next w:val="1"/>
    <w:qFormat/>
    <w:uiPriority w:val="99"/>
    <w:pPr>
      <w:widowControl w:val="0"/>
      <w:jc w:val="both"/>
    </w:pPr>
    <w:rPr>
      <w:rFonts w:ascii="Calibri" w:hAnsi="Calibri" w:eastAsia="宋体" w:cs="Calibri"/>
      <w:i/>
      <w:iCs/>
      <w:color w:val="000000"/>
      <w:kern w:val="2"/>
      <w:sz w:val="22"/>
      <w:szCs w:val="22"/>
      <w:lang w:val="en-US" w:eastAsia="zh-CN" w:bidi="ar-SA"/>
    </w:rPr>
  </w:style>
  <w:style w:type="paragraph" w:customStyle="1" w:styleId="22">
    <w:name w:val="无间隔1"/>
    <w:qFormat/>
    <w:uiPriority w:val="0"/>
    <w:rPr>
      <w:rFonts w:ascii="Times New Roman" w:hAnsi="Times New Roman" w:eastAsia="宋体" w:cs="Times New Roman"/>
      <w:sz w:val="22"/>
      <w:szCs w:val="22"/>
      <w:lang w:val="en-US" w:eastAsia="zh-CN" w:bidi="ar-SA"/>
    </w:rPr>
  </w:style>
  <w:style w:type="paragraph" w:customStyle="1" w:styleId="23">
    <w:name w:val="No Spacing1"/>
    <w:qFormat/>
    <w:uiPriority w:val="0"/>
    <w:pPr>
      <w:adjustRightInd w:val="0"/>
      <w:snapToGrid w:val="0"/>
    </w:pPr>
    <w:rPr>
      <w:rFonts w:ascii="Tahoma" w:hAnsi="Tahoma" w:eastAsia="微软雅黑" w:cs="Tahoma"/>
      <w:sz w:val="22"/>
      <w:szCs w:val="22"/>
      <w:lang w:val="en-US" w:eastAsia="zh-CN" w:bidi="ar-SA"/>
    </w:rPr>
  </w:style>
  <w:style w:type="paragraph" w:customStyle="1" w:styleId="24">
    <w:name w:val="表格文字"/>
    <w:basedOn w:val="1"/>
    <w:qFormat/>
    <w:uiPriority w:val="0"/>
    <w:pPr>
      <w:spacing w:before="25" w:after="25"/>
      <w:jc w:val="left"/>
    </w:pPr>
    <w:rPr>
      <w:bCs/>
      <w:spacing w:val="10"/>
      <w:kern w:val="0"/>
      <w:sz w:val="24"/>
      <w:szCs w:val="20"/>
    </w:rPr>
  </w:style>
  <w:style w:type="paragraph" w:customStyle="1" w:styleId="2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6">
    <w:name w:val="null3"/>
    <w:qFormat/>
    <w:uiPriority w:val="0"/>
    <w:rPr>
      <w:rFonts w:hint="eastAsia" w:ascii="Calibri" w:hAnsi="Calibri" w:eastAsia="宋体" w:cs="Times New Roman"/>
      <w:lang w:val="en-US" w:eastAsia="zh-Hans"/>
    </w:rPr>
  </w:style>
  <w:style w:type="paragraph" w:customStyle="1" w:styleId="27">
    <w:name w:val="题注4"/>
    <w:basedOn w:val="1"/>
    <w:next w:val="7"/>
    <w:qFormat/>
    <w:uiPriority w:val="0"/>
    <w:pPr>
      <w:ind w:left="-132" w:leftChars="-64" w:right="-105" w:rightChars="-50" w:hanging="2"/>
      <w:jc w:val="center"/>
    </w:pPr>
    <w:rPr>
      <w:b/>
      <w:color w:val="FF0000"/>
      <w:szCs w:val="21"/>
      <w:lang w:val="en-GB"/>
    </w:rPr>
  </w:style>
  <w:style w:type="character" w:customStyle="1" w:styleId="28">
    <w:name w:val="font81"/>
    <w:basedOn w:val="19"/>
    <w:qFormat/>
    <w:uiPriority w:val="0"/>
    <w:rPr>
      <w:rFonts w:hint="eastAsia" w:ascii="方正仿宋_GBK" w:hAnsi="方正仿宋_GBK" w:eastAsia="方正仿宋_GBK" w:cs="方正仿宋_GBK"/>
      <w:color w:val="000000"/>
      <w:sz w:val="20"/>
      <w:szCs w:val="20"/>
      <w:u w:val="none"/>
    </w:rPr>
  </w:style>
  <w:style w:type="paragraph" w:customStyle="1" w:styleId="29">
    <w:name w:val="Default"/>
    <w:qFormat/>
    <w:uiPriority w:val="0"/>
    <w:pPr>
      <w:widowControl w:val="0"/>
      <w:numPr>
        <w:ilvl w:val="2"/>
        <w:numId w:val="1"/>
      </w:numPr>
      <w:tabs>
        <w:tab w:val="clear" w:pos="1259"/>
      </w:tabs>
      <w:autoSpaceDE w:val="0"/>
      <w:autoSpaceDN w:val="0"/>
      <w:adjustRightInd w:val="0"/>
      <w:ind w:left="0" w:firstLine="0"/>
    </w:pPr>
    <w:rPr>
      <w:rFonts w:ascii="..ì." w:hAnsi="Times New Roman" w:eastAsia="..ì." w:cs="..ì."/>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31054</Words>
  <Characters>32059</Characters>
  <Lines>0</Lines>
  <Paragraphs>0</Paragraphs>
  <TotalTime>19</TotalTime>
  <ScaleCrop>false</ScaleCrop>
  <LinksUpToDate>false</LinksUpToDate>
  <CharactersWithSpaces>34016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2023-01-29T01:46:00Z</dcterms:created>
  <dc:creator>Mao</dc:creator>
  <cp:lastModifiedBy>Mao</cp:lastModifiedBy>
  <cp:lastPrinted>2023-02-16T00:46:00Z</cp:lastPrinted>
  <dcterms:modified xsi:type="dcterms:W3CDTF">2026-02-02T02:37:54Z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D3E479135CD34CF1AC0C732B67095F05</vt:lpwstr>
  </property>
</Properties>
</file>