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ZCB-YN-2024008</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电子病历系统接口开发服务采购项目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六</w:t>
      </w:r>
      <w:r>
        <w:rPr>
          <w:rFonts w:hint="eastAsia" w:ascii="仿宋" w:hAnsi="仿宋" w:eastAsia="仿宋" w:cs="仿宋"/>
          <w:b/>
          <w:snapToGrid w:val="0"/>
          <w:color w:val="auto"/>
          <w:kern w:val="0"/>
          <w:sz w:val="28"/>
          <w:szCs w:val="28"/>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9"/>
        <w:rPr>
          <w:rFonts w:hint="eastAsia"/>
          <w:color w:val="auto"/>
          <w:highlight w:val="none"/>
          <w:lang w:eastAsia="zh-CN"/>
        </w:rPr>
      </w:pPr>
    </w:p>
    <w:p>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惠州市第一妇幼保健院电子病历系统接口开发服务采购项目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一、项目编号：</w:t>
      </w:r>
      <w:r>
        <w:rPr>
          <w:rFonts w:hint="eastAsia" w:ascii="仿宋" w:hAnsi="仿宋" w:eastAsia="仿宋" w:cs="仿宋"/>
          <w:color w:val="auto"/>
          <w:sz w:val="24"/>
          <w:highlight w:val="none"/>
          <w:lang w:val="zh-CN" w:eastAsia="zh-CN"/>
        </w:rPr>
        <w:t>ZCB-YN-2024008</w:t>
      </w:r>
    </w:p>
    <w:p>
      <w:pPr>
        <w:autoSpaceDE w:val="0"/>
        <w:autoSpaceDN w:val="0"/>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二、项目名称：</w:t>
      </w:r>
      <w:r>
        <w:rPr>
          <w:rFonts w:hint="eastAsia" w:ascii="仿宋" w:hAnsi="仿宋" w:eastAsia="仿宋" w:cs="仿宋"/>
          <w:color w:val="auto"/>
          <w:sz w:val="24"/>
          <w:highlight w:val="none"/>
          <w:lang w:val="zh-CN" w:eastAsia="zh-CN"/>
        </w:rPr>
        <w:t>惠州市第一妇幼保健院电子病历系统接口开发服务采购项目</w:t>
      </w:r>
    </w:p>
    <w:p>
      <w:pPr>
        <w:autoSpaceDE w:val="0"/>
        <w:autoSpaceDN w:val="0"/>
        <w:spacing w:line="42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w:t>
      </w:r>
      <w:r>
        <w:rPr>
          <w:rFonts w:hint="eastAsia" w:ascii="仿宋" w:hAnsi="仿宋" w:eastAsia="仿宋" w:cs="仿宋"/>
          <w:color w:val="auto"/>
          <w:sz w:val="24"/>
          <w:highlight w:val="none"/>
          <w:lang w:val="zh-CN" w:eastAsia="zh-CN"/>
        </w:rPr>
        <w:t>项目概况</w:t>
      </w:r>
      <w:r>
        <w:rPr>
          <w:rFonts w:hint="eastAsia" w:ascii="仿宋" w:hAnsi="仿宋" w:eastAsia="仿宋" w:cs="仿宋"/>
          <w:color w:val="auto"/>
          <w:sz w:val="24"/>
          <w:highlight w:val="none"/>
          <w:lang w:val="zh-CN"/>
        </w:rPr>
        <w:t>：</w:t>
      </w:r>
    </w:p>
    <w:p>
      <w:pPr>
        <w:autoSpaceDE w:val="0"/>
        <w:autoSpaceDN w:val="0"/>
        <w:spacing w:line="420" w:lineRule="exact"/>
        <w:ind w:firstLine="480" w:firstLineChars="200"/>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项目</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val="zh-CN"/>
        </w:rPr>
        <w:t>内容</w:t>
      </w:r>
    </w:p>
    <w:p>
      <w:pPr>
        <w:pStyle w:val="9"/>
        <w:rPr>
          <w:rFonts w:hint="eastAsia"/>
          <w:color w:val="auto"/>
          <w:highlight w:val="none"/>
          <w:lang w:val="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04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73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序号</w:t>
            </w:r>
          </w:p>
        </w:tc>
        <w:tc>
          <w:tcPr>
            <w:tcW w:w="204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模块名称</w:t>
            </w:r>
          </w:p>
        </w:tc>
        <w:tc>
          <w:tcPr>
            <w:tcW w:w="6522"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3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1</w:t>
            </w:r>
          </w:p>
        </w:tc>
        <w:tc>
          <w:tcPr>
            <w:tcW w:w="204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无纸化病案归档系统质控功能</w:t>
            </w:r>
          </w:p>
        </w:tc>
        <w:tc>
          <w:tcPr>
            <w:tcW w:w="6522"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增加</w:t>
            </w:r>
            <w:r>
              <w:rPr>
                <w:rFonts w:hint="eastAsia" w:ascii="仿宋" w:hAnsi="仿宋" w:eastAsia="仿宋" w:cs="仿宋"/>
                <w:color w:val="auto"/>
                <w:kern w:val="2"/>
                <w:sz w:val="24"/>
                <w:szCs w:val="24"/>
                <w:highlight w:val="none"/>
                <w:lang w:val="zh-CN" w:eastAsia="zh-CN" w:bidi="ar-SA"/>
              </w:rPr>
              <w:t>电子病历系统（</w:t>
            </w:r>
            <w:r>
              <w:rPr>
                <w:rFonts w:hint="eastAsia" w:ascii="仿宋" w:hAnsi="仿宋" w:eastAsia="仿宋" w:cs="仿宋"/>
                <w:color w:val="auto"/>
                <w:kern w:val="2"/>
                <w:sz w:val="24"/>
                <w:szCs w:val="24"/>
                <w:highlight w:val="none"/>
                <w:lang w:val="en-US" w:eastAsia="zh-CN" w:bidi="ar-SA"/>
              </w:rPr>
              <w:t>V6.1</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内子系统，即</w:t>
            </w:r>
            <w:r>
              <w:rPr>
                <w:rFonts w:hint="default" w:ascii="仿宋" w:hAnsi="仿宋" w:eastAsia="仿宋" w:cs="仿宋"/>
                <w:color w:val="auto"/>
                <w:kern w:val="2"/>
                <w:sz w:val="24"/>
                <w:szCs w:val="24"/>
                <w:highlight w:val="none"/>
                <w:lang w:val="zh-CN" w:eastAsia="zh-CN" w:bidi="ar-SA"/>
              </w:rPr>
              <w:t>无纸化病案归档系统</w:t>
            </w:r>
            <w:r>
              <w:rPr>
                <w:rFonts w:hint="eastAsia" w:ascii="仿宋" w:hAnsi="仿宋" w:eastAsia="仿宋" w:cs="仿宋"/>
                <w:color w:val="auto"/>
                <w:kern w:val="2"/>
                <w:sz w:val="24"/>
                <w:szCs w:val="24"/>
                <w:highlight w:val="none"/>
                <w:lang w:val="en-US" w:eastAsia="zh-CN" w:bidi="ar-SA"/>
              </w:rPr>
              <w:t>的</w:t>
            </w:r>
            <w:r>
              <w:rPr>
                <w:rFonts w:hint="default" w:ascii="仿宋" w:hAnsi="仿宋" w:eastAsia="仿宋" w:cs="仿宋"/>
                <w:color w:val="auto"/>
                <w:kern w:val="2"/>
                <w:sz w:val="24"/>
                <w:szCs w:val="24"/>
                <w:highlight w:val="none"/>
                <w:lang w:val="zh-CN" w:eastAsia="zh-CN" w:bidi="ar-SA"/>
              </w:rPr>
              <w:t>质控功能模块，包括质控缺陷项目配置、质控功能、医生返修功能、质控追踪功能等。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3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2</w:t>
            </w:r>
          </w:p>
        </w:tc>
        <w:tc>
          <w:tcPr>
            <w:tcW w:w="2040"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电子病历与合理用药系统对接改造</w:t>
            </w:r>
          </w:p>
        </w:tc>
        <w:tc>
          <w:tcPr>
            <w:tcW w:w="6522" w:type="dxa"/>
            <w:noWrap w:val="0"/>
            <w:vAlign w:val="center"/>
          </w:tcPr>
          <w:p>
            <w:pPr>
              <w:pStyle w:val="15"/>
              <w:spacing w:line="360" w:lineRule="auto"/>
              <w:jc w:val="center"/>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实现</w:t>
            </w:r>
            <w:r>
              <w:rPr>
                <w:rFonts w:hint="eastAsia" w:ascii="仿宋" w:hAnsi="仿宋" w:eastAsia="仿宋" w:cs="仿宋"/>
                <w:color w:val="auto"/>
                <w:kern w:val="2"/>
                <w:sz w:val="24"/>
                <w:szCs w:val="24"/>
                <w:highlight w:val="none"/>
                <w:lang w:val="zh-CN" w:eastAsia="zh-CN" w:bidi="ar-SA"/>
              </w:rPr>
              <w:t>电子病历系统（</w:t>
            </w:r>
            <w:r>
              <w:rPr>
                <w:rFonts w:hint="eastAsia" w:ascii="仿宋" w:hAnsi="仿宋" w:eastAsia="仿宋" w:cs="仿宋"/>
                <w:color w:val="auto"/>
                <w:kern w:val="2"/>
                <w:sz w:val="24"/>
                <w:szCs w:val="24"/>
                <w:highlight w:val="none"/>
                <w:lang w:val="en-US" w:eastAsia="zh-CN" w:bidi="ar-SA"/>
              </w:rPr>
              <w:t>V6.1</w:t>
            </w:r>
            <w:r>
              <w:rPr>
                <w:rFonts w:hint="eastAsia" w:ascii="仿宋" w:hAnsi="仿宋" w:eastAsia="仿宋" w:cs="仿宋"/>
                <w:color w:val="auto"/>
                <w:kern w:val="2"/>
                <w:sz w:val="24"/>
                <w:szCs w:val="24"/>
                <w:highlight w:val="none"/>
                <w:lang w:val="zh-CN" w:eastAsia="zh-CN" w:bidi="ar-SA"/>
              </w:rPr>
              <w:t>）</w:t>
            </w:r>
            <w:r>
              <w:rPr>
                <w:rFonts w:hint="default" w:ascii="仿宋" w:hAnsi="仿宋" w:eastAsia="仿宋" w:cs="仿宋"/>
                <w:color w:val="auto"/>
                <w:kern w:val="2"/>
                <w:sz w:val="24"/>
                <w:szCs w:val="24"/>
                <w:highlight w:val="none"/>
                <w:lang w:val="zh-CN" w:eastAsia="zh-CN" w:bidi="ar-SA"/>
              </w:rPr>
              <w:t>与合理用药系统</w:t>
            </w:r>
            <w:r>
              <w:rPr>
                <w:rFonts w:hint="eastAsia" w:ascii="仿宋" w:hAnsi="仿宋" w:eastAsia="仿宋" w:cs="仿宋"/>
                <w:color w:val="auto"/>
                <w:kern w:val="2"/>
                <w:sz w:val="24"/>
                <w:szCs w:val="24"/>
                <w:highlight w:val="none"/>
                <w:lang w:val="en-US" w:eastAsia="zh-CN" w:bidi="ar-SA"/>
              </w:rPr>
              <w:t>(V4.3)</w:t>
            </w:r>
            <w:r>
              <w:rPr>
                <w:rFonts w:hint="default" w:ascii="仿宋" w:hAnsi="仿宋" w:eastAsia="仿宋" w:cs="仿宋"/>
                <w:color w:val="auto"/>
                <w:kern w:val="2"/>
                <w:sz w:val="24"/>
                <w:szCs w:val="24"/>
                <w:highlight w:val="none"/>
                <w:lang w:val="zh-CN" w:eastAsia="zh-CN" w:bidi="ar-SA"/>
              </w:rPr>
              <w:t>对接，有效提高病历数据与合理用药系统的数据互联互通性，实现共享。</w:t>
            </w:r>
          </w:p>
        </w:tc>
      </w:tr>
    </w:tbl>
    <w:p>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项目总预算金额：</w:t>
      </w:r>
      <w:r>
        <w:rPr>
          <w:rFonts w:hint="eastAsia" w:ascii="仿宋" w:hAnsi="仿宋" w:eastAsia="仿宋" w:cs="仿宋"/>
          <w:color w:val="auto"/>
          <w:sz w:val="24"/>
          <w:highlight w:val="none"/>
          <w:lang w:val="en-US" w:eastAsia="zh-CN"/>
        </w:rPr>
        <w:t>¥108500</w:t>
      </w:r>
      <w:r>
        <w:rPr>
          <w:rFonts w:hint="eastAsia" w:ascii="仿宋" w:hAnsi="仿宋" w:eastAsia="仿宋" w:cs="仿宋"/>
          <w:color w:val="auto"/>
          <w:sz w:val="24"/>
          <w:highlight w:val="none"/>
          <w:lang w:val="zh-CN"/>
        </w:rPr>
        <w:t>元。</w:t>
      </w:r>
      <w:r>
        <w:rPr>
          <w:rFonts w:hint="eastAsia" w:ascii="仿宋" w:hAnsi="仿宋" w:eastAsia="仿宋" w:cs="仿宋"/>
          <w:b/>
          <w:bCs/>
          <w:color w:val="auto"/>
          <w:sz w:val="24"/>
          <w:szCs w:val="24"/>
          <w:highlight w:val="none"/>
        </w:rPr>
        <w:t>详细技术规范请参阅比选</w:t>
      </w:r>
      <w:bookmarkStart w:id="42" w:name="_GoBack"/>
      <w:bookmarkEnd w:id="42"/>
      <w:r>
        <w:rPr>
          <w:rFonts w:hint="eastAsia" w:ascii="仿宋" w:hAnsi="仿宋" w:eastAsia="仿宋" w:cs="仿宋"/>
          <w:b/>
          <w:bCs/>
          <w:color w:val="auto"/>
          <w:sz w:val="24"/>
          <w:szCs w:val="24"/>
          <w:highlight w:val="none"/>
        </w:rPr>
        <w:t>文件中的采购项目内容。供应商必须对项目内全部内容进行报价，如有缺漏或超过采购预算，将导致报价无效。</w:t>
      </w: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响应的供应商应当在2024年6月18日起至2024年6月21日（上午08:00-12:00，下午14:30-17:30，法定节假日除外）</w:t>
      </w:r>
      <w:r>
        <w:rPr>
          <w:rFonts w:hint="eastAsia" w:ascii="仿宋" w:hAnsi="仿宋" w:eastAsia="仿宋" w:cs="仿宋"/>
          <w:color w:val="auto"/>
          <w:kern w:val="0"/>
          <w:sz w:val="24"/>
          <w:highlight w:val="none"/>
        </w:rPr>
        <w:t>通过惠州市第一妇幼保健院招标采购办邮箱报名，并获取</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五、响应文件递交截止时间：2024年6月26日14时45分（北京时间）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 xml:space="preserve">。 </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七、比选时间：2024年6月26日15时00分（北京时间）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提供</w:t>
      </w:r>
      <w:r>
        <w:rPr>
          <w:rFonts w:hint="eastAsia" w:ascii="仿宋" w:hAnsi="仿宋" w:eastAsia="仿宋" w:cs="仿宋"/>
          <w:color w:val="auto"/>
          <w:sz w:val="24"/>
          <w:highlight w:val="none"/>
          <w:lang w:val="en-US" w:eastAsia="zh-CN"/>
        </w:rPr>
        <w:t>2020</w:t>
      </w:r>
      <w:r>
        <w:rPr>
          <w:rFonts w:hint="eastAsia" w:ascii="仿宋" w:hAnsi="仿宋" w:eastAsia="仿宋" w:cs="仿宋"/>
          <w:color w:val="auto"/>
          <w:sz w:val="24"/>
          <w:highlight w:val="none"/>
        </w:rPr>
        <w:t>年至</w:t>
      </w:r>
      <w:r>
        <w:rPr>
          <w:rFonts w:hint="eastAsia" w:ascii="仿宋" w:hAnsi="仿宋" w:eastAsia="仿宋" w:cs="仿宋"/>
          <w:color w:val="auto"/>
          <w:sz w:val="24"/>
          <w:highlight w:val="none"/>
          <w:lang w:val="en-US" w:eastAsia="zh-CN"/>
        </w:rPr>
        <w:t>今</w:t>
      </w:r>
      <w:r>
        <w:rPr>
          <w:rFonts w:hint="eastAsia" w:ascii="仿宋" w:hAnsi="仿宋" w:eastAsia="仿宋" w:cs="仿宋"/>
          <w:color w:val="auto"/>
          <w:sz w:val="24"/>
          <w:highlight w:val="none"/>
        </w:rPr>
        <w:t>任意一年的年度财务状况报告或基本开户行出具的资信证明，新成立公司提供成立至今的月或季度财务报表；</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本项目中小企业划分标准所属行业为：</w:t>
      </w:r>
      <w:r>
        <w:rPr>
          <w:rFonts w:hint="eastAsia" w:ascii="仿宋" w:hAnsi="仿宋" w:eastAsia="仿宋" w:cs="仿宋"/>
          <w:color w:val="auto"/>
          <w:sz w:val="24"/>
          <w:highlight w:val="none"/>
          <w:lang w:val="en-US" w:eastAsia="zh-CN"/>
        </w:rPr>
        <w:t>软件和信息技术服务业。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bookmarkStart w:id="0" w:name="_Hlk65744408"/>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ZCB-YN-2024008</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惠州市第一妇幼保健院电子病历系统接口开发服务采购项目</w:t>
      </w:r>
    </w:p>
    <w:p>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¥108500.00</w:t>
      </w:r>
      <w:r>
        <w:rPr>
          <w:rFonts w:hint="eastAsia" w:ascii="仿宋" w:hAnsi="仿宋" w:eastAsia="仿宋" w:cs="仿宋"/>
          <w:b w:val="0"/>
          <w:bCs w:val="0"/>
          <w:color w:val="auto"/>
          <w:sz w:val="24"/>
          <w:highlight w:val="none"/>
          <w:u w:val="none" w:color="auto"/>
          <w:lang w:val="zh-CN" w:eastAsia="zh-CN"/>
        </w:rPr>
        <w:t>元。</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w:t>
      </w:r>
      <w:bookmarkEnd w:id="0"/>
      <w:r>
        <w:rPr>
          <w:rFonts w:hint="eastAsia" w:ascii="仿宋" w:hAnsi="仿宋" w:eastAsia="仿宋" w:cs="仿宋"/>
          <w:b/>
          <w:bCs/>
          <w:color w:val="auto"/>
          <w:sz w:val="24"/>
          <w:highlight w:val="none"/>
          <w:u w:val="none" w:color="auto"/>
          <w:lang w:val="en-US" w:eastAsia="zh-CN"/>
        </w:rPr>
        <w:t>服务要求：</w:t>
      </w:r>
    </w:p>
    <w:p>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（一）</w:t>
      </w:r>
      <w:r>
        <w:rPr>
          <w:rFonts w:hint="default" w:ascii="仿宋" w:hAnsi="仿宋" w:eastAsia="仿宋" w:cs="仿宋"/>
          <w:b w:val="0"/>
          <w:bCs w:val="0"/>
          <w:color w:val="auto"/>
          <w:sz w:val="24"/>
          <w:highlight w:val="none"/>
          <w:u w:val="none" w:color="auto"/>
          <w:lang w:val="en-US" w:eastAsia="zh-CN"/>
        </w:rPr>
        <w:t>项目建设目标</w:t>
      </w:r>
    </w:p>
    <w:p>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根据我院实际业务以及医院信息化建设需求，为实现对病案归档病历进行有效质控及病历数据与合理用药系统的数据互联互通性，确保病历完整性，提高病历数据质量，减少医疗纠纷。需要增加无纸化病案归档系统质控功能模块、电子病历与合理用药系统对接改造。</w:t>
      </w:r>
    </w:p>
    <w:p>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（二）</w:t>
      </w:r>
      <w:r>
        <w:rPr>
          <w:rFonts w:hint="default" w:ascii="仿宋" w:hAnsi="仿宋" w:eastAsia="仿宋" w:cs="仿宋"/>
          <w:b w:val="0"/>
          <w:bCs w:val="0"/>
          <w:color w:val="auto"/>
          <w:sz w:val="24"/>
          <w:highlight w:val="none"/>
          <w:u w:val="none" w:color="auto"/>
          <w:lang w:val="en-US" w:eastAsia="zh-CN"/>
        </w:rPr>
        <w:t>项目建设内容</w:t>
      </w:r>
    </w:p>
    <w:tbl>
      <w:tblPr>
        <w:tblStyle w:val="17"/>
        <w:tblW w:w="9027"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18"/>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778" w:type="dxa"/>
            <w:noWrap w:val="0"/>
            <w:vAlign w:val="bottom"/>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序号</w:t>
            </w:r>
          </w:p>
        </w:tc>
        <w:tc>
          <w:tcPr>
            <w:tcW w:w="1818" w:type="dxa"/>
            <w:noWrap w:val="0"/>
            <w:vAlign w:val="bottom"/>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模块名称</w:t>
            </w:r>
          </w:p>
        </w:tc>
        <w:tc>
          <w:tcPr>
            <w:tcW w:w="6431" w:type="dxa"/>
            <w:noWrap w:val="0"/>
            <w:vAlign w:val="bottom"/>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78" w:type="dxa"/>
            <w:noWrap w:val="0"/>
            <w:vAlign w:val="center"/>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1</w:t>
            </w:r>
          </w:p>
        </w:tc>
        <w:tc>
          <w:tcPr>
            <w:tcW w:w="1818" w:type="dxa"/>
            <w:noWrap w:val="0"/>
            <w:vAlign w:val="center"/>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无纸化病案归档系统质控功能</w:t>
            </w:r>
          </w:p>
        </w:tc>
        <w:tc>
          <w:tcPr>
            <w:tcW w:w="6431" w:type="dxa"/>
            <w:noWrap w:val="0"/>
            <w:vAlign w:val="center"/>
          </w:tcPr>
          <w:p>
            <w:pPr>
              <w:autoSpaceDE w:val="0"/>
              <w:autoSpaceDN w:val="0"/>
              <w:spacing w:line="360" w:lineRule="auto"/>
              <w:ind w:firstLine="480" w:firstLineChars="200"/>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增加</w:t>
            </w:r>
            <w:r>
              <w:rPr>
                <w:rFonts w:hint="eastAsia" w:ascii="仿宋" w:hAnsi="仿宋" w:eastAsia="仿宋" w:cs="仿宋"/>
                <w:b w:val="0"/>
                <w:bCs w:val="0"/>
                <w:color w:val="auto"/>
                <w:sz w:val="24"/>
                <w:highlight w:val="none"/>
                <w:u w:val="none" w:color="auto"/>
                <w:lang w:val="en-US" w:eastAsia="zh-CN"/>
              </w:rPr>
              <w:t>电子病历系统（V6.1）内子系统，即</w:t>
            </w:r>
            <w:r>
              <w:rPr>
                <w:rFonts w:hint="default" w:ascii="仿宋" w:hAnsi="仿宋" w:eastAsia="仿宋" w:cs="仿宋"/>
                <w:b w:val="0"/>
                <w:bCs w:val="0"/>
                <w:color w:val="auto"/>
                <w:sz w:val="24"/>
                <w:highlight w:val="none"/>
                <w:u w:val="none" w:color="auto"/>
                <w:lang w:val="en-US" w:eastAsia="zh-CN"/>
              </w:rPr>
              <w:t>无纸化病案归档系统</w:t>
            </w:r>
            <w:r>
              <w:rPr>
                <w:rFonts w:hint="eastAsia" w:ascii="仿宋" w:hAnsi="仿宋" w:eastAsia="仿宋" w:cs="仿宋"/>
                <w:b w:val="0"/>
                <w:bCs w:val="0"/>
                <w:color w:val="auto"/>
                <w:sz w:val="24"/>
                <w:highlight w:val="none"/>
                <w:u w:val="none" w:color="auto"/>
                <w:lang w:val="en-US" w:eastAsia="zh-CN"/>
              </w:rPr>
              <w:t>的</w:t>
            </w:r>
            <w:r>
              <w:rPr>
                <w:rFonts w:hint="default" w:ascii="仿宋" w:hAnsi="仿宋" w:eastAsia="仿宋" w:cs="仿宋"/>
                <w:b w:val="0"/>
                <w:bCs w:val="0"/>
                <w:color w:val="auto"/>
                <w:sz w:val="24"/>
                <w:highlight w:val="none"/>
                <w:u w:val="none" w:color="auto"/>
                <w:lang w:val="en-US" w:eastAsia="zh-CN"/>
              </w:rPr>
              <w:t>质控功能模块，包括质控缺陷项目配置、质控功能、医生返修功能、质控追踪功能等。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78" w:type="dxa"/>
            <w:noWrap w:val="0"/>
            <w:vAlign w:val="center"/>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2</w:t>
            </w:r>
          </w:p>
        </w:tc>
        <w:tc>
          <w:tcPr>
            <w:tcW w:w="1818" w:type="dxa"/>
            <w:noWrap w:val="0"/>
            <w:vAlign w:val="center"/>
          </w:tcPr>
          <w:p>
            <w:pPr>
              <w:autoSpaceDE w:val="0"/>
              <w:autoSpaceDN w:val="0"/>
              <w:spacing w:line="360" w:lineRule="auto"/>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电子病历与合理用药系统对接改造</w:t>
            </w:r>
          </w:p>
        </w:tc>
        <w:tc>
          <w:tcPr>
            <w:tcW w:w="6431" w:type="dxa"/>
            <w:noWrap w:val="0"/>
            <w:vAlign w:val="center"/>
          </w:tcPr>
          <w:p>
            <w:pPr>
              <w:autoSpaceDE w:val="0"/>
              <w:autoSpaceDN w:val="0"/>
              <w:spacing w:line="360" w:lineRule="auto"/>
              <w:ind w:firstLine="480" w:firstLineChars="200"/>
              <w:jc w:val="center"/>
              <w:rPr>
                <w:rFonts w:hint="default" w:ascii="仿宋" w:hAnsi="仿宋" w:eastAsia="仿宋" w:cs="仿宋"/>
                <w:b w:val="0"/>
                <w:bCs w:val="0"/>
                <w:color w:val="auto"/>
                <w:sz w:val="24"/>
                <w:highlight w:val="none"/>
                <w:u w:val="none" w:color="auto"/>
                <w:lang w:val="en-US" w:eastAsia="zh-CN"/>
              </w:rPr>
            </w:pPr>
            <w:r>
              <w:rPr>
                <w:rFonts w:hint="default" w:ascii="仿宋" w:hAnsi="仿宋" w:eastAsia="仿宋" w:cs="仿宋"/>
                <w:b w:val="0"/>
                <w:bCs w:val="0"/>
                <w:color w:val="auto"/>
                <w:sz w:val="24"/>
                <w:highlight w:val="none"/>
                <w:u w:val="none" w:color="auto"/>
                <w:lang w:val="en-US" w:eastAsia="zh-CN"/>
              </w:rPr>
              <w:t>实现</w:t>
            </w:r>
            <w:r>
              <w:rPr>
                <w:rFonts w:hint="eastAsia" w:ascii="仿宋" w:hAnsi="仿宋" w:eastAsia="仿宋" w:cs="仿宋"/>
                <w:b w:val="0"/>
                <w:bCs w:val="0"/>
                <w:color w:val="auto"/>
                <w:sz w:val="24"/>
                <w:highlight w:val="none"/>
                <w:u w:val="none" w:color="auto"/>
                <w:lang w:val="en-US" w:eastAsia="zh-CN"/>
              </w:rPr>
              <w:t>电子病历系统（V6.1）</w:t>
            </w:r>
            <w:r>
              <w:rPr>
                <w:rFonts w:hint="default" w:ascii="仿宋" w:hAnsi="仿宋" w:eastAsia="仿宋" w:cs="仿宋"/>
                <w:b w:val="0"/>
                <w:bCs w:val="0"/>
                <w:color w:val="auto"/>
                <w:sz w:val="24"/>
                <w:highlight w:val="none"/>
                <w:u w:val="none" w:color="auto"/>
                <w:lang w:val="en-US" w:eastAsia="zh-CN"/>
              </w:rPr>
              <w:t>与合理用药系统</w:t>
            </w:r>
            <w:r>
              <w:rPr>
                <w:rFonts w:hint="eastAsia" w:ascii="仿宋" w:hAnsi="仿宋" w:eastAsia="仿宋" w:cs="仿宋"/>
                <w:b w:val="0"/>
                <w:bCs w:val="0"/>
                <w:color w:val="auto"/>
                <w:sz w:val="24"/>
                <w:highlight w:val="none"/>
                <w:u w:val="none" w:color="auto"/>
                <w:lang w:val="en-US" w:eastAsia="zh-CN"/>
              </w:rPr>
              <w:t>(V4.3)</w:t>
            </w:r>
            <w:r>
              <w:rPr>
                <w:rFonts w:hint="default" w:ascii="仿宋" w:hAnsi="仿宋" w:eastAsia="仿宋" w:cs="仿宋"/>
                <w:b w:val="0"/>
                <w:bCs w:val="0"/>
                <w:color w:val="auto"/>
                <w:sz w:val="24"/>
                <w:highlight w:val="none"/>
                <w:u w:val="none" w:color="auto"/>
                <w:lang w:val="en-US" w:eastAsia="zh-CN"/>
              </w:rPr>
              <w:t>对接，有效提高病历数据与合理用药系统的数据互联互通性，实现共享。</w:t>
            </w:r>
          </w:p>
        </w:tc>
      </w:tr>
    </w:tbl>
    <w:p>
      <w:pPr>
        <w:spacing w:line="360" w:lineRule="auto"/>
        <w:ind w:firstLine="480"/>
        <w:rPr>
          <w:rFonts w:hint="eastAsia" w:ascii="仿宋" w:hAnsi="仿宋" w:eastAsia="仿宋" w:cs="仿宋"/>
          <w:color w:val="auto"/>
          <w:sz w:val="24"/>
          <w:szCs w:val="24"/>
          <w:highlight w:val="none"/>
          <w:lang w:val="en-US" w:eastAsia="zh-CN"/>
        </w:rPr>
      </w:pP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项目建设周期</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双方自合同签订后90日完成部署、上线及验收。</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项目技术要求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无纸化病案归档系统质控功能</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质控缺陷项目配置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提供配置缺陷目录:</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提供质控配置左侧列表，点击同步电子质控配置，可同步电子病历缺陷项。</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通过点击添加，医生可以添加质控目录，配置质控类型。</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通过点击删除，可以删除质控目录与质控详细。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提供质控详细配置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通过点击右侧添加，可添加左侧当前目录下质控缺陷明细。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通过点击删除，可以删除该目录下质控缺陷明细。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质控功能</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提供患者文书获取</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医生进入质控界面，提供获取患者文书有两种方式：</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加载患者列表界面(默认加载或者点击切换按钮)，查询需要质控的患者，双击列表中患者行，可以获取患者文书。</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进入质控界面，输入患者ID号/病案号，点击查询，可以获取患者文书。</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提供质控项添加，显示在左侧缺陷列表中</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提供对需要质控的文书，通过鼠标右键，可添加质控项。</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提供手动添加质控功能，通过选择病案缺失类型，可以手动添加质控项，该功能所</w:t>
      </w:r>
      <w:r>
        <w:rPr>
          <w:rFonts w:hint="eastAsia" w:ascii="仿宋" w:hAnsi="仿宋" w:eastAsia="仿宋" w:cs="仿宋"/>
          <w:b w:val="0"/>
          <w:bCs w:val="0"/>
          <w:color w:val="auto"/>
          <w:sz w:val="24"/>
          <w:szCs w:val="24"/>
          <w:highlight w:val="none"/>
        </w:rPr>
        <w:t>添加质控项为未在CDAS配置中配置。</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提供手动删除质控项功能，通过勾选方式选择缺陷列表中质控项,可以删除质控项。</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提供查看缺陷明细功能，点击缺陷明细，可实现质控详细。包括：点击质控完成，完成本次质控。点击发送整改通知，可以显示本次质控报表，可选择打印，发送整改通知。</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医生返修功能</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提供对有缺陷病历修改完成后，在医生返修界面可进行“修改”、“完成”、“申诉”操作。</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质控追踪功能</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提供质控人员在质控追踪界面可查看所有质控的患者、质控内容，并对质控修改情况进行追踪的功能。</w:t>
      </w:r>
    </w:p>
    <w:p>
      <w:pPr>
        <w:numPr>
          <w:ilvl w:val="0"/>
          <w:numId w:val="0"/>
        </w:numPr>
        <w:spacing w:line="360" w:lineRule="auto"/>
        <w:ind w:firstLine="480" w:firstLineChars="20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default" w:ascii="仿宋" w:hAnsi="仿宋" w:eastAsia="仿宋" w:cs="仿宋"/>
          <w:b w:val="0"/>
          <w:bCs w:val="0"/>
          <w:color w:val="auto"/>
          <w:sz w:val="24"/>
          <w:highlight w:val="none"/>
        </w:rPr>
        <w:t>电子病历与合理用药系统对接改造</w:t>
      </w:r>
    </w:p>
    <w:p>
      <w:pPr>
        <w:numPr>
          <w:ilvl w:val="0"/>
          <w:numId w:val="0"/>
        </w:numPr>
        <w:spacing w:line="360" w:lineRule="auto"/>
        <w:ind w:firstLine="480" w:firstLineChars="20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2.1</w:t>
      </w:r>
      <w:r>
        <w:rPr>
          <w:rFonts w:hint="default" w:ascii="仿宋" w:hAnsi="仿宋" w:eastAsia="仿宋" w:cs="仿宋"/>
          <w:b w:val="0"/>
          <w:bCs w:val="0"/>
          <w:color w:val="auto"/>
          <w:sz w:val="24"/>
          <w:highlight w:val="none"/>
        </w:rPr>
        <w:t>提供数据接口（接口方式：视图方式）</w:t>
      </w:r>
    </w:p>
    <w:tbl>
      <w:tblPr>
        <w:tblStyle w:val="17"/>
        <w:tblW w:w="7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7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54" w:type="dxa"/>
            <w:shd w:val="clear" w:color="auto" w:fill="FFFFFF"/>
            <w:noWrap/>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视图名称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2.2.4</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住院病人诊断信息视图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2.2.6</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住院病人手术信息视图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2.4.1</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电子病历清单视图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2.4.2</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病案主页视图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2.4.3</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入院记录视图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2.4.4</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住院病程记录视图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2.4.5</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出院记录视图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2.4.6</w:t>
            </w:r>
            <w:r>
              <w:rPr>
                <w:rFonts w:hint="default" w:ascii="仿宋" w:hAnsi="仿宋" w:eastAsia="仿宋" w:cs="仿宋"/>
                <w:b w:val="0"/>
                <w:bCs w:val="0"/>
                <w:color w:val="auto"/>
                <w:sz w:val="24"/>
                <w:highlight w:val="none"/>
              </w:rPr>
              <w:tab/>
            </w:r>
            <w:r>
              <w:rPr>
                <w:rFonts w:hint="default" w:ascii="仿宋" w:hAnsi="仿宋" w:eastAsia="仿宋" w:cs="仿宋"/>
                <w:b w:val="0"/>
                <w:bCs w:val="0"/>
                <w:color w:val="auto"/>
                <w:sz w:val="24"/>
                <w:highlight w:val="none"/>
              </w:rPr>
              <w:t>手术记录视图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854" w:type="dxa"/>
            <w:shd w:val="clear" w:color="auto" w:fill="FFFFFF"/>
            <w:noWrap w:val="0"/>
            <w:vAlign w:val="top"/>
          </w:tcPr>
          <w:p>
            <w:pPr>
              <w:numPr>
                <w:ilvl w:val="0"/>
                <w:numId w:val="0"/>
              </w:numPr>
              <w:spacing w:line="360" w:lineRule="auto"/>
              <w:ind w:firstLine="480" w:firstLineChars="200"/>
              <w:jc w:val="both"/>
              <w:rPr>
                <w:rFonts w:hint="default" w:ascii="仿宋" w:hAnsi="仿宋" w:eastAsia="仿宋" w:cs="仿宋"/>
                <w:b w:val="0"/>
                <w:bCs w:val="0"/>
                <w:color w:val="auto"/>
                <w:sz w:val="24"/>
                <w:highlight w:val="none"/>
              </w:rPr>
            </w:pPr>
            <w:r>
              <w:rPr>
                <w:rFonts w:hint="default" w:ascii="仿宋" w:hAnsi="仿宋" w:eastAsia="仿宋" w:cs="仿宋"/>
                <w:b w:val="0"/>
                <w:bCs w:val="0"/>
                <w:color w:val="auto"/>
                <w:sz w:val="24"/>
                <w:highlight w:val="none"/>
              </w:rPr>
              <w:t>出院诊断记录视图</w:t>
            </w:r>
          </w:p>
        </w:tc>
      </w:tr>
    </w:tbl>
    <w:p>
      <w:pPr>
        <w:spacing w:line="360" w:lineRule="auto"/>
        <w:ind w:firstLine="506" w:firstLineChars="210"/>
        <w:rPr>
          <w:rFonts w:hint="eastAsia" w:ascii="仿宋" w:hAnsi="仿宋" w:eastAsia="仿宋" w:cs="仿宋"/>
          <w:b/>
          <w:color w:val="auto"/>
          <w:sz w:val="24"/>
          <w:highlight w:val="none"/>
        </w:rPr>
      </w:pPr>
    </w:p>
    <w:p>
      <w:pPr>
        <w:spacing w:line="360" w:lineRule="auto"/>
        <w:ind w:firstLine="506" w:firstLineChars="21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五、采购项目商务要求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.报价方式</w:t>
      </w:r>
      <w:r>
        <w:rPr>
          <w:rFonts w:hint="eastAsia" w:ascii="仿宋" w:hAnsi="仿宋" w:eastAsia="仿宋" w:cs="仿宋"/>
          <w:color w:val="auto"/>
          <w:sz w:val="24"/>
          <w:highlight w:val="none"/>
        </w:rPr>
        <w:t>：</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（1）报价方式为整体项目包干价。</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付款方式</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（1）合同签订15个工作日后，支付合同总金额的30%；</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（2）项目功能上线15个工作日后，支付合同总金额的30%。</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（3）项目验收合格15个工作日后，支付合同总金额的40%。</w:t>
      </w:r>
    </w:p>
    <w:p>
      <w:pPr>
        <w:numPr>
          <w:ilvl w:val="0"/>
          <w:numId w:val="0"/>
        </w:numPr>
        <w:autoSpaceDE w:val="0"/>
        <w:autoSpaceDN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（4）支付方式采用银行转账方式。</w:t>
      </w:r>
    </w:p>
    <w:p>
      <w:pPr>
        <w:numPr>
          <w:ilvl w:val="0"/>
          <w:numId w:val="0"/>
        </w:num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（5）成交供应商必须向采购人出具合法有效完整的完税发票及凭证进行支付结算。</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3.实施要求：</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（1）供应商应当保证给</w:t>
      </w:r>
      <w:r>
        <w:rPr>
          <w:rFonts w:hint="eastAsia" w:ascii="仿宋" w:hAnsi="仿宋" w:eastAsia="仿宋" w:cs="仿宋"/>
          <w:b w:val="0"/>
          <w:bCs w:val="0"/>
          <w:color w:val="auto"/>
          <w:sz w:val="24"/>
          <w:highlight w:val="none"/>
          <w:lang w:eastAsia="zh-CN"/>
        </w:rPr>
        <w:t>采购人提供</w:t>
      </w:r>
      <w:r>
        <w:rPr>
          <w:rFonts w:hint="eastAsia" w:ascii="仿宋" w:hAnsi="仿宋" w:eastAsia="仿宋" w:cs="仿宋"/>
          <w:b w:val="0"/>
          <w:bCs w:val="0"/>
          <w:color w:val="auto"/>
          <w:sz w:val="24"/>
          <w:highlight w:val="none"/>
        </w:rPr>
        <w:t>的本项目技术服务是供应商软件产品最成熟、稳定的开发服务。</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成交供应商需安排现场工程师，在项目实施期间维持采购人系统的正常运行。无特殊原因不得随意更换服务人员，要保证人员的稳定性，如确需更换服务人员需得到采购人确认。若现场维护人员不符合采购人要求，采购人有权利要求更换现场维护人员。</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）系统功能的调整和升级时间，需和采购人协商并确定后</w:t>
      </w:r>
      <w:r>
        <w:rPr>
          <w:rFonts w:hint="eastAsia" w:ascii="仿宋" w:hAnsi="仿宋" w:eastAsia="仿宋" w:cs="仿宋"/>
          <w:b w:val="0"/>
          <w:bCs w:val="0"/>
          <w:color w:val="auto"/>
          <w:sz w:val="24"/>
          <w:highlight w:val="none"/>
          <w:lang w:eastAsia="zh-CN"/>
        </w:rPr>
        <w:t>，安排在</w:t>
      </w:r>
      <w:r>
        <w:rPr>
          <w:rFonts w:hint="eastAsia" w:ascii="仿宋" w:hAnsi="仿宋" w:eastAsia="仿宋" w:cs="仿宋"/>
          <w:b w:val="0"/>
          <w:bCs w:val="0"/>
          <w:color w:val="auto"/>
          <w:sz w:val="24"/>
          <w:highlight w:val="none"/>
        </w:rPr>
        <w:t>采购人非工作时间进行。</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）培训要求：至少提供2名受训人员进行维护和保养等的技术培训，供应商提供详细的培训计划、培训内容及列明培训时间、地点。因培训发生的所有费用应包含在报价总报价内。</w:t>
      </w:r>
    </w:p>
    <w:p>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响应供应商</w:t>
      </w:r>
      <w:r>
        <w:rPr>
          <w:rFonts w:hint="eastAsia" w:ascii="仿宋" w:hAnsi="仿宋" w:eastAsia="仿宋" w:cs="仿宋"/>
          <w:b w:val="0"/>
          <w:bCs w:val="0"/>
          <w:color w:val="auto"/>
          <w:sz w:val="24"/>
          <w:highlight w:val="none"/>
        </w:rPr>
        <w:t>保证响应文件及资料均未侵犯他人的知识产权，否则必须承担全部责任。若</w:t>
      </w:r>
      <w:r>
        <w:rPr>
          <w:rFonts w:hint="eastAsia" w:ascii="仿宋" w:hAnsi="仿宋" w:eastAsia="仿宋" w:cs="仿宋"/>
          <w:b w:val="0"/>
          <w:bCs w:val="0"/>
          <w:color w:val="auto"/>
          <w:sz w:val="24"/>
          <w:highlight w:val="none"/>
          <w:lang w:eastAsia="zh-CN"/>
        </w:rPr>
        <w:t>响应供应商</w:t>
      </w:r>
      <w:r>
        <w:rPr>
          <w:rFonts w:hint="eastAsia" w:ascii="仿宋" w:hAnsi="仿宋" w:eastAsia="仿宋" w:cs="仿宋"/>
          <w:b w:val="0"/>
          <w:bCs w:val="0"/>
          <w:color w:val="auto"/>
          <w:sz w:val="24"/>
          <w:highlight w:val="none"/>
        </w:rPr>
        <w:t>在项目执行过程中使用了他人的专利、专有技术，涉及的费用由</w:t>
      </w:r>
      <w:r>
        <w:rPr>
          <w:rFonts w:hint="eastAsia" w:ascii="仿宋" w:hAnsi="仿宋" w:eastAsia="仿宋" w:cs="仿宋"/>
          <w:b w:val="0"/>
          <w:bCs w:val="0"/>
          <w:color w:val="auto"/>
          <w:sz w:val="24"/>
          <w:highlight w:val="none"/>
          <w:lang w:eastAsia="zh-CN"/>
        </w:rPr>
        <w:t>响应供应商</w:t>
      </w:r>
      <w:r>
        <w:rPr>
          <w:rFonts w:hint="eastAsia" w:ascii="仿宋" w:hAnsi="仿宋" w:eastAsia="仿宋" w:cs="仿宋"/>
          <w:b w:val="0"/>
          <w:bCs w:val="0"/>
          <w:color w:val="auto"/>
          <w:sz w:val="24"/>
          <w:highlight w:val="none"/>
        </w:rPr>
        <w:t>负责。</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项目验收要求</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（1）验收标准：验收的主要依据包括本项目的采购文件、响应文件、合同等。</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（2）总体验收：供应商须为验收提供必需的一切条件及相关费用，服务期届满后，当项目所有工作内容完成以后，由供应商提交验收申请，</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组织验收小组，负责对项目进行全面验收。供应商必须提供本项目的相关文档和报告，并积极配合</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进行完工验收工作，如果验收发现与详细业务需求不符或达不到规定的要求，</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有权提出索赔。</w:t>
      </w:r>
    </w:p>
    <w:p>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（3）在</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的监督下，服务过程中的各项工作和文档，须达到采购文件中技术要求的标准。</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r>
        <w:rPr>
          <w:rFonts w:hint="default" w:ascii="仿宋" w:hAnsi="仿宋" w:eastAsia="仿宋" w:cs="仿宋"/>
          <w:b w:val="0"/>
          <w:bCs w:val="0"/>
          <w:color w:val="auto"/>
          <w:sz w:val="24"/>
          <w:highlight w:val="none"/>
          <w:lang w:val="en-US" w:eastAsia="zh-CN"/>
        </w:rPr>
        <w:t>售后服务</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（1）本项目</w:t>
      </w:r>
      <w:r>
        <w:rPr>
          <w:rFonts w:hint="eastAsia" w:ascii="仿宋" w:hAnsi="仿宋" w:eastAsia="仿宋" w:cs="仿宋"/>
          <w:b w:val="0"/>
          <w:bCs w:val="0"/>
          <w:color w:val="auto"/>
          <w:sz w:val="24"/>
          <w:highlight w:val="none"/>
          <w:lang w:val="en-US" w:eastAsia="zh-CN"/>
        </w:rPr>
        <w:t>验收后提供至少一</w:t>
      </w:r>
      <w:r>
        <w:rPr>
          <w:rFonts w:hint="default" w:ascii="仿宋" w:hAnsi="仿宋" w:eastAsia="仿宋" w:cs="仿宋"/>
          <w:b w:val="0"/>
          <w:bCs w:val="0"/>
          <w:color w:val="auto"/>
          <w:sz w:val="24"/>
          <w:highlight w:val="none"/>
          <w:lang w:val="en-US" w:eastAsia="zh-CN"/>
        </w:rPr>
        <w:t>年维护服务</w:t>
      </w:r>
      <w:r>
        <w:rPr>
          <w:rFonts w:hint="eastAsia" w:ascii="仿宋" w:hAnsi="仿宋" w:eastAsia="仿宋" w:cs="仿宋"/>
          <w:b w:val="0"/>
          <w:bCs w:val="0"/>
          <w:color w:val="auto"/>
          <w:sz w:val="24"/>
          <w:highlight w:val="none"/>
          <w:lang w:val="en-US" w:eastAsia="zh-CN"/>
        </w:rPr>
        <w:t>，功能故障处理不另外收取费用</w:t>
      </w:r>
      <w:r>
        <w:rPr>
          <w:rFonts w:hint="default" w:ascii="仿宋" w:hAnsi="仿宋" w:eastAsia="仿宋" w:cs="仿宋"/>
          <w:b w:val="0"/>
          <w:bCs w:val="0"/>
          <w:color w:val="auto"/>
          <w:sz w:val="24"/>
          <w:highlight w:val="none"/>
          <w:lang w:val="en-US" w:eastAsia="zh-CN"/>
        </w:rPr>
        <w:t>。</w:t>
      </w:r>
    </w:p>
    <w:p>
      <w:pPr>
        <w:numPr>
          <w:ilvl w:val="0"/>
          <w:numId w:val="0"/>
        </w:numPr>
        <w:spacing w:line="360" w:lineRule="auto"/>
        <w:ind w:firstLine="480" w:firstLineChars="200"/>
        <w:rPr>
          <w:rFonts w:hint="eastAsia" w:ascii="仿宋" w:hAnsi="仿宋" w:eastAsia="仿宋" w:cs="仿宋"/>
          <w:color w:val="auto"/>
          <w:sz w:val="24"/>
          <w:highlight w:val="none"/>
          <w:lang w:eastAsia="zh-CN"/>
        </w:rPr>
      </w:pPr>
      <w:r>
        <w:rPr>
          <w:rFonts w:hint="default"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en-US" w:eastAsia="zh-CN"/>
        </w:rPr>
        <w:t>成交供应商</w:t>
      </w:r>
      <w:r>
        <w:rPr>
          <w:rFonts w:hint="default" w:ascii="仿宋" w:hAnsi="仿宋" w:eastAsia="仿宋" w:cs="仿宋"/>
          <w:b w:val="0"/>
          <w:bCs w:val="0"/>
          <w:color w:val="auto"/>
          <w:sz w:val="24"/>
          <w:highlight w:val="none"/>
          <w:lang w:val="en-US" w:eastAsia="zh-CN"/>
        </w:rPr>
        <w:t>接到采购人反馈系统故障问题后，需在30分钟内做出响应，并在</w:t>
      </w:r>
      <w:r>
        <w:rPr>
          <w:rFonts w:hint="default" w:ascii="仿宋" w:hAnsi="仿宋" w:eastAsia="仿宋" w:cs="仿宋"/>
          <w:b w:val="0"/>
          <w:bCs w:val="0"/>
          <w:strike/>
          <w:dstrike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24小时内（采购人次日正常工作时间之前）</w:t>
      </w:r>
      <w:r>
        <w:rPr>
          <w:rFonts w:hint="default" w:ascii="仿宋" w:hAnsi="仿宋" w:eastAsia="仿宋" w:cs="仿宋"/>
          <w:b w:val="0"/>
          <w:bCs w:val="0"/>
          <w:strike/>
          <w:dstrike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完成故障处理工作。</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default" w:ascii="仿宋" w:hAnsi="仿宋" w:eastAsia="仿宋" w:cs="仿宋"/>
          <w:b w:val="0"/>
          <w:bCs w:val="0"/>
          <w:color w:val="auto"/>
          <w:sz w:val="24"/>
          <w:highlight w:val="none"/>
          <w:lang w:val="en-US" w:eastAsia="zh-CN"/>
        </w:rPr>
        <w:t>保密条款</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（1）供应商必须严格保守对因本合同项下的服务从</w:t>
      </w:r>
      <w:r>
        <w:rPr>
          <w:rFonts w:hint="eastAsia" w:ascii="仿宋" w:hAnsi="仿宋" w:eastAsia="仿宋" w:cs="仿宋"/>
          <w:b w:val="0"/>
          <w:bCs w:val="0"/>
          <w:color w:val="auto"/>
          <w:sz w:val="24"/>
          <w:highlight w:val="none"/>
          <w:lang w:val="en-US" w:eastAsia="zh-CN"/>
        </w:rPr>
        <w:t>采购人</w:t>
      </w:r>
      <w:r>
        <w:rPr>
          <w:rFonts w:hint="default" w:ascii="仿宋" w:hAnsi="仿宋" w:eastAsia="仿宋" w:cs="仿宋"/>
          <w:b w:val="0"/>
          <w:bCs w:val="0"/>
          <w:color w:val="auto"/>
          <w:sz w:val="24"/>
          <w:highlight w:val="none"/>
          <w:lang w:val="en-US" w:eastAsia="zh-CN"/>
        </w:rPr>
        <w:t>所获取的信息秘密，在未取得</w:t>
      </w:r>
      <w:r>
        <w:rPr>
          <w:rFonts w:hint="eastAsia" w:ascii="仿宋" w:hAnsi="仿宋" w:eastAsia="仿宋" w:cs="仿宋"/>
          <w:b w:val="0"/>
          <w:bCs w:val="0"/>
          <w:color w:val="auto"/>
          <w:sz w:val="24"/>
          <w:highlight w:val="none"/>
          <w:lang w:val="en-US" w:eastAsia="zh-CN"/>
        </w:rPr>
        <w:t>采购人</w:t>
      </w:r>
      <w:r>
        <w:rPr>
          <w:rFonts w:hint="default" w:ascii="仿宋" w:hAnsi="仿宋" w:eastAsia="仿宋" w:cs="仿宋"/>
          <w:b w:val="0"/>
          <w:bCs w:val="0"/>
          <w:color w:val="auto"/>
          <w:sz w:val="24"/>
          <w:highlight w:val="none"/>
          <w:lang w:val="en-US" w:eastAsia="zh-CN"/>
        </w:rPr>
        <w:t>书面同意的情况下，不得以任何形式向第三方披露。在依法必须披露的情况下，供应商应当立即通知</w:t>
      </w:r>
      <w:r>
        <w:rPr>
          <w:rFonts w:hint="eastAsia" w:ascii="仿宋" w:hAnsi="仿宋" w:eastAsia="仿宋" w:cs="仿宋"/>
          <w:b w:val="0"/>
          <w:bCs w:val="0"/>
          <w:color w:val="auto"/>
          <w:sz w:val="24"/>
          <w:highlight w:val="none"/>
          <w:lang w:val="en-US" w:eastAsia="zh-CN"/>
        </w:rPr>
        <w:t>采购人</w:t>
      </w:r>
      <w:r>
        <w:rPr>
          <w:rFonts w:hint="default" w:ascii="仿宋" w:hAnsi="仿宋" w:eastAsia="仿宋" w:cs="仿宋"/>
          <w:b w:val="0"/>
          <w:bCs w:val="0"/>
          <w:color w:val="auto"/>
          <w:sz w:val="24"/>
          <w:highlight w:val="none"/>
          <w:lang w:val="en-US" w:eastAsia="zh-CN"/>
        </w:rPr>
        <w:t>，除非按照法律规定或生效命令不得为之。</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（2）保密义务不因合同履行完毕或解除而终止，除非保密信息已经对外披露或者公众所知。</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7.其他要求：</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（1）要求供应商提供提供的质量保障方案，包括但不限于质量保障体系、质量保障措施、质量提升合理化建议等；</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（2）要求供应商提供项科学性、合理性、实施可行性、可靠性等的项目方案，包括但不限于实战培训方案、实施改善项目方案、认证指导方案、项目实施保障、预期成果；</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（3）要求供应商提供制定的项目进度计划方案包含时间进度安排及保障措施；</w:t>
      </w:r>
    </w:p>
    <w:p>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（4）要求供应商提供2020年1月1日至今的同类项目业绩（包括但不限于系统功能开发、接口开发、系统维护服务等）数量情况；</w:t>
      </w:r>
    </w:p>
    <w:p>
      <w:pPr>
        <w:numPr>
          <w:ilvl w:val="0"/>
          <w:numId w:val="0"/>
        </w:numPr>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（5）要求供应商服务时间响应承诺。</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11"/>
        <w:adjustRightInd w:val="0"/>
        <w:snapToGrid w:val="0"/>
        <w:spacing w:line="380" w:lineRule="exact"/>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11"/>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1"/>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11"/>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1"/>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1"/>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11"/>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1"/>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11"/>
        <w:adjustRightInd w:val="0"/>
        <w:snapToGrid w:val="0"/>
        <w:spacing w:line="360" w:lineRule="auto"/>
        <w:ind w:firstLine="480" w:firstLineChars="200"/>
        <w:rPr>
          <w:rFonts w:hint="eastAsia" w:ascii="仿宋" w:hAnsi="仿宋" w:eastAsia="仿宋" w:cs="仿宋"/>
          <w:color w:val="auto"/>
          <w:sz w:val="24"/>
          <w:highlight w:val="none"/>
        </w:rPr>
      </w:pPr>
      <w:bookmarkStart w:id="1" w:name="OLE_LINK11"/>
      <w:r>
        <w:rPr>
          <w:rFonts w:hint="eastAsia" w:ascii="仿宋" w:hAnsi="仿宋" w:eastAsia="仿宋" w:cs="仿宋"/>
          <w:color w:val="auto"/>
          <w:sz w:val="24"/>
          <w:highlight w:val="none"/>
        </w:rPr>
        <w:t>3、比选文件的澄清或修改</w:t>
      </w:r>
    </w:p>
    <w:bookmarkEnd w:id="1"/>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11"/>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11"/>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11"/>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11"/>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11"/>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11"/>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11"/>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bCs/>
          <w:color w:val="auto"/>
          <w:sz w:val="24"/>
          <w:szCs w:val="24"/>
          <w:highlight w:val="none"/>
        </w:rPr>
        <w:t>2024年6月26日14时45分（北京时间）</w:t>
      </w:r>
      <w:r>
        <w:rPr>
          <w:rFonts w:hint="eastAsia" w:ascii="仿宋" w:hAnsi="仿宋" w:eastAsia="仿宋" w:cs="仿宋"/>
          <w:bCs/>
          <w:color w:val="auto"/>
          <w:sz w:val="24"/>
          <w:szCs w:val="24"/>
          <w:highlight w:val="none"/>
        </w:rPr>
        <w:t>，超过截止时点后的响应视为响应无效。</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2" w:name="OLE_LINK6"/>
      <w:r>
        <w:rPr>
          <w:rFonts w:hint="eastAsia" w:ascii="仿宋" w:hAnsi="仿宋" w:eastAsia="仿宋" w:cs="仿宋"/>
          <w:color w:val="auto"/>
          <w:sz w:val="24"/>
          <w:szCs w:val="24"/>
          <w:highlight w:val="none"/>
        </w:rPr>
        <w:t>审</w:t>
      </w:r>
      <w:bookmarkEnd w:id="2"/>
      <w:r>
        <w:rPr>
          <w:rFonts w:hint="eastAsia" w:ascii="仿宋" w:hAnsi="仿宋" w:eastAsia="仿宋" w:cs="仿宋"/>
          <w:color w:val="auto"/>
          <w:sz w:val="24"/>
          <w:szCs w:val="24"/>
          <w:highlight w:val="none"/>
        </w:rPr>
        <w:t>小组</w:t>
      </w:r>
      <w:bookmarkStart w:id="3" w:name="OLE_LINK9"/>
      <w:r>
        <w:rPr>
          <w:rFonts w:hint="eastAsia" w:ascii="仿宋" w:hAnsi="仿宋" w:eastAsia="仿宋" w:cs="仿宋"/>
          <w:color w:val="auto"/>
          <w:sz w:val="24"/>
          <w:szCs w:val="24"/>
          <w:highlight w:val="none"/>
        </w:rPr>
        <w:t>按医院规定从专家库中随机抽取三名专家组成。</w:t>
      </w:r>
      <w:bookmarkEnd w:id="3"/>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4"/>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5" w:name="_Hlk66179802"/>
      <w:r>
        <w:rPr>
          <w:rFonts w:hint="eastAsia" w:ascii="仿宋" w:hAnsi="仿宋" w:eastAsia="仿宋" w:cs="仿宋"/>
          <w:color w:val="auto"/>
          <w:sz w:val="24"/>
          <w:szCs w:val="24"/>
          <w:highlight w:val="none"/>
        </w:rPr>
        <w:t>凡发现成交供应商有下列行为之一的，将移交涉监管部门依法处理。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5"/>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11"/>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1"/>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11"/>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6"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1"/>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6"/>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5760" w:type="dxa"/>
            <w:noWrap w:val="0"/>
            <w:vAlign w:val="center"/>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提供</w:t>
            </w:r>
            <w:r>
              <w:rPr>
                <w:rFonts w:hint="eastAsia" w:ascii="仿宋" w:hAnsi="仿宋" w:eastAsia="仿宋" w:cs="仿宋"/>
                <w:color w:val="auto"/>
                <w:szCs w:val="21"/>
                <w:highlight w:val="none"/>
                <w:lang w:val="en-US" w:eastAsia="zh-CN"/>
              </w:rPr>
              <w:t>2020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至今</w:t>
            </w:r>
            <w:r>
              <w:rPr>
                <w:rFonts w:hint="eastAsia" w:ascii="仿宋" w:hAnsi="仿宋" w:eastAsia="仿宋" w:cs="仿宋"/>
                <w:color w:val="auto"/>
                <w:szCs w:val="21"/>
                <w:highlight w:val="none"/>
              </w:rPr>
              <w:t>任意一年的年度财务状况报告或基本开户行出具的资信证明，新成立公司提供成立至今的月或季度财务报表；</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tabs>
                <w:tab w:val="left" w:pos="0"/>
              </w:tabs>
              <w:wordWrap w:val="0"/>
              <w:spacing w:line="360" w:lineRule="auto"/>
              <w:ind w:left="0" w:leftChars="0" w:firstLine="0" w:firstLineChars="0"/>
              <w:jc w:val="left"/>
              <w:rPr>
                <w:rFonts w:hint="eastAsia" w:ascii="仿宋" w:hAnsi="仿宋" w:eastAsia="宋体"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非</w:t>
            </w:r>
            <w:r>
              <w:rPr>
                <w:rFonts w:hint="eastAsia" w:ascii="仿宋" w:hAnsi="仿宋" w:eastAsia="仿宋" w:cs="仿宋"/>
                <w:color w:val="auto"/>
                <w:szCs w:val="21"/>
                <w:highlight w:val="none"/>
              </w:rPr>
              <w:t>专门面向中小企业采购</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本项目中小企业划分标准所属行业为：</w:t>
            </w:r>
            <w:r>
              <w:rPr>
                <w:rFonts w:hint="eastAsia" w:ascii="仿宋" w:hAnsi="仿宋" w:eastAsia="仿宋" w:cs="仿宋"/>
                <w:color w:val="auto"/>
                <w:sz w:val="21"/>
                <w:szCs w:val="21"/>
                <w:highlight w:val="none"/>
                <w:lang w:val="en-US" w:eastAsia="zh-CN"/>
              </w:rPr>
              <w:t>软件和信息技术服务业。</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val="en-US" w:eastAsia="zh-CN"/>
              </w:rPr>
              <w:t>,格式自拟)</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服务要求评审</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实质性（“★”项）服务要求条款是否全部完全响应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11"/>
        <w:adjustRightInd w:val="0"/>
        <w:snapToGrid w:val="0"/>
        <w:spacing w:line="360" w:lineRule="auto"/>
        <w:ind w:right="32"/>
        <w:rPr>
          <w:rFonts w:hint="eastAsia" w:ascii="仿宋" w:hAnsi="仿宋" w:eastAsia="仿宋" w:cs="仿宋"/>
          <w:bCs/>
          <w:color w:val="auto"/>
          <w:sz w:val="24"/>
          <w:szCs w:val="24"/>
          <w:highlight w:val="none"/>
        </w:rPr>
      </w:pPr>
    </w:p>
    <w:p>
      <w:pPr>
        <w:pStyle w:val="11"/>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696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top"/>
          </w:tcPr>
          <w:p>
            <w:pPr>
              <w:pStyle w:val="19"/>
              <w:spacing w:after="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7803" w:type="dxa"/>
            <w:gridSpan w:val="2"/>
            <w:noWrap w:val="0"/>
            <w:vAlign w:val="top"/>
          </w:tcPr>
          <w:p>
            <w:pPr>
              <w:pStyle w:val="19"/>
              <w:spacing w:after="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top"/>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分值构成</w:t>
            </w:r>
          </w:p>
        </w:tc>
        <w:tc>
          <w:tcPr>
            <w:tcW w:w="7803" w:type="dxa"/>
            <w:gridSpan w:val="2"/>
            <w:noWrap w:val="0"/>
            <w:vAlign w:val="top"/>
          </w:tcPr>
          <w:p>
            <w:pPr>
              <w:pStyle w:val="19"/>
              <w:spacing w:after="0" w:line="360" w:lineRule="auto"/>
              <w:rPr>
                <w:rFonts w:hint="eastAsia" w:ascii="仿宋" w:hAnsi="仿宋" w:eastAsia="仿宋" w:cs="仿宋"/>
                <w:bCs w:val="0"/>
                <w:color w:val="auto"/>
                <w:sz w:val="24"/>
                <w:szCs w:val="24"/>
                <w:highlight w:val="none"/>
                <w:lang w:val="zh-CN"/>
              </w:rPr>
            </w:pPr>
            <w:r>
              <w:rPr>
                <w:rFonts w:hint="eastAsia" w:ascii="仿宋" w:hAnsi="仿宋" w:eastAsia="仿宋" w:cs="仿宋"/>
                <w:bCs w:val="0"/>
                <w:color w:val="auto"/>
                <w:sz w:val="24"/>
                <w:szCs w:val="24"/>
                <w:highlight w:val="none"/>
                <w:lang w:val="zh-CN"/>
              </w:rPr>
              <w:t>技术部分</w:t>
            </w:r>
            <w:r>
              <w:rPr>
                <w:rFonts w:hint="eastAsia" w:ascii="仿宋" w:hAnsi="仿宋" w:eastAsia="仿宋" w:cs="仿宋"/>
                <w:bCs w:val="0"/>
                <w:color w:val="auto"/>
                <w:sz w:val="24"/>
                <w:szCs w:val="24"/>
                <w:highlight w:val="none"/>
                <w:lang w:val="en-US" w:eastAsia="zh-CN"/>
              </w:rPr>
              <w:t>47</w:t>
            </w:r>
            <w:r>
              <w:rPr>
                <w:rFonts w:hint="eastAsia" w:ascii="仿宋" w:hAnsi="仿宋" w:eastAsia="仿宋" w:cs="仿宋"/>
                <w:bCs w:val="0"/>
                <w:color w:val="auto"/>
                <w:sz w:val="24"/>
                <w:szCs w:val="24"/>
                <w:highlight w:val="none"/>
              </w:rPr>
              <w:t>.0</w:t>
            </w:r>
            <w:r>
              <w:rPr>
                <w:rFonts w:hint="eastAsia" w:ascii="仿宋" w:hAnsi="仿宋" w:eastAsia="仿宋" w:cs="仿宋"/>
                <w:bCs w:val="0"/>
                <w:color w:val="auto"/>
                <w:sz w:val="24"/>
                <w:szCs w:val="24"/>
                <w:highlight w:val="none"/>
                <w:lang w:val="zh-CN"/>
              </w:rPr>
              <w:t>分</w:t>
            </w:r>
          </w:p>
          <w:p>
            <w:pPr>
              <w:pStyle w:val="19"/>
              <w:spacing w:after="0" w:line="360" w:lineRule="auto"/>
              <w:rPr>
                <w:rFonts w:hint="eastAsia" w:ascii="仿宋" w:hAnsi="仿宋" w:eastAsia="仿宋" w:cs="仿宋"/>
                <w:bCs w:val="0"/>
                <w:color w:val="auto"/>
                <w:sz w:val="24"/>
                <w:szCs w:val="24"/>
                <w:highlight w:val="none"/>
                <w:lang w:val="zh-CN"/>
              </w:rPr>
            </w:pPr>
            <w:r>
              <w:rPr>
                <w:rFonts w:hint="eastAsia" w:ascii="仿宋" w:hAnsi="仿宋" w:eastAsia="仿宋" w:cs="仿宋"/>
                <w:bCs w:val="0"/>
                <w:color w:val="auto"/>
                <w:sz w:val="24"/>
                <w:szCs w:val="24"/>
                <w:highlight w:val="none"/>
                <w:lang w:val="zh-CN"/>
              </w:rPr>
              <w:t>商务部分</w:t>
            </w:r>
            <w:r>
              <w:rPr>
                <w:rFonts w:hint="eastAsia" w:ascii="仿宋" w:hAnsi="仿宋" w:eastAsia="仿宋" w:cs="仿宋"/>
                <w:bCs w:val="0"/>
                <w:color w:val="auto"/>
                <w:sz w:val="24"/>
                <w:szCs w:val="24"/>
                <w:highlight w:val="none"/>
              </w:rPr>
              <w:t>2</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.0</w:t>
            </w:r>
            <w:r>
              <w:rPr>
                <w:rFonts w:hint="eastAsia" w:ascii="仿宋" w:hAnsi="仿宋" w:eastAsia="仿宋" w:cs="仿宋"/>
                <w:bCs w:val="0"/>
                <w:color w:val="auto"/>
                <w:sz w:val="24"/>
                <w:szCs w:val="24"/>
                <w:highlight w:val="none"/>
                <w:lang w:val="zh-CN"/>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zh-CN"/>
              </w:rPr>
              <w:t>报价得分</w:t>
            </w:r>
            <w:r>
              <w:rPr>
                <w:rFonts w:hint="eastAsia" w:ascii="仿宋" w:hAnsi="仿宋" w:eastAsia="仿宋" w:cs="仿宋"/>
                <w:bCs w:val="0"/>
                <w:color w:val="auto"/>
                <w:sz w:val="24"/>
                <w:szCs w:val="24"/>
                <w:highlight w:val="none"/>
                <w:lang w:val="en-US" w:eastAsia="zh-CN"/>
              </w:rPr>
              <w:t>30</w:t>
            </w:r>
            <w:r>
              <w:rPr>
                <w:rFonts w:hint="eastAsia" w:ascii="仿宋" w:hAnsi="仿宋" w:eastAsia="仿宋" w:cs="仿宋"/>
                <w:bCs w:val="0"/>
                <w:color w:val="auto"/>
                <w:sz w:val="24"/>
                <w:szCs w:val="24"/>
                <w:highlight w:val="none"/>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
                <w:bCs/>
                <w:color w:val="auto"/>
                <w:sz w:val="24"/>
                <w:szCs w:val="24"/>
                <w:highlight w:val="none"/>
              </w:rPr>
            </w:pPr>
            <w:r>
              <w:rPr>
                <w:rFonts w:hint="default" w:ascii="仿宋" w:hAnsi="仿宋" w:eastAsia="仿宋" w:cs="仿宋"/>
                <w:b/>
                <w:bCs/>
                <w:color w:val="auto"/>
                <w:sz w:val="24"/>
                <w:szCs w:val="24"/>
                <w:highlight w:val="none"/>
              </w:rPr>
              <w:t>技术部分</w:t>
            </w:r>
          </w:p>
        </w:tc>
        <w:tc>
          <w:tcPr>
            <w:tcW w:w="6966" w:type="dxa"/>
            <w:noWrap w:val="0"/>
            <w:vAlign w:val="center"/>
          </w:tcPr>
          <w:p>
            <w:pPr>
              <w:pStyle w:val="19"/>
              <w:spacing w:after="0" w:line="360" w:lineRule="auto"/>
              <w:ind w:firstLine="48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c>
          <w:tcPr>
            <w:tcW w:w="837" w:type="dxa"/>
            <w:noWrap w:val="0"/>
            <w:vAlign w:val="center"/>
          </w:tcPr>
          <w:p>
            <w:pPr>
              <w:pStyle w:val="19"/>
              <w:spacing w:after="0" w:line="360" w:lineRule="auto"/>
              <w:ind w:firstLine="2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对技术要求的响应程度</w:t>
            </w:r>
          </w:p>
        </w:tc>
        <w:tc>
          <w:tcPr>
            <w:tcW w:w="6966"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对技术要求的响应程度：</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满足全部技术条款响应要求的，得20分；有1项条款负偏离，得18分，有2项条款负偏离，得16分；条款负偏离每增加1项，得分减少2分，以此类推，当达到10项（含）以上时，视为严重偏离不得分。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注：①技术条款中要求提供证明资料的，则响应文件中应提供对应条款的证明资料，未提供不得分；②未要求提供证明资料的以响应供应商填写的技术要求响应表为准。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系统总体设计方案</w:t>
            </w:r>
          </w:p>
        </w:tc>
        <w:tc>
          <w:tcPr>
            <w:tcW w:w="6966"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根据</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提供系统总体设计方案的合理性可行性、内容齐全、结构完整、表述准确、条理清晰程度等方面,由</w:t>
            </w:r>
            <w:r>
              <w:rPr>
                <w:rFonts w:hint="eastAsia" w:ascii="仿宋" w:hAnsi="仿宋" w:eastAsia="仿宋" w:cs="仿宋"/>
                <w:bCs w:val="0"/>
                <w:color w:val="auto"/>
                <w:sz w:val="24"/>
                <w:szCs w:val="24"/>
                <w:highlight w:val="none"/>
                <w:lang w:val="en-US" w:eastAsia="zh-CN"/>
              </w:rPr>
              <w:t>评审小组</w:t>
            </w:r>
            <w:r>
              <w:rPr>
                <w:rFonts w:hint="eastAsia" w:ascii="仿宋" w:hAnsi="仿宋" w:eastAsia="仿宋" w:cs="仿宋"/>
                <w:bCs w:val="0"/>
                <w:color w:val="auto"/>
                <w:sz w:val="24"/>
                <w:szCs w:val="24"/>
                <w:highlight w:val="none"/>
              </w:rPr>
              <w:t>进行综合评分,满分</w:t>
            </w: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系统总体设计方案的合理性可行性、内容齐全、结构完整、表述准确、条理清晰程度高，综合评价优得</w:t>
            </w: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系统总体设计方案的合理性可行性、内容齐全、结构较完整、表述较准确、条理清晰程度中上，综合评价良得</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系统总体设计方案的合理性可行性、内容满足、结构简单、表述一般、条理清晰程度一般，综合评价一般得</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不提供则不得分。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项目实施保障</w:t>
            </w:r>
          </w:p>
        </w:tc>
        <w:tc>
          <w:tcPr>
            <w:tcW w:w="6966"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根据</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针对该项目的项目实施保障方案，包含项目管理、组织架构与人员配备、项目进度计划、项目质量控制、项目验收方案、培训方案内容。要求工作安排条理清晰，进度计划可实施性强，任务步骤节点明确，具有实际操作性。</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方案详细周全、科学合理、针对性强的，得</w:t>
            </w:r>
            <w:r>
              <w:rPr>
                <w:rFonts w:hint="eastAsia" w:ascii="仿宋" w:hAnsi="仿宋" w:eastAsia="仿宋" w:cs="仿宋"/>
                <w:bCs w:val="0"/>
                <w:color w:val="auto"/>
                <w:sz w:val="24"/>
                <w:szCs w:val="24"/>
                <w:highlight w:val="none"/>
                <w:lang w:eastAsia="zh-CN"/>
              </w:rPr>
              <w:t>6</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方案基本合理、清晰可行的，得</w:t>
            </w:r>
            <w:r>
              <w:rPr>
                <w:rFonts w:hint="eastAsia" w:ascii="仿宋" w:hAnsi="仿宋" w:eastAsia="仿宋" w:cs="仿宋"/>
                <w:bCs w:val="0"/>
                <w:color w:val="auto"/>
                <w:sz w:val="24"/>
                <w:szCs w:val="24"/>
                <w:highlight w:val="none"/>
                <w:lang w:eastAsia="zh-CN"/>
              </w:rPr>
              <w:t>4</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方案较简略、针对性不强的，得</w:t>
            </w:r>
            <w:r>
              <w:rPr>
                <w:rFonts w:hint="eastAsia" w:ascii="仿宋" w:hAnsi="仿宋" w:eastAsia="仿宋" w:cs="仿宋"/>
                <w:bCs w:val="0"/>
                <w:color w:val="auto"/>
                <w:sz w:val="24"/>
                <w:szCs w:val="24"/>
                <w:highlight w:val="none"/>
                <w:lang w:eastAsia="zh-CN"/>
              </w:rPr>
              <w:t>2</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未提供方案的，得0分。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响应</w:t>
            </w:r>
            <w:r>
              <w:rPr>
                <w:rFonts w:hint="eastAsia" w:ascii="仿宋" w:hAnsi="仿宋" w:eastAsia="仿宋" w:cs="仿宋"/>
                <w:bCs w:val="0"/>
                <w:color w:val="auto"/>
                <w:sz w:val="24"/>
                <w:szCs w:val="24"/>
                <w:highlight w:val="none"/>
                <w:lang w:val="en-US" w:eastAsia="zh-CN"/>
              </w:rPr>
              <w:t>供应商</w:t>
            </w:r>
            <w:r>
              <w:rPr>
                <w:rFonts w:hint="eastAsia" w:ascii="仿宋" w:hAnsi="仿宋" w:eastAsia="仿宋" w:cs="仿宋"/>
                <w:bCs w:val="0"/>
                <w:color w:val="auto"/>
                <w:sz w:val="24"/>
                <w:szCs w:val="24"/>
                <w:highlight w:val="none"/>
              </w:rPr>
              <w:t>的项目运维管理能力</w:t>
            </w:r>
          </w:p>
        </w:tc>
        <w:tc>
          <w:tcPr>
            <w:tcW w:w="6966" w:type="dxa"/>
            <w:noWrap w:val="0"/>
            <w:vAlign w:val="center"/>
          </w:tcPr>
          <w:p>
            <w:pPr>
              <w:pStyle w:val="19"/>
              <w:numPr>
                <w:ilvl w:val="0"/>
                <w:numId w:val="0"/>
              </w:numPr>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响应</w:t>
            </w:r>
            <w:r>
              <w:rPr>
                <w:rFonts w:hint="eastAsia" w:ascii="仿宋" w:hAnsi="仿宋" w:eastAsia="仿宋" w:cs="仿宋"/>
                <w:bCs w:val="0"/>
                <w:color w:val="auto"/>
                <w:sz w:val="24"/>
                <w:szCs w:val="24"/>
                <w:highlight w:val="none"/>
                <w:lang w:val="en-US" w:eastAsia="zh-CN"/>
              </w:rPr>
              <w:t>供应商</w:t>
            </w:r>
            <w:r>
              <w:rPr>
                <w:rFonts w:hint="eastAsia" w:ascii="仿宋" w:hAnsi="仿宋" w:eastAsia="仿宋" w:cs="仿宋"/>
                <w:bCs w:val="0"/>
                <w:color w:val="auto"/>
                <w:sz w:val="24"/>
                <w:szCs w:val="24"/>
                <w:highlight w:val="none"/>
              </w:rPr>
              <w:t>服务团队具备以下认证的：</w:t>
            </w:r>
          </w:p>
          <w:p>
            <w:pPr>
              <w:pStyle w:val="19"/>
              <w:numPr>
                <w:ilvl w:val="0"/>
                <w:numId w:val="0"/>
              </w:numPr>
              <w:spacing w:after="0" w:line="360" w:lineRule="auto"/>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lang w:val="en-US" w:eastAsia="zh-CN"/>
              </w:rPr>
              <w:t>1.</w:t>
            </w:r>
            <w:r>
              <w:rPr>
                <w:rFonts w:hint="eastAsia" w:ascii="仿宋" w:hAnsi="仿宋" w:eastAsia="仿宋" w:cs="仿宋"/>
                <w:bCs w:val="0"/>
                <w:color w:val="auto"/>
                <w:szCs w:val="24"/>
                <w:highlight w:val="none"/>
              </w:rPr>
              <w:t>人力资源和社会保障部门颁发的信息系统项目管理师（高级）资质；</w:t>
            </w:r>
            <w:r>
              <w:rPr>
                <w:rFonts w:hint="eastAsia" w:ascii="仿宋" w:hAnsi="仿宋" w:eastAsia="仿宋" w:cs="仿宋"/>
                <w:bCs w:val="0"/>
                <w:color w:val="auto"/>
                <w:sz w:val="24"/>
                <w:szCs w:val="24"/>
                <w:highlight w:val="none"/>
              </w:rPr>
              <w:t>得</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分</w:t>
            </w:r>
          </w:p>
          <w:p>
            <w:pPr>
              <w:pStyle w:val="19"/>
              <w:numPr>
                <w:ilvl w:val="0"/>
                <w:numId w:val="0"/>
              </w:numPr>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Cs w:val="24"/>
                <w:highlight w:val="none"/>
                <w:lang w:eastAsia="zh-CN"/>
              </w:rPr>
              <w:t>2</w:t>
            </w:r>
            <w:r>
              <w:rPr>
                <w:rFonts w:hint="eastAsia" w:ascii="仿宋" w:hAnsi="仿宋" w:eastAsia="仿宋" w:cs="仿宋"/>
                <w:bCs w:val="0"/>
                <w:color w:val="auto"/>
                <w:szCs w:val="24"/>
                <w:highlight w:val="none"/>
                <w:lang w:val="en-US" w:eastAsia="zh-CN"/>
              </w:rPr>
              <w:t>.</w:t>
            </w:r>
            <w:r>
              <w:rPr>
                <w:rFonts w:hint="eastAsia" w:ascii="仿宋" w:hAnsi="仿宋" w:eastAsia="仿宋" w:cs="仿宋"/>
                <w:bCs w:val="0"/>
                <w:color w:val="auto"/>
                <w:szCs w:val="24"/>
                <w:highlight w:val="none"/>
              </w:rPr>
              <w:t>人力资源和社会保障部门颁发的</w:t>
            </w:r>
            <w:r>
              <w:rPr>
                <w:rFonts w:hint="eastAsia" w:ascii="仿宋" w:hAnsi="仿宋" w:eastAsia="仿宋" w:cs="仿宋"/>
                <w:bCs w:val="0"/>
                <w:color w:val="auto"/>
                <w:szCs w:val="24"/>
                <w:highlight w:val="none"/>
                <w:lang w:val="en-US" w:eastAsia="zh-CN"/>
              </w:rPr>
              <w:t>软件</w:t>
            </w:r>
            <w:r>
              <w:rPr>
                <w:rFonts w:hint="eastAsia" w:ascii="仿宋" w:hAnsi="仿宋" w:eastAsia="仿宋" w:cs="仿宋"/>
                <w:bCs w:val="0"/>
                <w:color w:val="auto"/>
                <w:szCs w:val="24"/>
                <w:highlight w:val="none"/>
              </w:rPr>
              <w:t>设计师</w:t>
            </w:r>
            <w:r>
              <w:rPr>
                <w:rFonts w:hint="eastAsia" w:ascii="仿宋" w:hAnsi="仿宋" w:eastAsia="仿宋" w:cs="仿宋"/>
                <w:bCs w:val="0"/>
                <w:color w:val="auto"/>
                <w:szCs w:val="24"/>
                <w:highlight w:val="none"/>
                <w:lang w:eastAsia="zh-CN"/>
              </w:rPr>
              <w:t>（</w:t>
            </w:r>
            <w:r>
              <w:rPr>
                <w:rFonts w:hint="eastAsia" w:ascii="仿宋" w:hAnsi="仿宋" w:eastAsia="仿宋" w:cs="仿宋"/>
                <w:bCs w:val="0"/>
                <w:color w:val="auto"/>
                <w:szCs w:val="24"/>
                <w:highlight w:val="none"/>
                <w:lang w:val="en-US" w:eastAsia="zh-CN"/>
              </w:rPr>
              <w:t>中级</w:t>
            </w:r>
            <w:r>
              <w:rPr>
                <w:rFonts w:hint="eastAsia" w:ascii="仿宋" w:hAnsi="仿宋" w:eastAsia="仿宋" w:cs="仿宋"/>
                <w:bCs w:val="0"/>
                <w:color w:val="auto"/>
                <w:szCs w:val="24"/>
                <w:highlight w:val="none"/>
                <w:lang w:eastAsia="zh-CN"/>
              </w:rPr>
              <w:t>）</w:t>
            </w:r>
            <w:r>
              <w:rPr>
                <w:rFonts w:hint="eastAsia" w:ascii="仿宋" w:hAnsi="仿宋" w:eastAsia="仿宋" w:cs="仿宋"/>
                <w:bCs w:val="0"/>
                <w:color w:val="auto"/>
                <w:szCs w:val="24"/>
                <w:highlight w:val="none"/>
              </w:rPr>
              <w:t>资质；</w:t>
            </w:r>
            <w:r>
              <w:rPr>
                <w:rFonts w:hint="eastAsia" w:ascii="仿宋" w:hAnsi="仿宋" w:eastAsia="仿宋" w:cs="仿宋"/>
                <w:bCs w:val="0"/>
                <w:color w:val="auto"/>
                <w:sz w:val="24"/>
                <w:szCs w:val="24"/>
                <w:highlight w:val="none"/>
              </w:rPr>
              <w:t>得</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分</w:t>
            </w:r>
          </w:p>
          <w:p>
            <w:pPr>
              <w:pStyle w:val="19"/>
              <w:numPr>
                <w:ilvl w:val="0"/>
                <w:numId w:val="0"/>
              </w:numPr>
              <w:spacing w:after="0" w:line="360" w:lineRule="auto"/>
              <w:rPr>
                <w:rFonts w:hint="eastAsia" w:ascii="仿宋" w:hAnsi="仿宋" w:eastAsia="仿宋" w:cs="仿宋"/>
                <w:bCs w:val="0"/>
                <w:color w:val="auto"/>
                <w:szCs w:val="24"/>
                <w:highlight w:val="none"/>
              </w:rPr>
            </w:pPr>
            <w:r>
              <w:rPr>
                <w:rFonts w:hint="eastAsia" w:ascii="仿宋" w:hAnsi="仿宋" w:eastAsia="仿宋" w:cs="仿宋"/>
                <w:bCs w:val="0"/>
                <w:color w:val="auto"/>
                <w:sz w:val="24"/>
                <w:szCs w:val="24"/>
                <w:highlight w:val="none"/>
              </w:rPr>
              <w:t>（需提供以上证书的证明文件复印件加盖公章；若同一人同时具有多项证书的，则以得分高得证书进行计算，不可叠加计算）</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培训方案</w:t>
            </w:r>
          </w:p>
        </w:tc>
        <w:tc>
          <w:tcPr>
            <w:tcW w:w="6966" w:type="dxa"/>
            <w:noWrap w:val="0"/>
            <w:vAlign w:val="center"/>
          </w:tcPr>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对采购人的管理人员、操作人员及维护人员进行培训等承诺情况综合评审：</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1.培训计划中的内容完整，安排合理可行，承诺最好，得8分；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2.培训计划中的内容较完整，安排较合理可行，承诺较好，得5分；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3.培训计划中的内容一般，安排不较可行，承诺一般，得2分；</w:t>
            </w:r>
          </w:p>
          <w:p>
            <w:pPr>
              <w:pStyle w:val="19"/>
              <w:spacing w:after="0"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4.没有提供的得0分。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商务部分</w:t>
            </w:r>
          </w:p>
        </w:tc>
        <w:tc>
          <w:tcPr>
            <w:tcW w:w="6966" w:type="dxa"/>
            <w:noWrap w:val="0"/>
            <w:vAlign w:val="center"/>
          </w:tcPr>
          <w:p>
            <w:pPr>
              <w:pStyle w:val="19"/>
              <w:spacing w:after="0" w:line="360" w:lineRule="auto"/>
              <w:jc w:val="center"/>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评审标准</w:t>
            </w:r>
          </w:p>
        </w:tc>
        <w:tc>
          <w:tcPr>
            <w:tcW w:w="837" w:type="dxa"/>
            <w:noWrap w:val="0"/>
            <w:vAlign w:val="center"/>
          </w:tcPr>
          <w:p>
            <w:pPr>
              <w:pStyle w:val="19"/>
              <w:spacing w:after="0" w:line="360" w:lineRule="auto"/>
              <w:jc w:val="center"/>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default" w:ascii="仿宋" w:hAnsi="仿宋" w:eastAsia="仿宋" w:cs="仿宋"/>
                <w:bCs w:val="0"/>
                <w:color w:val="auto"/>
                <w:sz w:val="24"/>
                <w:szCs w:val="24"/>
                <w:highlight w:val="none"/>
              </w:rPr>
              <w:t>企业资质与实力</w:t>
            </w:r>
          </w:p>
        </w:tc>
        <w:tc>
          <w:tcPr>
            <w:tcW w:w="6966" w:type="dxa"/>
            <w:noWrap w:val="0"/>
            <w:vAlign w:val="top"/>
          </w:tcPr>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供应商</w:t>
            </w:r>
            <w:r>
              <w:rPr>
                <w:rFonts w:hint="default" w:ascii="仿宋" w:hAnsi="仿宋" w:eastAsia="仿宋" w:cs="仿宋"/>
                <w:bCs w:val="0"/>
                <w:color w:val="auto"/>
                <w:sz w:val="24"/>
                <w:szCs w:val="24"/>
                <w:highlight w:val="none"/>
              </w:rPr>
              <w:t>具有技术服务所需</w:t>
            </w:r>
            <w:r>
              <w:rPr>
                <w:rFonts w:hint="eastAsia" w:ascii="仿宋" w:hAnsi="仿宋" w:eastAsia="仿宋" w:cs="仿宋"/>
                <w:bCs w:val="0"/>
                <w:color w:val="auto"/>
                <w:sz w:val="24"/>
                <w:szCs w:val="24"/>
                <w:highlight w:val="none"/>
                <w:lang w:val="en-US" w:eastAsia="zh-CN"/>
              </w:rPr>
              <w:t>的</w:t>
            </w:r>
            <w:r>
              <w:rPr>
                <w:rFonts w:hint="default" w:ascii="仿宋" w:hAnsi="仿宋" w:eastAsia="仿宋" w:cs="仿宋"/>
                <w:bCs w:val="0"/>
                <w:color w:val="auto"/>
                <w:sz w:val="24"/>
                <w:szCs w:val="24"/>
                <w:highlight w:val="none"/>
              </w:rPr>
              <w:t>自主开发能力，由国家版权局颁发的</w:t>
            </w:r>
            <w:r>
              <w:rPr>
                <w:rFonts w:hint="eastAsia" w:ascii="仿宋" w:hAnsi="仿宋" w:eastAsia="仿宋" w:cs="仿宋"/>
                <w:bCs w:val="0"/>
                <w:color w:val="auto"/>
                <w:sz w:val="24"/>
                <w:szCs w:val="24"/>
                <w:highlight w:val="none"/>
                <w:lang w:val="en-US" w:eastAsia="zh-CN"/>
              </w:rPr>
              <w:t>相关</w:t>
            </w:r>
            <w:r>
              <w:rPr>
                <w:rFonts w:hint="default" w:ascii="仿宋" w:hAnsi="仿宋" w:eastAsia="仿宋" w:cs="仿宋"/>
                <w:bCs w:val="0"/>
                <w:color w:val="auto"/>
                <w:sz w:val="24"/>
                <w:szCs w:val="24"/>
                <w:highlight w:val="none"/>
              </w:rPr>
              <w:t>计算机软件著作权登记证书。每提供一个得</w:t>
            </w:r>
            <w:r>
              <w:rPr>
                <w:rFonts w:hint="eastAsia" w:ascii="仿宋" w:hAnsi="仿宋" w:eastAsia="仿宋" w:cs="仿宋"/>
                <w:bCs w:val="0"/>
                <w:color w:val="auto"/>
                <w:sz w:val="24"/>
                <w:szCs w:val="24"/>
                <w:highlight w:val="none"/>
                <w:lang w:eastAsia="zh-CN"/>
              </w:rPr>
              <w:t>3</w:t>
            </w:r>
            <w:r>
              <w:rPr>
                <w:rFonts w:hint="default" w:ascii="仿宋" w:hAnsi="仿宋" w:eastAsia="仿宋" w:cs="仿宋"/>
                <w:bCs w:val="0"/>
                <w:color w:val="auto"/>
                <w:sz w:val="24"/>
                <w:szCs w:val="24"/>
                <w:highlight w:val="none"/>
              </w:rPr>
              <w:t>分，满分6分（提供证书复印件，与</w:t>
            </w:r>
            <w:r>
              <w:rPr>
                <w:rFonts w:hint="eastAsia" w:ascii="仿宋" w:hAnsi="仿宋" w:eastAsia="仿宋" w:cs="仿宋"/>
                <w:bCs w:val="0"/>
                <w:color w:val="auto"/>
                <w:sz w:val="24"/>
                <w:szCs w:val="24"/>
                <w:highlight w:val="none"/>
                <w:lang w:val="en-US" w:eastAsia="zh-CN"/>
              </w:rPr>
              <w:t>电子病历系统、无纸化病案归档系统、合理用药系统</w:t>
            </w:r>
            <w:r>
              <w:rPr>
                <w:rFonts w:hint="default" w:ascii="仿宋" w:hAnsi="仿宋" w:eastAsia="仿宋" w:cs="仿宋"/>
                <w:bCs w:val="0"/>
                <w:color w:val="auto"/>
                <w:sz w:val="24"/>
                <w:szCs w:val="24"/>
                <w:highlight w:val="none"/>
              </w:rPr>
              <w:t>无关的不得分）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default" w:ascii="仿宋" w:hAnsi="仿宋" w:eastAsia="仿宋" w:cs="仿宋"/>
                <w:bCs w:val="0"/>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default" w:ascii="仿宋" w:hAnsi="仿宋" w:eastAsia="仿宋" w:cs="仿宋"/>
                <w:bCs w:val="0"/>
                <w:color w:val="auto"/>
                <w:sz w:val="24"/>
                <w:szCs w:val="24"/>
                <w:highlight w:val="none"/>
              </w:rPr>
              <w:t>同类项目业绩</w:t>
            </w:r>
          </w:p>
        </w:tc>
        <w:tc>
          <w:tcPr>
            <w:tcW w:w="6966" w:type="dxa"/>
            <w:noWrap w:val="0"/>
            <w:vAlign w:val="top"/>
          </w:tcPr>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根据响应供应商2020年1月1日至今（以合同签订时间为准）的同类业绩情况进行评分，每提供一个业绩得2分，本项最高得10分。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同类业绩证明文件是成交通知书或合同的复印件或扫描件，合同可以是提供关键页面，无提供或提供证明文件不全的不得分。成交通知书是指组织招标投标活动的机构依据《中华人民共和国招标投标法》或《中华人民共和国政府采购法》的规定向成交的中标人发出的告知其成交的书面通知文件，无提供证明文件不得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default" w:ascii="仿宋" w:hAnsi="仿宋" w:eastAsia="仿宋" w:cs="仿宋"/>
                <w:bCs w:val="0"/>
                <w:color w:val="auto"/>
                <w:sz w:val="24"/>
                <w:szCs w:val="24"/>
                <w:highlight w:val="none"/>
              </w:rPr>
              <w:t>售后服务能力</w:t>
            </w:r>
          </w:p>
        </w:tc>
        <w:tc>
          <w:tcPr>
            <w:tcW w:w="6966" w:type="dxa"/>
            <w:noWrap w:val="0"/>
            <w:vAlign w:val="center"/>
          </w:tcPr>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1.响应供应商的售后服务方案（技术维护维修资质力量、服务响应时间等） 全面、合理、可行得 7 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2.响应供应商的售后服务方案（技术维护维修资质力量、服务响应时间等） 较为全面、合理、可行，能基本满足本项目的售后服务需求，得 4 分， </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3.响应供应商的售后服务方案（技术维护维修资质力量、服务响应时间等） 有瑕疵得 1分，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4.未提供不得分。</w:t>
            </w:r>
          </w:p>
        </w:tc>
        <w:tc>
          <w:tcPr>
            <w:tcW w:w="837" w:type="dxa"/>
            <w:noWrap w:val="0"/>
            <w:vAlign w:val="center"/>
          </w:tcPr>
          <w:p>
            <w:pPr>
              <w:pStyle w:val="19"/>
              <w:spacing w:after="0" w:line="360" w:lineRule="auto"/>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noWrap w:val="0"/>
            <w:vAlign w:val="center"/>
          </w:tcPr>
          <w:p>
            <w:pPr>
              <w:pStyle w:val="19"/>
              <w:spacing w:after="0" w:line="360" w:lineRule="auto"/>
              <w:jc w:val="center"/>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报价</w:t>
            </w:r>
          </w:p>
        </w:tc>
        <w:tc>
          <w:tcPr>
            <w:tcW w:w="6966" w:type="dxa"/>
            <w:noWrap w:val="0"/>
            <w:vAlign w:val="center"/>
          </w:tcPr>
          <w:p>
            <w:pPr>
              <w:pStyle w:val="19"/>
              <w:spacing w:after="0" w:line="360" w:lineRule="auto"/>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报价得分＝（基准价/</w:t>
            </w: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报价）×价格分值（注：满足</w:t>
            </w:r>
            <w:r>
              <w:rPr>
                <w:rFonts w:hint="eastAsia" w:ascii="仿宋" w:hAnsi="仿宋" w:eastAsia="仿宋" w:cs="仿宋"/>
                <w:bCs w:val="0"/>
                <w:color w:val="auto"/>
                <w:sz w:val="24"/>
                <w:szCs w:val="24"/>
                <w:highlight w:val="none"/>
                <w:lang w:val="en-US" w:eastAsia="zh-CN"/>
              </w:rPr>
              <w:t>比选</w:t>
            </w:r>
            <w:r>
              <w:rPr>
                <w:rFonts w:hint="eastAsia" w:ascii="仿宋" w:hAnsi="仿宋" w:eastAsia="仿宋" w:cs="仿宋"/>
                <w:bCs w:val="0"/>
                <w:color w:val="auto"/>
                <w:sz w:val="24"/>
                <w:szCs w:val="24"/>
                <w:highlight w:val="none"/>
              </w:rPr>
              <w:t>文件要求且</w:t>
            </w: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价格最低的</w:t>
            </w: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报价为基准价。）最低报价不是</w:t>
            </w:r>
            <w:r>
              <w:rPr>
                <w:rFonts w:hint="eastAsia" w:ascii="仿宋" w:hAnsi="仿宋" w:eastAsia="仿宋" w:cs="仿宋"/>
                <w:bCs w:val="0"/>
                <w:color w:val="auto"/>
                <w:sz w:val="24"/>
                <w:szCs w:val="24"/>
                <w:highlight w:val="none"/>
                <w:lang w:eastAsia="zh-CN"/>
              </w:rPr>
              <w:t>成交</w:t>
            </w:r>
            <w:r>
              <w:rPr>
                <w:rFonts w:hint="eastAsia" w:ascii="仿宋" w:hAnsi="仿宋" w:eastAsia="仿宋" w:cs="仿宋"/>
                <w:bCs w:val="0"/>
                <w:color w:val="auto"/>
                <w:sz w:val="24"/>
                <w:szCs w:val="24"/>
                <w:highlight w:val="none"/>
              </w:rPr>
              <w:t>的唯一依据。 因落实政府采购政策进行价格调整的，以调整后的价格计算基准价和</w:t>
            </w:r>
            <w:r>
              <w:rPr>
                <w:rFonts w:hint="eastAsia" w:ascii="仿宋" w:hAnsi="仿宋" w:eastAsia="仿宋" w:cs="仿宋"/>
                <w:bCs w:val="0"/>
                <w:color w:val="auto"/>
                <w:sz w:val="24"/>
                <w:szCs w:val="24"/>
                <w:highlight w:val="none"/>
                <w:lang w:val="en-US" w:eastAsia="zh-CN"/>
              </w:rPr>
              <w:t>响应</w:t>
            </w:r>
            <w:r>
              <w:rPr>
                <w:rFonts w:hint="eastAsia" w:ascii="仿宋" w:hAnsi="仿宋" w:eastAsia="仿宋" w:cs="仿宋"/>
                <w:bCs w:val="0"/>
                <w:color w:val="auto"/>
                <w:sz w:val="24"/>
                <w:szCs w:val="24"/>
                <w:highlight w:val="none"/>
              </w:rPr>
              <w:t>报价。</w:t>
            </w:r>
          </w:p>
        </w:tc>
        <w:tc>
          <w:tcPr>
            <w:tcW w:w="837" w:type="dxa"/>
            <w:noWrap w:val="0"/>
            <w:vAlign w:val="center"/>
          </w:tcPr>
          <w:p>
            <w:pPr>
              <w:pStyle w:val="19"/>
              <w:spacing w:after="0" w:line="36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30</w:t>
            </w:r>
          </w:p>
        </w:tc>
      </w:tr>
    </w:tbl>
    <w:p>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pPr>
        <w:pStyle w:val="11"/>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7" w:name="_Hlk66180132"/>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7"/>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8" w:name="_Hlk66180218"/>
      <w:r>
        <w:rPr>
          <w:rFonts w:hint="eastAsia" w:ascii="仿宋" w:hAnsi="仿宋" w:eastAsia="仿宋" w:cs="仿宋"/>
          <w:b/>
          <w:bCs/>
          <w:color w:val="auto"/>
          <w:sz w:val="24"/>
          <w:highlight w:val="none"/>
        </w:rPr>
        <w:t>适用法律及规定</w:t>
      </w:r>
      <w:bookmarkEnd w:id="8"/>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left"/>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7"/>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1"/>
              <w:spacing w:line="800" w:lineRule="exact"/>
              <w:jc w:val="left"/>
              <w:rPr>
                <w:rFonts w:hint="eastAsia" w:ascii="宋体" w:hAnsi="宋体" w:eastAsia="宋体"/>
                <w:b/>
                <w:color w:val="auto"/>
                <w:sz w:val="30"/>
                <w:szCs w:val="30"/>
                <w:highlight w:val="none"/>
                <w:lang w:eastAsia="zh-CN"/>
              </w:rPr>
            </w:pPr>
          </w:p>
          <w:p>
            <w:pPr>
              <w:pStyle w:val="11"/>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11"/>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11"/>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1"/>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1"/>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pPr>
        <w:pStyle w:val="20"/>
        <w:numPr>
          <w:ilvl w:val="0"/>
          <w:numId w:val="4"/>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pPr>
        <w:pStyle w:val="20"/>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本合同甲方委托乙方承当</w:t>
      </w:r>
      <w:r>
        <w:rPr>
          <w:rFonts w:hint="eastAsia" w:ascii="宋体" w:hAnsi="宋体"/>
          <w:color w:val="auto"/>
          <w:sz w:val="24"/>
          <w:highlight w:val="none"/>
          <w:u w:val="single"/>
        </w:rPr>
        <w:t xml:space="preserve">                                </w:t>
      </w:r>
      <w:r>
        <w:rPr>
          <w:rFonts w:hint="eastAsia" w:ascii="宋体" w:hAnsi="宋体"/>
          <w:color w:val="auto"/>
          <w:sz w:val="24"/>
          <w:highlight w:val="none"/>
        </w:rPr>
        <w:t>项目，并支付研究开发经费和报酬，乙方接受委托并进行此项研究开发工作。</w:t>
      </w:r>
    </w:p>
    <w:p>
      <w:pPr>
        <w:pStyle w:val="20"/>
        <w:tabs>
          <w:tab w:val="left" w:pos="960"/>
        </w:tabs>
        <w:spacing w:line="360" w:lineRule="auto"/>
        <w:ind w:firstLine="481" w:firstLineChars="0"/>
        <w:rPr>
          <w:rFonts w:ascii="宋体" w:hAnsi="宋体"/>
          <w:color w:val="auto"/>
          <w:sz w:val="24"/>
          <w:highlight w:val="none"/>
        </w:rPr>
      </w:pPr>
    </w:p>
    <w:tbl>
      <w:tblPr>
        <w:tblStyle w:val="17"/>
        <w:tblW w:w="4996" w:type="pct"/>
        <w:tblInd w:w="0" w:type="dxa"/>
        <w:tblLayout w:type="autofit"/>
        <w:tblCellMar>
          <w:top w:w="0" w:type="dxa"/>
          <w:left w:w="108" w:type="dxa"/>
          <w:bottom w:w="0" w:type="dxa"/>
          <w:right w:w="108" w:type="dxa"/>
        </w:tblCellMar>
      </w:tblPr>
      <w:tblGrid>
        <w:gridCol w:w="934"/>
        <w:gridCol w:w="1493"/>
        <w:gridCol w:w="2416"/>
        <w:gridCol w:w="906"/>
        <w:gridCol w:w="1439"/>
        <w:gridCol w:w="2097"/>
      </w:tblGrid>
      <w:tr>
        <w:tblPrEx>
          <w:tblCellMar>
            <w:top w:w="0" w:type="dxa"/>
            <w:left w:w="108" w:type="dxa"/>
            <w:bottom w:w="0" w:type="dxa"/>
            <w:right w:w="108" w:type="dxa"/>
          </w:tblCellMar>
        </w:tblPrEx>
        <w:trPr>
          <w:trHeight w:val="480"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804"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产品编码</w:t>
            </w:r>
          </w:p>
        </w:tc>
        <w:tc>
          <w:tcPr>
            <w:tcW w:w="1301"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488"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775"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127" w:type="pc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总金额（元）</w:t>
            </w:r>
          </w:p>
        </w:tc>
      </w:tr>
      <w:tr>
        <w:tblPrEx>
          <w:tblCellMar>
            <w:top w:w="0" w:type="dxa"/>
            <w:left w:w="108" w:type="dxa"/>
            <w:bottom w:w="0" w:type="dxa"/>
            <w:right w:w="108" w:type="dxa"/>
          </w:tblCellMar>
        </w:tblPrEx>
        <w:trPr>
          <w:trHeight w:val="630" w:hRule="atLeast"/>
        </w:trPr>
        <w:tc>
          <w:tcPr>
            <w:tcW w:w="503" w:type="pct"/>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804" w:type="pct"/>
            <w:tcBorders>
              <w:top w:val="nil"/>
              <w:left w:val="nil"/>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 xml:space="preserve"> </w:t>
            </w:r>
          </w:p>
        </w:tc>
        <w:tc>
          <w:tcPr>
            <w:tcW w:w="1301" w:type="pc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 xml:space="preserve"> </w:t>
            </w:r>
          </w:p>
        </w:tc>
        <w:tc>
          <w:tcPr>
            <w:tcW w:w="488" w:type="pc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 xml:space="preserve"> </w:t>
            </w:r>
          </w:p>
        </w:tc>
        <w:tc>
          <w:tcPr>
            <w:tcW w:w="775" w:type="pc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p>
        </w:tc>
        <w:tc>
          <w:tcPr>
            <w:tcW w:w="1127" w:type="pct"/>
            <w:tcBorders>
              <w:top w:val="nil"/>
              <w:left w:val="nil"/>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CellMar>
            <w:top w:w="0" w:type="dxa"/>
            <w:left w:w="108" w:type="dxa"/>
            <w:bottom w:w="0" w:type="dxa"/>
            <w:right w:w="108" w:type="dxa"/>
          </w:tblCellMar>
        </w:tblPrEx>
        <w:trPr>
          <w:trHeight w:val="7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highlight w:val="none"/>
              </w:rPr>
            </w:pPr>
          </w:p>
          <w:p>
            <w:pPr>
              <w:jc w:val="left"/>
              <w:rPr>
                <w:rFonts w:ascii="宋体" w:hAnsi="宋体"/>
                <w:color w:val="auto"/>
                <w:sz w:val="24"/>
                <w:highlight w:val="none"/>
              </w:rPr>
            </w:pPr>
            <w:r>
              <w:rPr>
                <w:rFonts w:hint="eastAsia" w:ascii="宋体" w:hAnsi="宋体"/>
                <w:color w:val="auto"/>
                <w:sz w:val="24"/>
                <w:highlight w:val="none"/>
              </w:rPr>
              <w:t>发票名称：</w:t>
            </w:r>
          </w:p>
          <w:p>
            <w:pPr>
              <w:jc w:val="left"/>
              <w:rPr>
                <w:rFonts w:ascii="宋体" w:hAnsi="宋体"/>
                <w:color w:val="auto"/>
                <w:sz w:val="24"/>
                <w:highlight w:val="none"/>
              </w:rPr>
            </w:pPr>
          </w:p>
          <w:p>
            <w:pPr>
              <w:jc w:val="left"/>
              <w:rPr>
                <w:rFonts w:ascii="宋体" w:hAnsi="宋体"/>
                <w:color w:val="auto"/>
                <w:sz w:val="24"/>
                <w:highlight w:val="none"/>
              </w:rPr>
            </w:pPr>
            <w:r>
              <w:rPr>
                <w:rFonts w:hint="eastAsia" w:ascii="宋体" w:hAnsi="宋体"/>
                <w:color w:val="auto"/>
                <w:sz w:val="24"/>
                <w:highlight w:val="none"/>
              </w:rPr>
              <w:t xml:space="preserve">合计：（大写）人民币        元整；¥         元                       </w:t>
            </w:r>
          </w:p>
        </w:tc>
      </w:tr>
    </w:tbl>
    <w:p>
      <w:pPr>
        <w:spacing w:line="360" w:lineRule="auto"/>
        <w:rPr>
          <w:rFonts w:ascii="宋体" w:hAnsi="宋体"/>
          <w:b/>
          <w:color w:val="auto"/>
          <w:sz w:val="24"/>
          <w:highlight w:val="none"/>
        </w:rPr>
      </w:pP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四、交货期、交货方式和交货地点</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合同签订15个工作日后，支付合同总金额的30%；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项目功能上线15个工作日后，支付合同总金额的30%。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项目验收合格15个工作日后，支付合同总金额的40%。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支付方式采用银行转账方式。</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乙方账户信息如下：</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.乙方必须向甲方出具合法有效完整的完税发票及凭证进行支付结算。</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六、质保期及售后服务要求</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3.甲方无正当理由拒收货物、接受服务，到期拒付货物、工程、提供服务款项的，甲方向乙方偿付拒付款项的5%的违约金。甲方逾期付款，则每日按逾期款项的3‰向乙方偿付违约金。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1.甲方和乙方承诺对合同相关资料保密，在未取得另一方同意之前，不得向第三方披露或为履行合同以外的目的使用这些资料。</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2.乙方遵循相应职业道德对开发过程中涉及到甲方的有关数据机密进行严格保密。</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3.一方在未得到另一方事先同意前，任何一方均不得发布、寄送与本合同有关之公告、新闻稿、通讯或通函〔除非法律或法规要求〕。</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4.合同终止后，该保密条款仍然有效。</w:t>
      </w:r>
    </w:p>
    <w:p>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文件、中标通知书通知书均为合同的有效组成部分，与本合同具有同等法律效力，乙方除按本合同约定的履行合同义务外，还应按其提供的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十五、合同生效</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2.一式伍份，具有同等效力，甲方持肆份，乙方持壹份。</w:t>
      </w:r>
    </w:p>
    <w:p>
      <w:pPr>
        <w:pStyle w:val="9"/>
        <w:rPr>
          <w:rFonts w:hint="eastAsia"/>
          <w:color w:val="auto"/>
          <w:highlight w:val="none"/>
        </w:rPr>
      </w:pPr>
    </w:p>
    <w:p>
      <w:pPr>
        <w:pStyle w:val="9"/>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(以下无正文）</w:t>
      </w:r>
    </w:p>
    <w:p>
      <w:pPr>
        <w:pStyle w:val="9"/>
        <w:jc w:val="center"/>
        <w:rPr>
          <w:rFonts w:hint="default" w:ascii="宋体" w:hAnsi="宋体"/>
          <w:color w:val="auto"/>
          <w:sz w:val="24"/>
          <w:highlight w:val="none"/>
          <w:lang w:val="en-US" w:eastAsia="zh-CN"/>
        </w:rPr>
      </w:pPr>
    </w:p>
    <w:p>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firstLine="480" w:firstLineChars="200"/>
        <w:jc w:val="left"/>
        <w:rPr>
          <w:rFonts w:ascii="宋体"/>
          <w:color w:val="auto"/>
          <w:sz w:val="24"/>
          <w:highlight w:val="none"/>
        </w:rPr>
      </w:pPr>
      <w:r>
        <w:rPr>
          <w:rFonts w:hint="eastAsia" w:ascii="宋体"/>
          <w:color w:val="auto"/>
          <w:sz w:val="24"/>
          <w:highlight w:val="none"/>
        </w:rPr>
        <w:t xml:space="preserve">法人代表：    </w:t>
      </w:r>
      <w:r>
        <w:rPr>
          <w:rFonts w:hint="eastAsia" w:ascii="宋体"/>
          <w:color w:val="auto"/>
          <w:sz w:val="24"/>
          <w:highlight w:val="none"/>
          <w:lang w:val="en-US" w:eastAsia="zh-CN"/>
        </w:rPr>
        <w:t xml:space="preserve">                        </w:t>
      </w:r>
      <w:r>
        <w:rPr>
          <w:rFonts w:hint="eastAsia" w:ascii="宋体"/>
          <w:color w:val="auto"/>
          <w:sz w:val="24"/>
          <w:highlight w:val="none"/>
        </w:rPr>
        <w:t>法人代表：</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pStyle w:val="2"/>
        <w:numPr>
          <w:ilvl w:val="0"/>
          <w:numId w:val="0"/>
        </w:numPr>
        <w:jc w:val="left"/>
        <w:rPr>
          <w:color w:val="auto"/>
          <w:sz w:val="28"/>
          <w:szCs w:val="30"/>
          <w:highlight w:val="none"/>
        </w:rPr>
      </w:pPr>
      <w:r>
        <w:rPr>
          <w:rFonts w:hint="eastAsia"/>
          <w:color w:val="auto"/>
          <w:sz w:val="28"/>
          <w:szCs w:val="30"/>
          <w:highlight w:val="none"/>
        </w:rPr>
        <w:t>附件一：项目验收报告</w:t>
      </w:r>
    </w:p>
    <w:p>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ind w:firstLine="2860" w:firstLineChars="13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p>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pPr>
              <w:adjustRightInd w:val="0"/>
              <w:snapToGrid w:val="0"/>
              <w:spacing w:after="200"/>
              <w:jc w:val="left"/>
              <w:rPr>
                <w:rFonts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pPr>
        <w:pStyle w:val="6"/>
        <w:ind w:firstLine="643"/>
        <w:rPr>
          <w:b/>
          <w:bCs/>
          <w:color w:val="auto"/>
          <w:sz w:val="32"/>
          <w:szCs w:val="32"/>
          <w:highlight w:val="none"/>
        </w:rPr>
      </w:pPr>
    </w:p>
    <w:p>
      <w:pP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br w:type="page"/>
      </w:r>
    </w:p>
    <w:p>
      <w:pP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1"/>
        <w:adjustRightInd w:val="0"/>
        <w:snapToGrid w:val="0"/>
        <w:spacing w:line="360" w:lineRule="auto"/>
        <w:jc w:val="center"/>
        <w:rPr>
          <w:rFonts w:hint="eastAsia" w:ascii="仿宋" w:hAnsi="仿宋" w:eastAsia="仿宋" w:cs="仿宋"/>
          <w:b/>
          <w:color w:val="auto"/>
          <w:kern w:val="0"/>
          <w:sz w:val="72"/>
          <w:szCs w:val="72"/>
          <w:highlight w:val="none"/>
        </w:rPr>
      </w:pPr>
    </w:p>
    <w:p>
      <w:pPr>
        <w:pStyle w:val="11"/>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1"/>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1"/>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1"/>
        <w:adjustRightInd w:val="0"/>
        <w:snapToGrid w:val="0"/>
        <w:spacing w:line="360" w:lineRule="auto"/>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1"/>
        <w:spacing w:line="360" w:lineRule="auto"/>
        <w:rPr>
          <w:rFonts w:hint="eastAsia" w:ascii="仿宋" w:hAnsi="仿宋" w:eastAsia="仿宋" w:cs="仿宋"/>
          <w:b/>
          <w:color w:val="auto"/>
          <w:sz w:val="28"/>
          <w:szCs w:val="28"/>
          <w:highlight w:val="none"/>
        </w:rPr>
      </w:pPr>
    </w:p>
    <w:p>
      <w:pPr>
        <w:pStyle w:val="11"/>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响应供应商：                              公章</w:t>
      </w:r>
      <w:r>
        <w:rPr>
          <w:rFonts w:hint="eastAsia" w:ascii="仿宋" w:hAnsi="仿宋" w:eastAsia="仿宋" w:cs="仿宋"/>
          <w:b/>
          <w:color w:val="auto"/>
          <w:kern w:val="0"/>
          <w:sz w:val="24"/>
          <w:szCs w:val="24"/>
          <w:highlight w:val="none"/>
          <w:lang w:eastAsia="zh-CN"/>
        </w:rPr>
        <w:t>：</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1"/>
        <w:adjustRightInd w:val="0"/>
        <w:snapToGrid w:val="0"/>
        <w:spacing w:line="440" w:lineRule="exact"/>
        <w:rPr>
          <w:rFonts w:hint="eastAsia"/>
          <w:color w:val="auto"/>
          <w:highlight w:val="none"/>
        </w:rPr>
      </w:pPr>
      <w:bookmarkStart w:id="9" w:name="_Toc202816995"/>
      <w:bookmarkStart w:id="10" w:name="_Toc202251074"/>
      <w:bookmarkStart w:id="11" w:name="_Toc202819877"/>
      <w:bookmarkStart w:id="12" w:name="_Toc202254104"/>
      <w:bookmarkStart w:id="13" w:name="_Toc202820350"/>
      <w:bookmarkStart w:id="14" w:name="_Toc202251699"/>
      <w:bookmarkStart w:id="15" w:name="_Toc202252033"/>
      <w:r>
        <w:rPr>
          <w:color w:val="auto"/>
          <w:highlight w:val="none"/>
        </w:rPr>
        <w:br w:type="page"/>
      </w:r>
      <w:r>
        <w:rPr>
          <w:rFonts w:hint="eastAsia" w:ascii="仿宋" w:hAnsi="仿宋" w:eastAsia="仿宋" w:cs="仿宋"/>
          <w:b/>
          <w:bCs/>
          <w:color w:val="auto"/>
          <w:sz w:val="28"/>
          <w:highlight w:val="none"/>
        </w:rPr>
        <w:t xml:space="preserve">1 </w:t>
      </w:r>
      <w:bookmarkEnd w:id="9"/>
      <w:bookmarkEnd w:id="10"/>
      <w:bookmarkEnd w:id="11"/>
      <w:bookmarkEnd w:id="12"/>
      <w:bookmarkEnd w:id="13"/>
      <w:bookmarkEnd w:id="14"/>
      <w:bookmarkEnd w:id="15"/>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5"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提供</w:t>
            </w:r>
            <w:r>
              <w:rPr>
                <w:rFonts w:hint="eastAsia" w:ascii="仿宋" w:hAnsi="仿宋" w:eastAsia="仿宋" w:cs="仿宋"/>
                <w:color w:val="auto"/>
                <w:szCs w:val="21"/>
                <w:highlight w:val="none"/>
                <w:lang w:val="en-US" w:eastAsia="zh-CN"/>
              </w:rPr>
              <w:t>2020</w:t>
            </w:r>
            <w:r>
              <w:rPr>
                <w:rFonts w:hint="eastAsia" w:ascii="仿宋" w:hAnsi="仿宋" w:eastAsia="仿宋" w:cs="仿宋"/>
                <w:color w:val="auto"/>
                <w:szCs w:val="21"/>
                <w:highlight w:val="none"/>
              </w:rPr>
              <w:t>年至</w:t>
            </w:r>
            <w:r>
              <w:rPr>
                <w:rFonts w:hint="eastAsia" w:ascii="仿宋" w:hAnsi="仿宋" w:eastAsia="仿宋" w:cs="仿宋"/>
                <w:color w:val="auto"/>
                <w:szCs w:val="21"/>
                <w:highlight w:val="none"/>
                <w:lang w:val="en-US" w:eastAsia="zh-CN"/>
              </w:rPr>
              <w:t>今</w:t>
            </w:r>
            <w:r>
              <w:rPr>
                <w:rFonts w:hint="eastAsia" w:ascii="仿宋" w:hAnsi="仿宋" w:eastAsia="仿宋" w:cs="仿宋"/>
                <w:color w:val="auto"/>
                <w:szCs w:val="21"/>
                <w:highlight w:val="none"/>
              </w:rPr>
              <w:t>任意一年的年度财务状况报告或基本开户行出具的资信证明，新成立公司提供成立至今的月或季度财务报表；</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spacing w:line="380" w:lineRule="exact"/>
              <w:ind w:left="40" w:leftChars="19"/>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非</w:t>
            </w:r>
            <w:r>
              <w:rPr>
                <w:rFonts w:hint="eastAsia" w:ascii="仿宋" w:hAnsi="仿宋" w:eastAsia="仿宋" w:cs="仿宋"/>
                <w:color w:val="auto"/>
                <w:szCs w:val="21"/>
                <w:highlight w:val="none"/>
              </w:rPr>
              <w:t>专门面向中小企业采购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val="en-US" w:eastAsia="zh-CN"/>
              </w:rPr>
              <w:t>软件和信息技术服务业</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val="en-US" w:eastAsia="zh-CN"/>
              </w:rPr>
              <w:t>,格式自拟)</w:t>
            </w:r>
          </w:p>
          <w:p>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服务要求评审</w:t>
            </w:r>
          </w:p>
        </w:tc>
        <w:tc>
          <w:tcPr>
            <w:tcW w:w="3787" w:type="dxa"/>
            <w:noWrap w:val="0"/>
            <w:vAlign w:val="center"/>
          </w:tcPr>
          <w:p>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实质性（“★”项）服务要求条款是否全部完全响应</w:t>
            </w:r>
          </w:p>
        </w:tc>
        <w:tc>
          <w:tcPr>
            <w:tcW w:w="1777"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c>
          <w:tcPr>
            <w:tcW w:w="1777"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1"/>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504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0" w:type="dxa"/>
            <w:noWrap w:val="0"/>
            <w:vAlign w:val="center"/>
          </w:tcPr>
          <w:p>
            <w:pPr>
              <w:pStyle w:val="21"/>
              <w:adjustRightInd/>
              <w:ind w:firstLine="211" w:firstLineChars="10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040" w:type="dxa"/>
            <w:noWrap w:val="0"/>
            <w:vAlign w:val="center"/>
          </w:tcPr>
          <w:p>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603" w:type="dxa"/>
            <w:noWrap w:val="0"/>
            <w:vAlign w:val="center"/>
          </w:tcPr>
          <w:p>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540" w:type="dxa"/>
            <w:noWrap w:val="0"/>
            <w:vAlign w:val="center"/>
          </w:tcPr>
          <w:p>
            <w:pPr>
              <w:pStyle w:val="19"/>
              <w:spacing w:after="0"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bCs w:val="0"/>
                <w:color w:val="auto"/>
                <w:sz w:val="24"/>
                <w:szCs w:val="24"/>
                <w:highlight w:val="none"/>
              </w:rPr>
              <w:t>对技术要求的响应程度</w:t>
            </w:r>
          </w:p>
        </w:tc>
        <w:tc>
          <w:tcPr>
            <w:tcW w:w="5040"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对技术要求的响应程度：</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满足全部技术条款响应要求的，得20分；有1项条款负偏离，得18分，有2项条款负偏离，得16分；条款负偏离每增加1项，得分减少2分，以此类推，当达到10项（含）以上时，视为严重偏离不得分。</w:t>
            </w:r>
          </w:p>
          <w:p>
            <w:pPr>
              <w:pStyle w:val="19"/>
              <w:spacing w:after="0"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val="0"/>
                <w:color w:val="auto"/>
                <w:sz w:val="24"/>
                <w:szCs w:val="24"/>
                <w:highlight w:val="none"/>
              </w:rPr>
              <w:t>注：①技术条款中要求提供证明资料的，则响应文件中应提供对应条款的证明资料，未提供不得分；②未要求提供证明资料的以响应供应商填写的技术要求响应表为准。</w:t>
            </w:r>
          </w:p>
        </w:tc>
        <w:tc>
          <w:tcPr>
            <w:tcW w:w="1603"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8" w:hRule="atLeast"/>
        </w:trPr>
        <w:tc>
          <w:tcPr>
            <w:tcW w:w="1540" w:type="dxa"/>
            <w:noWrap w:val="0"/>
            <w:vAlign w:val="center"/>
          </w:tcPr>
          <w:p>
            <w:pPr>
              <w:rPr>
                <w:color w:val="auto"/>
                <w:highlight w:val="none"/>
              </w:rPr>
            </w:pPr>
          </w:p>
          <w:p>
            <w:pPr>
              <w:pStyle w:val="19"/>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系统总体设计方案</w:t>
            </w:r>
          </w:p>
        </w:tc>
        <w:tc>
          <w:tcPr>
            <w:tcW w:w="5040"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根据</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提供系统总体设计方案的合理性可行性、内容齐全、结构完整、表述准确、条理清晰程度等方面,由</w:t>
            </w:r>
            <w:r>
              <w:rPr>
                <w:rFonts w:hint="eastAsia" w:ascii="仿宋" w:hAnsi="仿宋" w:eastAsia="仿宋" w:cs="仿宋"/>
                <w:bCs w:val="0"/>
                <w:color w:val="auto"/>
                <w:sz w:val="24"/>
                <w:szCs w:val="24"/>
                <w:highlight w:val="none"/>
                <w:lang w:val="en-US" w:eastAsia="zh-CN"/>
              </w:rPr>
              <w:t>评审小组</w:t>
            </w:r>
            <w:r>
              <w:rPr>
                <w:rFonts w:hint="eastAsia" w:ascii="仿宋" w:hAnsi="仿宋" w:eastAsia="仿宋" w:cs="仿宋"/>
                <w:bCs w:val="0"/>
                <w:color w:val="auto"/>
                <w:sz w:val="24"/>
                <w:szCs w:val="24"/>
                <w:highlight w:val="none"/>
              </w:rPr>
              <w:t>进行综合评分,满分</w:t>
            </w: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系统总体设计方案的合理性可行性、内容齐全、结构完整、表述准确、条理清晰程度高，综合评价优得</w:t>
            </w: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系统总体设计方案的合理性可行性、内容齐全、结构较完整、表述较准确、条理清晰程度中上，综合评价良得</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系统总体设计方案的合理性可行性、内容满足、结构简单、表述一般、条理清晰程度一般，综合评价一般得</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不提供则不得分。</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0" w:type="dxa"/>
            <w:noWrap w:val="0"/>
            <w:vAlign w:val="center"/>
          </w:tcPr>
          <w:p>
            <w:pPr>
              <w:pStyle w:val="19"/>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项目实施保障</w:t>
            </w:r>
          </w:p>
        </w:tc>
        <w:tc>
          <w:tcPr>
            <w:tcW w:w="5040"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根据</w:t>
            </w:r>
            <w:r>
              <w:rPr>
                <w:rFonts w:hint="eastAsia" w:ascii="仿宋" w:hAnsi="仿宋" w:eastAsia="仿宋" w:cs="仿宋"/>
                <w:bCs w:val="0"/>
                <w:color w:val="auto"/>
                <w:sz w:val="24"/>
                <w:szCs w:val="24"/>
                <w:highlight w:val="none"/>
                <w:lang w:eastAsia="zh-CN"/>
              </w:rPr>
              <w:t>响应供应商</w:t>
            </w:r>
            <w:r>
              <w:rPr>
                <w:rFonts w:hint="eastAsia" w:ascii="仿宋" w:hAnsi="仿宋" w:eastAsia="仿宋" w:cs="仿宋"/>
                <w:bCs w:val="0"/>
                <w:color w:val="auto"/>
                <w:sz w:val="24"/>
                <w:szCs w:val="24"/>
                <w:highlight w:val="none"/>
              </w:rPr>
              <w:t>针对该项目的项目实施保障方案，包含项目管理、组织架构与人员配备、项目进度计划、项目质量控制、项目验收方案、培训方案内容。要求工作安排条理清晰，进度计划可实施性强，任务步骤节点明确，具有实际操作性。</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方案详细周全、科学合理、针对性强的，得</w:t>
            </w:r>
            <w:r>
              <w:rPr>
                <w:rFonts w:hint="eastAsia" w:ascii="仿宋" w:hAnsi="仿宋" w:eastAsia="仿宋" w:cs="仿宋"/>
                <w:bCs w:val="0"/>
                <w:color w:val="auto"/>
                <w:sz w:val="24"/>
                <w:szCs w:val="24"/>
                <w:highlight w:val="none"/>
                <w:lang w:eastAsia="zh-CN"/>
              </w:rPr>
              <w:t>6</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方案基本合理、清晰可行的，得</w:t>
            </w:r>
            <w:r>
              <w:rPr>
                <w:rFonts w:hint="eastAsia" w:ascii="仿宋" w:hAnsi="仿宋" w:eastAsia="仿宋" w:cs="仿宋"/>
                <w:bCs w:val="0"/>
                <w:color w:val="auto"/>
                <w:sz w:val="24"/>
                <w:szCs w:val="24"/>
                <w:highlight w:val="none"/>
                <w:lang w:eastAsia="zh-CN"/>
              </w:rPr>
              <w:t>4</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方案较简略、针对性不强的，得</w:t>
            </w:r>
            <w:r>
              <w:rPr>
                <w:rFonts w:hint="eastAsia" w:ascii="仿宋" w:hAnsi="仿宋" w:eastAsia="仿宋" w:cs="仿宋"/>
                <w:bCs w:val="0"/>
                <w:color w:val="auto"/>
                <w:sz w:val="24"/>
                <w:szCs w:val="24"/>
                <w:highlight w:val="none"/>
                <w:lang w:eastAsia="zh-CN"/>
              </w:rPr>
              <w:t>2</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未提供方案的，得0分。</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0" w:type="dxa"/>
            <w:noWrap w:val="0"/>
            <w:vAlign w:val="center"/>
          </w:tcPr>
          <w:p>
            <w:pPr>
              <w:pStyle w:val="19"/>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响应</w:t>
            </w:r>
            <w:r>
              <w:rPr>
                <w:rFonts w:hint="eastAsia" w:ascii="仿宋" w:hAnsi="仿宋" w:eastAsia="仿宋" w:cs="仿宋"/>
                <w:bCs w:val="0"/>
                <w:color w:val="auto"/>
                <w:sz w:val="24"/>
                <w:szCs w:val="24"/>
                <w:highlight w:val="none"/>
                <w:lang w:val="en-US" w:eastAsia="zh-CN"/>
              </w:rPr>
              <w:t>供应商</w:t>
            </w:r>
            <w:r>
              <w:rPr>
                <w:rFonts w:hint="eastAsia" w:ascii="仿宋" w:hAnsi="仿宋" w:eastAsia="仿宋" w:cs="仿宋"/>
                <w:bCs w:val="0"/>
                <w:color w:val="auto"/>
                <w:sz w:val="24"/>
                <w:szCs w:val="24"/>
                <w:highlight w:val="none"/>
              </w:rPr>
              <w:t>的项目运维管理能力</w:t>
            </w:r>
          </w:p>
        </w:tc>
        <w:tc>
          <w:tcPr>
            <w:tcW w:w="5040" w:type="dxa"/>
            <w:noWrap w:val="0"/>
            <w:vAlign w:val="center"/>
          </w:tcPr>
          <w:p>
            <w:pPr>
              <w:pStyle w:val="19"/>
              <w:numPr>
                <w:ilvl w:val="0"/>
                <w:numId w:val="0"/>
              </w:numPr>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响应</w:t>
            </w:r>
            <w:r>
              <w:rPr>
                <w:rFonts w:hint="eastAsia" w:ascii="仿宋" w:hAnsi="仿宋" w:eastAsia="仿宋" w:cs="仿宋"/>
                <w:bCs w:val="0"/>
                <w:color w:val="auto"/>
                <w:sz w:val="24"/>
                <w:szCs w:val="24"/>
                <w:highlight w:val="none"/>
                <w:lang w:val="en-US" w:eastAsia="zh-CN"/>
              </w:rPr>
              <w:t>供应商</w:t>
            </w:r>
            <w:r>
              <w:rPr>
                <w:rFonts w:hint="eastAsia" w:ascii="仿宋" w:hAnsi="仿宋" w:eastAsia="仿宋" w:cs="仿宋"/>
                <w:bCs w:val="0"/>
                <w:color w:val="auto"/>
                <w:sz w:val="24"/>
                <w:szCs w:val="24"/>
                <w:highlight w:val="none"/>
              </w:rPr>
              <w:t>服务团队具备以下认证的：</w:t>
            </w:r>
          </w:p>
          <w:p>
            <w:pPr>
              <w:pStyle w:val="19"/>
              <w:numPr>
                <w:ilvl w:val="0"/>
                <w:numId w:val="0"/>
              </w:numPr>
              <w:spacing w:after="0" w:line="360" w:lineRule="auto"/>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lang w:val="en-US" w:eastAsia="zh-CN"/>
              </w:rPr>
              <w:t>1.</w:t>
            </w:r>
            <w:r>
              <w:rPr>
                <w:rFonts w:hint="eastAsia" w:ascii="仿宋" w:hAnsi="仿宋" w:eastAsia="仿宋" w:cs="仿宋"/>
                <w:bCs w:val="0"/>
                <w:color w:val="auto"/>
                <w:szCs w:val="24"/>
                <w:highlight w:val="none"/>
              </w:rPr>
              <w:t>人力资源和社会保障部门颁发的信息系统项目管理师（高级）资质；</w:t>
            </w:r>
            <w:r>
              <w:rPr>
                <w:rFonts w:hint="eastAsia" w:ascii="仿宋" w:hAnsi="仿宋" w:eastAsia="仿宋" w:cs="仿宋"/>
                <w:bCs w:val="0"/>
                <w:color w:val="auto"/>
                <w:sz w:val="24"/>
                <w:szCs w:val="24"/>
                <w:highlight w:val="none"/>
              </w:rPr>
              <w:t>得</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分</w:t>
            </w:r>
          </w:p>
          <w:p>
            <w:pPr>
              <w:pStyle w:val="19"/>
              <w:numPr>
                <w:ilvl w:val="0"/>
                <w:numId w:val="0"/>
              </w:numPr>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Cs w:val="24"/>
                <w:highlight w:val="none"/>
                <w:lang w:eastAsia="zh-CN"/>
              </w:rPr>
              <w:t>2</w:t>
            </w:r>
            <w:r>
              <w:rPr>
                <w:rFonts w:hint="eastAsia" w:ascii="仿宋" w:hAnsi="仿宋" w:eastAsia="仿宋" w:cs="仿宋"/>
                <w:bCs w:val="0"/>
                <w:color w:val="auto"/>
                <w:szCs w:val="24"/>
                <w:highlight w:val="none"/>
                <w:lang w:val="en-US" w:eastAsia="zh-CN"/>
              </w:rPr>
              <w:t>.</w:t>
            </w:r>
            <w:r>
              <w:rPr>
                <w:rFonts w:hint="eastAsia" w:ascii="仿宋" w:hAnsi="仿宋" w:eastAsia="仿宋" w:cs="仿宋"/>
                <w:bCs w:val="0"/>
                <w:color w:val="auto"/>
                <w:szCs w:val="24"/>
                <w:highlight w:val="none"/>
              </w:rPr>
              <w:t>人力资源和社会保障部门颁发的</w:t>
            </w:r>
            <w:r>
              <w:rPr>
                <w:rFonts w:hint="eastAsia" w:ascii="仿宋" w:hAnsi="仿宋" w:eastAsia="仿宋" w:cs="仿宋"/>
                <w:bCs w:val="0"/>
                <w:color w:val="auto"/>
                <w:szCs w:val="24"/>
                <w:highlight w:val="none"/>
                <w:lang w:val="en-US" w:eastAsia="zh-CN"/>
              </w:rPr>
              <w:t>软件</w:t>
            </w:r>
            <w:r>
              <w:rPr>
                <w:rFonts w:hint="eastAsia" w:ascii="仿宋" w:hAnsi="仿宋" w:eastAsia="仿宋" w:cs="仿宋"/>
                <w:bCs w:val="0"/>
                <w:color w:val="auto"/>
                <w:szCs w:val="24"/>
                <w:highlight w:val="none"/>
              </w:rPr>
              <w:t>设计师</w:t>
            </w:r>
            <w:r>
              <w:rPr>
                <w:rFonts w:hint="eastAsia" w:ascii="仿宋" w:hAnsi="仿宋" w:eastAsia="仿宋" w:cs="仿宋"/>
                <w:bCs w:val="0"/>
                <w:color w:val="auto"/>
                <w:szCs w:val="24"/>
                <w:highlight w:val="none"/>
                <w:lang w:eastAsia="zh-CN"/>
              </w:rPr>
              <w:t>（</w:t>
            </w:r>
            <w:r>
              <w:rPr>
                <w:rFonts w:hint="eastAsia" w:ascii="仿宋" w:hAnsi="仿宋" w:eastAsia="仿宋" w:cs="仿宋"/>
                <w:bCs w:val="0"/>
                <w:color w:val="auto"/>
                <w:szCs w:val="24"/>
                <w:highlight w:val="none"/>
                <w:lang w:val="en-US" w:eastAsia="zh-CN"/>
              </w:rPr>
              <w:t>中级</w:t>
            </w:r>
            <w:r>
              <w:rPr>
                <w:rFonts w:hint="eastAsia" w:ascii="仿宋" w:hAnsi="仿宋" w:eastAsia="仿宋" w:cs="仿宋"/>
                <w:bCs w:val="0"/>
                <w:color w:val="auto"/>
                <w:szCs w:val="24"/>
                <w:highlight w:val="none"/>
                <w:lang w:eastAsia="zh-CN"/>
              </w:rPr>
              <w:t>）</w:t>
            </w:r>
            <w:r>
              <w:rPr>
                <w:rFonts w:hint="eastAsia" w:ascii="仿宋" w:hAnsi="仿宋" w:eastAsia="仿宋" w:cs="仿宋"/>
                <w:bCs w:val="0"/>
                <w:color w:val="auto"/>
                <w:szCs w:val="24"/>
                <w:highlight w:val="none"/>
              </w:rPr>
              <w:t>资质；</w:t>
            </w:r>
            <w:r>
              <w:rPr>
                <w:rFonts w:hint="eastAsia" w:ascii="仿宋" w:hAnsi="仿宋" w:eastAsia="仿宋" w:cs="仿宋"/>
                <w:bCs w:val="0"/>
                <w:color w:val="auto"/>
                <w:sz w:val="24"/>
                <w:szCs w:val="24"/>
                <w:highlight w:val="none"/>
              </w:rPr>
              <w:t>得</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分</w:t>
            </w:r>
          </w:p>
          <w:p>
            <w:pPr>
              <w:pStyle w:val="19"/>
              <w:numPr>
                <w:ilvl w:val="0"/>
                <w:numId w:val="0"/>
              </w:num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（需提供以上证书的证明文件复印件加盖公章；若同一人同时具有多项证书的，则以得分高得证书进行计算，不可叠加计算）</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pStyle w:val="19"/>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培训方案</w:t>
            </w:r>
          </w:p>
        </w:tc>
        <w:tc>
          <w:tcPr>
            <w:tcW w:w="5040" w:type="dxa"/>
            <w:noWrap w:val="0"/>
            <w:vAlign w:val="center"/>
          </w:tcPr>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对采购人的管理人员、操作人员及维护人员进行培训等承诺情况综合评审：</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培训计划中的内容完整，安排合理可行，承诺最好，得8分；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培训计划中的内容较完整，安排较合理可行，承诺较好，得</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培训计划中的内容一般，安排</w:t>
            </w:r>
            <w:r>
              <w:rPr>
                <w:rFonts w:hint="eastAsia" w:ascii="仿宋" w:hAnsi="仿宋" w:eastAsia="仿宋" w:cs="仿宋"/>
                <w:bCs w:val="0"/>
                <w:strike/>
                <w:color w:val="auto"/>
                <w:sz w:val="24"/>
                <w:szCs w:val="24"/>
                <w:highlight w:val="none"/>
              </w:rPr>
              <w:t>不</w:t>
            </w:r>
            <w:r>
              <w:rPr>
                <w:rFonts w:hint="eastAsia" w:ascii="仿宋" w:hAnsi="仿宋" w:eastAsia="仿宋" w:cs="仿宋"/>
                <w:bCs w:val="0"/>
                <w:color w:val="auto"/>
                <w:sz w:val="24"/>
                <w:szCs w:val="24"/>
                <w:highlight w:val="none"/>
                <w:lang w:eastAsia="zh-CN"/>
              </w:rPr>
              <w:t>较</w:t>
            </w:r>
            <w:r>
              <w:rPr>
                <w:rFonts w:hint="eastAsia" w:ascii="仿宋" w:hAnsi="仿宋" w:eastAsia="仿宋" w:cs="仿宋"/>
                <w:bCs w:val="0"/>
                <w:color w:val="auto"/>
                <w:sz w:val="24"/>
                <w:szCs w:val="24"/>
                <w:highlight w:val="none"/>
              </w:rPr>
              <w:t>可行，承诺一般，得</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分；</w:t>
            </w:r>
          </w:p>
          <w:p>
            <w:pPr>
              <w:pStyle w:val="19"/>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4</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没有提供的得0分。</w:t>
            </w:r>
          </w:p>
        </w:tc>
        <w:tc>
          <w:tcPr>
            <w:tcW w:w="1603"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default" w:ascii="仿宋" w:hAnsi="仿宋" w:eastAsia="仿宋" w:cs="仿宋"/>
                <w:bCs w:val="0"/>
                <w:color w:val="auto"/>
                <w:sz w:val="24"/>
                <w:szCs w:val="24"/>
                <w:highlight w:val="none"/>
              </w:rPr>
              <w:t>企业资质与实力</w:t>
            </w:r>
          </w:p>
        </w:tc>
        <w:tc>
          <w:tcPr>
            <w:tcW w:w="5040" w:type="dxa"/>
            <w:noWrap w:val="0"/>
            <w:vAlign w:val="top"/>
          </w:tcPr>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eastAsia" w:ascii="仿宋" w:hAnsi="仿宋" w:eastAsia="仿宋" w:cs="仿宋"/>
                <w:bCs w:val="0"/>
                <w:color w:val="auto"/>
                <w:sz w:val="24"/>
                <w:szCs w:val="24"/>
                <w:highlight w:val="none"/>
                <w:lang w:val="en-US" w:eastAsia="zh-CN"/>
              </w:rPr>
              <w:t>供应商</w:t>
            </w:r>
            <w:r>
              <w:rPr>
                <w:rFonts w:hint="default" w:ascii="仿宋" w:hAnsi="仿宋" w:eastAsia="仿宋" w:cs="仿宋"/>
                <w:bCs w:val="0"/>
                <w:color w:val="auto"/>
                <w:sz w:val="24"/>
                <w:szCs w:val="24"/>
                <w:highlight w:val="none"/>
              </w:rPr>
              <w:t>具有技术服务所需</w:t>
            </w:r>
            <w:r>
              <w:rPr>
                <w:rFonts w:hint="eastAsia" w:ascii="仿宋" w:hAnsi="仿宋" w:eastAsia="仿宋" w:cs="仿宋"/>
                <w:bCs w:val="0"/>
                <w:color w:val="auto"/>
                <w:sz w:val="24"/>
                <w:szCs w:val="24"/>
                <w:highlight w:val="none"/>
                <w:lang w:val="en-US" w:eastAsia="zh-CN"/>
              </w:rPr>
              <w:t>的</w:t>
            </w:r>
            <w:r>
              <w:rPr>
                <w:rFonts w:hint="default" w:ascii="仿宋" w:hAnsi="仿宋" w:eastAsia="仿宋" w:cs="仿宋"/>
                <w:bCs w:val="0"/>
                <w:color w:val="auto"/>
                <w:sz w:val="24"/>
                <w:szCs w:val="24"/>
                <w:highlight w:val="none"/>
              </w:rPr>
              <w:t>自主开发能力，由国家版权局颁发的</w:t>
            </w:r>
            <w:r>
              <w:rPr>
                <w:rFonts w:hint="eastAsia" w:ascii="仿宋" w:hAnsi="仿宋" w:eastAsia="仿宋" w:cs="仿宋"/>
                <w:bCs w:val="0"/>
                <w:color w:val="auto"/>
                <w:sz w:val="24"/>
                <w:szCs w:val="24"/>
                <w:highlight w:val="none"/>
                <w:lang w:val="en-US" w:eastAsia="zh-CN"/>
              </w:rPr>
              <w:t>相关</w:t>
            </w:r>
            <w:r>
              <w:rPr>
                <w:rFonts w:hint="default" w:ascii="仿宋" w:hAnsi="仿宋" w:eastAsia="仿宋" w:cs="仿宋"/>
                <w:bCs w:val="0"/>
                <w:color w:val="auto"/>
                <w:sz w:val="24"/>
                <w:szCs w:val="24"/>
                <w:highlight w:val="none"/>
              </w:rPr>
              <w:t>计算机软件著作权登记证书。每提供一个得</w:t>
            </w:r>
            <w:r>
              <w:rPr>
                <w:rFonts w:hint="eastAsia" w:ascii="仿宋" w:hAnsi="仿宋" w:eastAsia="仿宋" w:cs="仿宋"/>
                <w:bCs w:val="0"/>
                <w:color w:val="auto"/>
                <w:sz w:val="24"/>
                <w:szCs w:val="24"/>
                <w:highlight w:val="none"/>
                <w:lang w:eastAsia="zh-CN"/>
              </w:rPr>
              <w:t>3</w:t>
            </w:r>
            <w:r>
              <w:rPr>
                <w:rFonts w:hint="default" w:ascii="仿宋" w:hAnsi="仿宋" w:eastAsia="仿宋" w:cs="仿宋"/>
                <w:bCs w:val="0"/>
                <w:color w:val="auto"/>
                <w:sz w:val="24"/>
                <w:szCs w:val="24"/>
                <w:highlight w:val="none"/>
              </w:rPr>
              <w:t>分，满分6分（提供证书复印件，与</w:t>
            </w:r>
            <w:r>
              <w:rPr>
                <w:rFonts w:hint="eastAsia" w:ascii="仿宋" w:hAnsi="仿宋" w:eastAsia="仿宋" w:cs="仿宋"/>
                <w:bCs w:val="0"/>
                <w:color w:val="auto"/>
                <w:sz w:val="24"/>
                <w:szCs w:val="24"/>
                <w:highlight w:val="none"/>
                <w:lang w:val="en-US" w:eastAsia="zh-CN"/>
              </w:rPr>
              <w:t>电子病历系统、无纸化病案归档系统、合理用药系统</w:t>
            </w:r>
            <w:r>
              <w:rPr>
                <w:rFonts w:hint="default" w:ascii="仿宋" w:hAnsi="仿宋" w:eastAsia="仿宋" w:cs="仿宋"/>
                <w:bCs w:val="0"/>
                <w:color w:val="auto"/>
                <w:sz w:val="24"/>
                <w:szCs w:val="24"/>
                <w:highlight w:val="none"/>
              </w:rPr>
              <w:t>无关的不得分）</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default" w:ascii="仿宋" w:hAnsi="仿宋" w:eastAsia="仿宋" w:cs="仿宋"/>
                <w:bCs w:val="0"/>
                <w:color w:val="auto"/>
                <w:sz w:val="24"/>
                <w:szCs w:val="24"/>
                <w:highlight w:val="none"/>
              </w:rPr>
              <w:t>同类项目业绩</w:t>
            </w:r>
          </w:p>
        </w:tc>
        <w:tc>
          <w:tcPr>
            <w:tcW w:w="5040" w:type="dxa"/>
            <w:noWrap w:val="0"/>
            <w:vAlign w:val="top"/>
          </w:tcPr>
          <w:p>
            <w:pPr>
              <w:rPr>
                <w:color w:val="auto"/>
                <w:highlight w:val="none"/>
              </w:rPr>
            </w:pPr>
            <w:r>
              <w:rPr>
                <w:rFonts w:hint="eastAsia" w:ascii="仿宋" w:hAnsi="仿宋" w:eastAsia="仿宋" w:cs="仿宋"/>
                <w:bCs w:val="0"/>
                <w:color w:val="auto"/>
                <w:sz w:val="24"/>
                <w:szCs w:val="24"/>
                <w:highlight w:val="none"/>
                <w:lang w:val="en-US" w:eastAsia="zh-CN"/>
              </w:rPr>
              <w:t>根据响应供应商2020年1月1日至今（以合同签订时间为准）的同类业绩情况进行评分，每提供一个业绩得2分，本项最高得10分。</w:t>
            </w:r>
          </w:p>
          <w:p>
            <w:pPr>
              <w:pStyle w:val="19"/>
              <w:spacing w:after="0" w:line="360" w:lineRule="auto"/>
              <w:rPr>
                <w:rFonts w:hint="eastAsia" w:ascii="仿宋" w:hAnsi="仿宋" w:eastAsia="仿宋" w:cs="仿宋"/>
                <w:bCs w:val="0"/>
                <w:color w:val="auto"/>
                <w:sz w:val="24"/>
                <w:szCs w:val="24"/>
                <w:highlight w:val="none"/>
                <w:lang w:val="en-US" w:eastAsia="zh-CN"/>
              </w:rPr>
            </w:pPr>
          </w:p>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eastAsia" w:ascii="仿宋" w:hAnsi="仿宋" w:eastAsia="仿宋" w:cs="仿宋"/>
                <w:bCs w:val="0"/>
                <w:color w:val="auto"/>
                <w:sz w:val="24"/>
                <w:szCs w:val="24"/>
                <w:highlight w:val="none"/>
                <w:lang w:val="en-US" w:eastAsia="zh-CN"/>
              </w:rPr>
              <w:t>（同类业绩证明文件是成交通知书或合同的复印件或扫描件，合同可以是提供关键页面，无提供或提供证明文件不全的不得分。成交通知书是指组织招标投标活动的机构依据《中华人民共和国招标投标法》或《中华人民共和国政府采购法》的规定向成交的中标人发出的告知其成交的书面通知文件，无提供证明文件不得分。</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default" w:ascii="仿宋" w:hAnsi="仿宋" w:eastAsia="仿宋" w:cs="仿宋"/>
                <w:bCs w:val="0"/>
                <w:color w:val="auto"/>
                <w:sz w:val="24"/>
                <w:szCs w:val="24"/>
                <w:highlight w:val="none"/>
              </w:rPr>
              <w:t>售后服务能力</w:t>
            </w:r>
          </w:p>
        </w:tc>
        <w:tc>
          <w:tcPr>
            <w:tcW w:w="5040" w:type="dxa"/>
            <w:noWrap w:val="0"/>
            <w:vAlign w:val="center"/>
          </w:tcPr>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1.响应供应商的售后服务方案（技术维护维修资质力量、服务响应时间等） 全面、合理、可行得 7 分，</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2.响应供应商的售后服务方案（技术维护维修资质力量、服务响应时间等） 较为全面、合理、可行，能基本满足本项目的售后服务需求，得 4 分， </w:t>
            </w:r>
          </w:p>
          <w:p>
            <w:pPr>
              <w:pStyle w:val="19"/>
              <w:spacing w:after="0"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3.响应供应商的售后服务方案（技术维护维修资质力量、服务响应时间等） 有瑕疵得 1分，</w:t>
            </w:r>
          </w:p>
          <w:p>
            <w:pPr>
              <w:pStyle w:val="19"/>
              <w:spacing w:after="0" w:line="360" w:lineRule="auto"/>
              <w:rPr>
                <w:rFonts w:hint="eastAsia" w:ascii="仿宋" w:hAnsi="仿宋" w:eastAsia="仿宋" w:cs="仿宋"/>
                <w:bCs w:val="0"/>
                <w:color w:val="auto"/>
                <w:spacing w:val="10"/>
                <w:kern w:val="0"/>
                <w:sz w:val="24"/>
                <w:szCs w:val="24"/>
                <w:highlight w:val="none"/>
                <w:lang w:val="en-US" w:eastAsia="zh-CN" w:bidi="ar-SA"/>
              </w:rPr>
            </w:pPr>
            <w:r>
              <w:rPr>
                <w:rFonts w:hint="eastAsia" w:ascii="仿宋" w:hAnsi="仿宋" w:eastAsia="仿宋" w:cs="仿宋"/>
                <w:bCs w:val="0"/>
                <w:color w:val="auto"/>
                <w:sz w:val="24"/>
                <w:szCs w:val="24"/>
                <w:highlight w:val="none"/>
                <w:lang w:val="en-US" w:eastAsia="zh-CN"/>
              </w:rPr>
              <w:t>4.未提供不得分。</w:t>
            </w:r>
          </w:p>
        </w:tc>
        <w:tc>
          <w:tcPr>
            <w:tcW w:w="160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见响应文件第（      ）页</w:t>
            </w:r>
          </w:p>
        </w:tc>
      </w:tr>
    </w:tbl>
    <w:p>
      <w:pPr>
        <w:jc w:val="center"/>
        <w:rPr>
          <w:rFonts w:hint="eastAsia" w:ascii="仿宋" w:hAnsi="仿宋" w:eastAsia="仿宋" w:cs="仿宋"/>
          <w:color w:val="auto"/>
          <w:sz w:val="24"/>
          <w:szCs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6" w:name="_Toc202819878"/>
      <w:bookmarkStart w:id="17" w:name="_Toc202251075"/>
      <w:bookmarkStart w:id="18" w:name="_Toc202254105"/>
      <w:bookmarkStart w:id="19" w:name="_Toc202820351"/>
      <w:bookmarkStart w:id="20" w:name="_Toc202251700"/>
      <w:bookmarkStart w:id="21" w:name="_Toc202816996"/>
      <w:bookmarkStart w:id="22" w:name="_Toc202252034"/>
      <w:r>
        <w:rPr>
          <w:rFonts w:hint="eastAsia" w:ascii="仿宋" w:hAnsi="仿宋" w:eastAsia="仿宋" w:cs="仿宋"/>
          <w:b/>
          <w:bCs/>
          <w:color w:val="auto"/>
          <w:sz w:val="28"/>
          <w:szCs w:val="28"/>
          <w:highlight w:val="none"/>
        </w:rPr>
        <w:t>3 资格性文件</w:t>
      </w:r>
      <w:bookmarkEnd w:id="16"/>
      <w:bookmarkEnd w:id="17"/>
      <w:bookmarkEnd w:id="18"/>
      <w:bookmarkEnd w:id="19"/>
      <w:bookmarkEnd w:id="20"/>
      <w:bookmarkEnd w:id="21"/>
      <w:bookmarkEnd w:id="22"/>
    </w:p>
    <w:p>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5.有效期限：必须超出响应文件中标注的响应有效期，自本单位盖公章之日起生效。</w:t>
      </w:r>
    </w:p>
    <w:p>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 提供2020年</w:t>
      </w:r>
      <w:r>
        <w:rPr>
          <w:rFonts w:hint="eastAsia" w:ascii="仿宋" w:hAnsi="仿宋" w:eastAsia="仿宋" w:cs="仿宋"/>
          <w:color w:val="auto"/>
          <w:sz w:val="24"/>
          <w:highlight w:val="none"/>
          <w:lang w:eastAsia="zh-CN"/>
        </w:rPr>
        <w:t>至今</w:t>
      </w:r>
      <w:r>
        <w:rPr>
          <w:rFonts w:hint="eastAsia" w:ascii="仿宋" w:hAnsi="仿宋" w:eastAsia="仿宋" w:cs="仿宋"/>
          <w:color w:val="auto"/>
          <w:sz w:val="24"/>
          <w:highlight w:val="none"/>
        </w:rPr>
        <w:t>任意一年的年度财务状况报告或基本开户行出具的资信证明，新成立公司提供成立至今的月或季度财务报表；</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5.本项目均不接受联合体参加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，不允许响应供应商对各招标项目包进行分包或转包。</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254106"/>
      <w:bookmarkStart w:id="24" w:name="_Toc202252035"/>
      <w:bookmarkStart w:id="25" w:name="_Toc202251701"/>
      <w:bookmarkStart w:id="26" w:name="_Toc202819879"/>
      <w:bookmarkStart w:id="27" w:name="_Toc202816997"/>
      <w:bookmarkStart w:id="28" w:name="_Toc202251076"/>
      <w:bookmarkStart w:id="29" w:name="_Toc202820352"/>
    </w:p>
    <w:p>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bookmarkEnd w:id="23"/>
      <w:bookmarkEnd w:id="24"/>
      <w:bookmarkEnd w:id="25"/>
      <w:bookmarkEnd w:id="26"/>
      <w:bookmarkEnd w:id="27"/>
      <w:bookmarkEnd w:id="28"/>
      <w:bookmarkEnd w:id="29"/>
    </w:p>
    <w:p>
      <w:pPr>
        <w:pStyle w:val="5"/>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bl>
    <w:p>
      <w:pPr>
        <w:pStyle w:val="19"/>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9"/>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9"/>
        <w:rPr>
          <w:rFonts w:hint="eastAsia" w:ascii="仿宋" w:hAnsi="仿宋" w:eastAsia="仿宋" w:cs="仿宋"/>
          <w:color w:val="auto"/>
          <w:kern w:val="2"/>
          <w:szCs w:val="24"/>
          <w:highlight w:val="none"/>
          <w:lang w:val="en-GB"/>
        </w:rPr>
      </w:pPr>
    </w:p>
    <w:p>
      <w:pPr>
        <w:pStyle w:val="19"/>
        <w:ind w:firstLine="520"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9"/>
        <w:ind w:firstLine="520" w:firstLineChars="200"/>
        <w:rPr>
          <w:rFonts w:hint="eastAsia" w:ascii="仿宋" w:hAnsi="仿宋" w:eastAsia="仿宋" w:cs="仿宋"/>
          <w:color w:val="auto"/>
          <w:kern w:val="2"/>
          <w:szCs w:val="24"/>
          <w:highlight w:val="none"/>
          <w:lang w:val="en-GB"/>
        </w:rPr>
      </w:pPr>
    </w:p>
    <w:p>
      <w:pPr>
        <w:pStyle w:val="19"/>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96"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rPr>
                <w:rFonts w:hint="eastAsia" w:ascii="仿宋" w:hAnsi="仿宋" w:eastAsia="仿宋" w:cs="仿宋"/>
                <w:color w:val="auto"/>
                <w:szCs w:val="21"/>
                <w:highlight w:val="none"/>
              </w:rPr>
            </w:pPr>
          </w:p>
        </w:tc>
        <w:tc>
          <w:tcPr>
            <w:tcW w:w="1077" w:type="dxa"/>
            <w:noWrap w:val="0"/>
            <w:vAlign w:val="center"/>
          </w:tcPr>
          <w:p>
            <w:pPr>
              <w:jc w:val="center"/>
              <w:rPr>
                <w:rFonts w:hint="eastAsia" w:ascii="仿宋" w:hAnsi="仿宋" w:eastAsia="仿宋" w:cs="仿宋"/>
                <w:color w:val="auto"/>
                <w:szCs w:val="21"/>
                <w:highlight w:val="none"/>
              </w:rPr>
            </w:pPr>
          </w:p>
        </w:tc>
        <w:tc>
          <w:tcPr>
            <w:tcW w:w="3651" w:type="dxa"/>
            <w:noWrap w:val="0"/>
            <w:vAlign w:val="top"/>
          </w:tcPr>
          <w:p>
            <w:pPr>
              <w:jc w:val="left"/>
              <w:rPr>
                <w:rFonts w:hint="eastAsia" w:ascii="仿宋" w:hAnsi="仿宋" w:eastAsia="仿宋" w:cs="仿宋"/>
                <w:color w:val="auto"/>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rPr>
                <w:rFonts w:hint="eastAsia" w:ascii="仿宋" w:hAnsi="仿宋" w:eastAsia="仿宋" w:cs="仿宋"/>
                <w:color w:val="auto"/>
                <w:szCs w:val="21"/>
                <w:highlight w:val="none"/>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0" w:name="_Toc202820353"/>
      <w:bookmarkStart w:id="31" w:name="_Toc202819880"/>
      <w:bookmarkStart w:id="32" w:name="_Toc202252036"/>
      <w:bookmarkStart w:id="33" w:name="_Toc202251077"/>
      <w:bookmarkStart w:id="34" w:name="_Toc202251702"/>
      <w:bookmarkStart w:id="35" w:name="_Toc202254107"/>
      <w:bookmarkStart w:id="36" w:name="_Toc202816998"/>
      <w:r>
        <w:rPr>
          <w:rFonts w:hint="eastAsia"/>
          <w:color w:val="auto"/>
          <w:highlight w:val="none"/>
        </w:rPr>
        <w:br w:type="page"/>
      </w:r>
      <w:r>
        <w:rPr>
          <w:rFonts w:hint="eastAsia" w:ascii="仿宋" w:hAnsi="仿宋" w:eastAsia="仿宋" w:cs="仿宋"/>
          <w:color w:val="auto"/>
          <w:sz w:val="24"/>
          <w:highlight w:val="none"/>
        </w:rPr>
        <w:t>5 服务部分</w:t>
      </w:r>
      <w:bookmarkEnd w:id="30"/>
      <w:bookmarkEnd w:id="31"/>
      <w:bookmarkEnd w:id="32"/>
      <w:bookmarkEnd w:id="33"/>
      <w:bookmarkEnd w:id="34"/>
      <w:bookmarkEnd w:id="35"/>
      <w:bookmarkEnd w:id="36"/>
    </w:p>
    <w:p>
      <w:pPr>
        <w:pStyle w:val="11"/>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7" w:name="_Hlk76398443"/>
      <w:r>
        <w:rPr>
          <w:rFonts w:hint="eastAsia" w:ascii="仿宋" w:hAnsi="仿宋" w:eastAsia="仿宋" w:cs="仿宋"/>
          <w:b/>
          <w:color w:val="auto"/>
          <w:sz w:val="24"/>
          <w:highlight w:val="none"/>
        </w:rPr>
        <w:t>服务要求</w:t>
      </w:r>
      <w:bookmarkEnd w:id="37"/>
      <w:r>
        <w:rPr>
          <w:rFonts w:hint="eastAsia" w:ascii="仿宋" w:hAnsi="仿宋" w:eastAsia="仿宋" w:cs="仿宋"/>
          <w:b/>
          <w:color w:val="auto"/>
          <w:sz w:val="24"/>
          <w:highlight w:val="none"/>
        </w:rPr>
        <w:t>响应表（单页填写）</w:t>
      </w:r>
    </w:p>
    <w:p>
      <w:pPr>
        <w:pStyle w:val="11"/>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pPr>
              <w:spacing w:line="20" w:lineRule="atLeast"/>
              <w:rPr>
                <w:rFonts w:hint="eastAsia" w:ascii="仿宋" w:hAnsi="仿宋" w:eastAsia="仿宋" w:cs="仿宋"/>
                <w:color w:val="auto"/>
                <w:sz w:val="24"/>
                <w:highlight w:val="none"/>
              </w:rPr>
            </w:pP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pPr>
              <w:spacing w:line="20" w:lineRule="atLeast"/>
              <w:rPr>
                <w:rFonts w:hint="eastAsia" w:ascii="仿宋" w:hAnsi="仿宋" w:eastAsia="仿宋" w:cs="仿宋"/>
                <w:color w:val="auto"/>
                <w:sz w:val="24"/>
                <w:highlight w:val="none"/>
              </w:rPr>
            </w:pP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1"/>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1"/>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pPr>
        <w:rPr>
          <w:rFonts w:hint="eastAsia" w:ascii="仿宋" w:hAnsi="仿宋" w:eastAsia="仿宋" w:cs="仿宋"/>
          <w:b/>
          <w:bCs/>
          <w:color w:val="auto"/>
          <w:kern w:val="2"/>
          <w:sz w:val="28"/>
          <w:szCs w:val="28"/>
          <w:highlight w:val="none"/>
          <w:lang w:val="en-US" w:eastAsia="zh-CN" w:bidi="ar-SA"/>
        </w:rPr>
      </w:pPr>
    </w:p>
    <w:p>
      <w:pPr>
        <w:numPr>
          <w:ilvl w:val="0"/>
          <w:numId w:val="5"/>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pPr>
        <w:numPr>
          <w:ilvl w:val="0"/>
          <w:numId w:val="0"/>
        </w:numPr>
        <w:rPr>
          <w:rFonts w:hint="eastAsia" w:ascii="仿宋" w:hAnsi="仿宋" w:eastAsia="仿宋" w:cs="仿宋"/>
          <w:b/>
          <w:bCs/>
          <w:color w:val="auto"/>
          <w:kern w:val="2"/>
          <w:sz w:val="28"/>
          <w:szCs w:val="28"/>
          <w:highlight w:val="none"/>
          <w:lang w:val="en-US" w:eastAsia="zh-CN" w:bidi="ar-SA"/>
        </w:rPr>
      </w:pPr>
    </w:p>
    <w:p>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pPr>
        <w:numPr>
          <w:ilvl w:val="0"/>
          <w:numId w:val="0"/>
        </w:numPr>
        <w:rPr>
          <w:rFonts w:hint="eastAsia" w:ascii="仿宋" w:hAnsi="仿宋" w:eastAsia="仿宋" w:cs="仿宋"/>
          <w:b/>
          <w:bCs/>
          <w:color w:val="auto"/>
          <w:kern w:val="2"/>
          <w:sz w:val="28"/>
          <w:szCs w:val="28"/>
          <w:highlight w:val="none"/>
          <w:lang w:val="en-US" w:eastAsia="zh-CN" w:bidi="ar-SA"/>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pPr>
              <w:pStyle w:val="23"/>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pPr>
        <w:pStyle w:val="9"/>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pPr>
        <w:pStyle w:val="16"/>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0"/>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38" w:name="_Toc32679"/>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bookmarkEnd w:id="38"/>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bookmarkStart w:id="39" w:name="_Toc12251"/>
      <w:bookmarkStart w:id="40" w:name="_Toc2901"/>
      <w:bookmarkStart w:id="41" w:name="_Toc16659"/>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39"/>
    <w:bookmarkEnd w:id="40"/>
    <w:bookmarkEnd w:id="41"/>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pPr>
        <w:keepNext w:val="0"/>
        <w:keepLines w:val="0"/>
        <w:kinsoku/>
        <w:overflowPunct/>
        <w:topLinePunct w:val="0"/>
        <w:bidi w:val="0"/>
        <w:spacing w:line="312" w:lineRule="auto"/>
        <w:ind w:firstLine="486" w:firstLineChars="200"/>
        <w:jc w:val="center"/>
        <w:textAlignment w:val="auto"/>
        <w:outlineLvl w:val="9"/>
        <w:rPr>
          <w:rFonts w:hint="eastAsia" w:ascii="仿宋" w:hAnsi="仿宋" w:eastAsia="仿宋" w:cs="仿宋"/>
          <w:bCs/>
          <w:color w:val="auto"/>
          <w:sz w:val="24"/>
          <w:szCs w:val="24"/>
          <w:highlight w:val="none"/>
        </w:rPr>
      </w:pPr>
    </w:p>
    <w:p>
      <w:pPr>
        <w:pStyle w:val="10"/>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bCs/>
          <w:color w:val="auto"/>
          <w:highlight w:val="none"/>
        </w:rPr>
      </w:pPr>
    </w:p>
    <w:p>
      <w:pPr>
        <w:rPr>
          <w:color w:val="auto"/>
          <w:highlight w:val="none"/>
        </w:rPr>
      </w:pPr>
    </w:p>
    <w:p>
      <w:pPr>
        <w:rPr>
          <w:color w:val="auto"/>
          <w:highlight w:val="none"/>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pPr>
                      <w:pStyle w:val="12"/>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D2010C92"/>
    <w:multiLevelType w:val="singleLevel"/>
    <w:tmpl w:val="D2010C92"/>
    <w:lvl w:ilvl="0" w:tentative="0">
      <w:start w:val="6"/>
      <w:numFmt w:val="decimal"/>
      <w:lvlText w:val="%1."/>
      <w:lvlJc w:val="left"/>
      <w:pPr>
        <w:tabs>
          <w:tab w:val="left" w:pos="312"/>
        </w:tabs>
      </w:pPr>
    </w:lvl>
  </w:abstractNum>
  <w:abstractNum w:abstractNumId="2">
    <w:nsid w:val="2EB02D94"/>
    <w:multiLevelType w:val="singleLevel"/>
    <w:tmpl w:val="2EB02D94"/>
    <w:lvl w:ilvl="0" w:tentative="0">
      <w:start w:val="14"/>
      <w:numFmt w:val="decimal"/>
      <w:suff w:val="nothing"/>
      <w:lvlText w:val="%1、"/>
      <w:lvlJc w:val="left"/>
    </w:lvl>
  </w:abstractNum>
  <w:abstractNum w:abstractNumId="3">
    <w:nsid w:val="569C8C25"/>
    <w:multiLevelType w:val="singleLevel"/>
    <w:tmpl w:val="569C8C25"/>
    <w:lvl w:ilvl="0" w:tentative="0">
      <w:start w:val="1"/>
      <w:numFmt w:val="chineseCounting"/>
      <w:suff w:val="nothing"/>
      <w:lvlText w:val="%1、"/>
      <w:lvlJc w:val="left"/>
    </w:lvl>
  </w:abstractNum>
  <w:abstractNum w:abstractNumId="4">
    <w:nsid w:val="70222339"/>
    <w:multiLevelType w:val="multilevel"/>
    <w:tmpl w:val="70222339"/>
    <w:lvl w:ilvl="0" w:tentative="0">
      <w:start w:val="1"/>
      <w:numFmt w:val="decimal"/>
      <w:pStyle w:val="2"/>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1E8F6DDC"/>
    <w:rsid w:val="7DE6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6">
    <w:name w:val="Normal Indent"/>
    <w:basedOn w:val="1"/>
    <w:qFormat/>
    <w:uiPriority w:val="0"/>
    <w:pPr>
      <w:ind w:firstLine="420" w:firstLineChars="200"/>
    </w:pPr>
    <w:rPr>
      <w:rFonts w:eastAsia="Verdana"/>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List"/>
    <w:basedOn w:val="1"/>
    <w:qFormat/>
    <w:uiPriority w:val="0"/>
    <w:pPr>
      <w:ind w:firstLine="0" w:firstLineChars="0"/>
      <w:contextualSpacing/>
    </w:pPr>
  </w:style>
  <w:style w:type="paragraph" w:styleId="16">
    <w:name w:val="Body Text First Indent"/>
    <w:basedOn w:val="9"/>
    <w:next w:val="1"/>
    <w:qFormat/>
    <w:uiPriority w:val="0"/>
    <w:pPr>
      <w:widowControl/>
      <w:ind w:firstLine="420" w:firstLineChars="100"/>
    </w:pPr>
    <w:rPr>
      <w:rFonts w:ascii="Calibri" w:hAnsi="Calibri"/>
      <w:sz w:val="22"/>
      <w:szCs w:val="22"/>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列出段落1"/>
    <w:basedOn w:val="1"/>
    <w:qFormat/>
    <w:uiPriority w:val="99"/>
    <w:pPr>
      <w:ind w:firstLine="420" w:firstLineChars="200"/>
    </w:pPr>
  </w:style>
  <w:style w:type="paragraph" w:customStyle="1" w:styleId="21">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28097</Words>
  <Characters>29045</Characters>
  <Lines>0</Lines>
  <Paragraphs>0</Paragraphs>
  <TotalTime>8</TotalTime>
  <ScaleCrop>false</ScaleCrop>
  <LinksUpToDate>false</LinksUpToDate>
  <CharactersWithSpaces>31212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2024-06-16T00:53:00Z</dcterms:created>
  <dc:creator>Administrator.WIN-8ACSRP2MAC8</dc:creator>
  <cp:lastModifiedBy>Yeminem</cp:lastModifiedBy>
  <dcterms:modified xsi:type="dcterms:W3CDTF">2024-06-18T01:30:57Z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BD30FBB16E20461F8079903DEB204BC3_12</vt:lpwstr>
  </property>
</Properties>
</file>